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653421" w:rsidTr="00B909F2">
        <w:trPr>
          <w:trHeight w:val="4063"/>
        </w:trPr>
        <w:tc>
          <w:tcPr>
            <w:tcW w:w="5951" w:type="dxa"/>
            <w:tcBorders>
              <w:bottom w:val="single" w:sz="18" w:space="0" w:color="808080"/>
              <w:right w:val="single" w:sz="18" w:space="0" w:color="808080"/>
            </w:tcBorders>
            <w:vAlign w:val="center"/>
          </w:tcPr>
          <w:p w:rsidR="00023FE7" w:rsidRPr="00734B50" w:rsidRDefault="00023FE7" w:rsidP="00EF36CE">
            <w:pPr>
              <w:pStyle w:val="Title"/>
              <w:ind w:left="1080" w:hanging="1350"/>
              <w:rPr>
                <w:sz w:val="76"/>
                <w:szCs w:val="76"/>
                <w:lang w:val="pt-BR"/>
              </w:rPr>
            </w:pPr>
            <w:bookmarkStart w:id="0" w:name="_Toc336337837"/>
            <w:bookmarkStart w:id="1" w:name="_Toc353470487"/>
            <w:r w:rsidRPr="00653421">
              <w:rPr>
                <w:b w:val="0"/>
                <w:sz w:val="76"/>
                <w:szCs w:val="76"/>
                <w:lang w:val="x-none" w:eastAsia="x-none"/>
              </w:rPr>
              <w:t>Lista d</w:t>
            </w:r>
            <w:r w:rsidR="003175FC" w:rsidRPr="00734B50">
              <w:rPr>
                <w:b w:val="0"/>
                <w:sz w:val="76"/>
                <w:szCs w:val="76"/>
                <w:lang w:val="pt-BR" w:eastAsia="x-none"/>
              </w:rPr>
              <w:t>e</w:t>
            </w:r>
            <w:r w:rsidRPr="00653421">
              <w:rPr>
                <w:b w:val="0"/>
                <w:sz w:val="76"/>
                <w:szCs w:val="76"/>
                <w:lang w:val="x-none" w:eastAsia="x-none"/>
              </w:rPr>
              <w:t xml:space="preserve"> </w:t>
            </w:r>
            <w:r w:rsidR="00EF36CE" w:rsidRPr="00734B50">
              <w:rPr>
                <w:b w:val="0"/>
                <w:sz w:val="76"/>
                <w:szCs w:val="76"/>
                <w:lang w:val="pt-BR" w:eastAsia="x-none"/>
              </w:rPr>
              <w:br/>
            </w:r>
            <w:r w:rsidRPr="00653421">
              <w:rPr>
                <w:b w:val="0"/>
                <w:sz w:val="76"/>
                <w:szCs w:val="76"/>
                <w:lang w:val="x-none" w:eastAsia="x-none"/>
              </w:rPr>
              <w:t>Produtos da</w:t>
            </w:r>
            <w:bookmarkEnd w:id="0"/>
            <w:bookmarkEnd w:id="1"/>
          </w:p>
          <w:p w:rsidR="00023FE7" w:rsidRPr="00734B50" w:rsidRDefault="00023FE7" w:rsidP="00545B10">
            <w:pPr>
              <w:pStyle w:val="NoSpacing1"/>
              <w:ind w:left="270" w:right="668" w:firstLine="990"/>
              <w:jc w:val="right"/>
              <w:rPr>
                <w:rFonts w:ascii="Cambria" w:hAnsi="Cambria" w:cs="Calibri"/>
                <w:sz w:val="76"/>
                <w:szCs w:val="72"/>
                <w:lang w:val="pt-BR"/>
              </w:rPr>
            </w:pPr>
            <w:r w:rsidRPr="00734B50">
              <w:rPr>
                <w:rFonts w:ascii="Cambria" w:hAnsi="Cambria" w:cs="Calibri"/>
                <w:sz w:val="76"/>
                <w:szCs w:val="72"/>
                <w:lang w:val="pt-BR"/>
              </w:rPr>
              <w:t>Microsof</w:t>
            </w:r>
            <w:r w:rsidR="00545B10" w:rsidRPr="00734B50">
              <w:rPr>
                <w:rFonts w:ascii="Cambria" w:hAnsi="Cambria" w:cs="Calibri"/>
                <w:sz w:val="76"/>
                <w:szCs w:val="72"/>
                <w:lang w:val="pt-BR"/>
              </w:rPr>
              <w:t>t</w:t>
            </w:r>
            <w:r w:rsidRPr="00734B50">
              <w:rPr>
                <w:rFonts w:ascii="Cambria" w:hAnsi="Cambria" w:cs="Calibri"/>
                <w:sz w:val="76"/>
                <w:szCs w:val="72"/>
                <w:vertAlign w:val="superscript"/>
                <w:lang w:val="pt-BR"/>
              </w:rPr>
              <w:t>®</w:t>
            </w:r>
          </w:p>
        </w:tc>
        <w:tc>
          <w:tcPr>
            <w:tcW w:w="4615" w:type="dxa"/>
            <w:tcBorders>
              <w:left w:val="single" w:sz="18" w:space="0" w:color="808080"/>
              <w:bottom w:val="single" w:sz="18" w:space="0" w:color="808080"/>
            </w:tcBorders>
            <w:vAlign w:val="center"/>
          </w:tcPr>
          <w:p w:rsidR="00EF36CE" w:rsidRPr="00734B50" w:rsidRDefault="00EF36CE" w:rsidP="00EF36CE">
            <w:pPr>
              <w:pStyle w:val="NoSpacing1"/>
              <w:ind w:right="-1797"/>
              <w:rPr>
                <w:sz w:val="72"/>
                <w:szCs w:val="72"/>
                <w:lang w:val="pt-BR"/>
              </w:rPr>
            </w:pPr>
            <w:bookmarkStart w:id="2" w:name="_GoBack"/>
            <w:bookmarkEnd w:id="2"/>
          </w:p>
          <w:p w:rsidR="00023FE7" w:rsidRPr="00653421" w:rsidRDefault="00290FC1">
            <w:pPr>
              <w:pStyle w:val="NoSpacing1"/>
              <w:ind w:right="-1797"/>
            </w:pPr>
            <w:r w:rsidRPr="00653421">
              <w:rPr>
                <w:rFonts w:ascii="Tahoma" w:hAnsi="Tahoma" w:cs="Tahoma"/>
                <w:sz w:val="72"/>
                <w:szCs w:val="72"/>
              </w:rPr>
              <w:t xml:space="preserve">1º de </w:t>
            </w:r>
            <w:r w:rsidR="009154DF" w:rsidRPr="00653421">
              <w:rPr>
                <w:rFonts w:ascii="Tahoma" w:hAnsi="Tahoma" w:cs="Tahoma"/>
                <w:sz w:val="72"/>
                <w:szCs w:val="72"/>
              </w:rPr>
              <w:t>M</w:t>
            </w:r>
            <w:r w:rsidRPr="00653421">
              <w:rPr>
                <w:rFonts w:ascii="Tahoma" w:hAnsi="Tahoma" w:cs="Tahoma"/>
                <w:sz w:val="72"/>
                <w:szCs w:val="72"/>
              </w:rPr>
              <w:t>aio</w:t>
            </w:r>
          </w:p>
          <w:p w:rsidR="00023FE7" w:rsidRPr="00653421" w:rsidRDefault="0077167D" w:rsidP="00A04495">
            <w:pPr>
              <w:pStyle w:val="NoSpacing1"/>
              <w:ind w:rightChars="-103" w:right="-185"/>
              <w:rPr>
                <w:rFonts w:ascii="Tahoma" w:hAnsi="Tahoma" w:cs="Tahoma"/>
                <w:color w:val="4F81BD"/>
                <w:sz w:val="200"/>
                <w:szCs w:val="200"/>
              </w:rPr>
            </w:pPr>
            <w:r w:rsidRPr="00653421">
              <w:rPr>
                <w:rFonts w:ascii="Tahoma" w:hAnsi="Tahoma" w:cs="Tahoma"/>
                <w:color w:val="4F81BD"/>
                <w:sz w:val="180"/>
                <w:szCs w:val="200"/>
              </w:rPr>
              <w:t>2013</w:t>
            </w:r>
          </w:p>
        </w:tc>
      </w:tr>
      <w:tr w:rsidR="00023FE7" w:rsidRPr="00E04628" w:rsidTr="00B909F2">
        <w:trPr>
          <w:trHeight w:val="412"/>
        </w:trPr>
        <w:tc>
          <w:tcPr>
            <w:tcW w:w="5951" w:type="dxa"/>
            <w:tcBorders>
              <w:top w:val="single" w:sz="18" w:space="0" w:color="808080"/>
            </w:tcBorders>
            <w:vAlign w:val="center"/>
          </w:tcPr>
          <w:p w:rsidR="00023FE7" w:rsidRPr="00734B50" w:rsidRDefault="00023FE7" w:rsidP="003B36BF">
            <w:pPr>
              <w:pStyle w:val="NoSpacing1"/>
              <w:ind w:leftChars="122" w:left="220" w:firstLine="2"/>
              <w:rPr>
                <w:rFonts w:ascii="Tahoma" w:hAnsi="Tahoma" w:cs="Tahoma"/>
                <w:sz w:val="22"/>
                <w:szCs w:val="22"/>
                <w:lang w:val="pt-BR"/>
              </w:rPr>
            </w:pPr>
            <w:r w:rsidRPr="00734B50">
              <w:rPr>
                <w:rFonts w:ascii="Tahoma" w:hAnsi="Tahoma" w:cs="Tahoma"/>
                <w:szCs w:val="22"/>
                <w:lang w:val="pt-BR"/>
              </w:rPr>
              <w:t>A Lista de Produtos da Microsoft fornece informações mensais sobre o software e os Serviços Online da Microsoft</w:t>
            </w:r>
            <w:r w:rsidR="003B36BF" w:rsidRPr="00734B50">
              <w:rPr>
                <w:rFonts w:ascii="Tahoma" w:hAnsi="Tahoma" w:cs="Tahoma"/>
                <w:szCs w:val="22"/>
                <w:lang w:val="pt-BR"/>
              </w:rPr>
              <w:t> </w:t>
            </w:r>
            <w:r w:rsidRPr="00734B50">
              <w:rPr>
                <w:rFonts w:ascii="Tahoma" w:hAnsi="Tahoma" w:cs="Tahoma"/>
                <w:szCs w:val="22"/>
                <w:lang w:val="pt-BR"/>
              </w:rPr>
              <w:t>licenciados nos programas de Licenciamento por</w:t>
            </w:r>
            <w:r w:rsidR="003B36BF" w:rsidRPr="00734B50">
              <w:rPr>
                <w:rFonts w:ascii="Tahoma" w:hAnsi="Tahoma" w:cs="Tahoma"/>
                <w:szCs w:val="22"/>
                <w:lang w:val="pt-BR"/>
              </w:rPr>
              <w:t> </w:t>
            </w:r>
            <w:r w:rsidRPr="00734B50">
              <w:rPr>
                <w:rFonts w:ascii="Tahoma" w:hAnsi="Tahoma" w:cs="Tahoma"/>
                <w:szCs w:val="22"/>
                <w:lang w:val="pt-BR"/>
              </w:rPr>
              <w:t>Volume da Microsoft.</w:t>
            </w:r>
          </w:p>
        </w:tc>
        <w:tc>
          <w:tcPr>
            <w:tcW w:w="4615" w:type="dxa"/>
            <w:tcBorders>
              <w:top w:val="single" w:sz="18" w:space="0" w:color="808080"/>
            </w:tcBorders>
            <w:vAlign w:val="center"/>
          </w:tcPr>
          <w:p w:rsidR="00023FE7" w:rsidRPr="00734B50" w:rsidRDefault="00023FE7" w:rsidP="00A04495">
            <w:pPr>
              <w:pStyle w:val="NoSpacing1"/>
              <w:ind w:rightChars="-15" w:right="-27"/>
              <w:rPr>
                <w:rFonts w:ascii="Tahoma" w:hAnsi="Tahoma" w:cs="Tahoma"/>
                <w:sz w:val="32"/>
                <w:szCs w:val="32"/>
                <w:lang w:val="pt-BR"/>
              </w:rPr>
            </w:pPr>
          </w:p>
        </w:tc>
      </w:tr>
    </w:tbl>
    <w:p w:rsidR="00023FE7" w:rsidRPr="00734B50" w:rsidRDefault="00023FE7" w:rsidP="0095190D">
      <w:pPr>
        <w:pStyle w:val="Heading1"/>
        <w:rPr>
          <w:lang w:val="pt-BR"/>
        </w:rPr>
        <w:sectPr w:rsidR="00023FE7" w:rsidRPr="00734B50"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653421" w:rsidRDefault="00023FE7" w:rsidP="00013E71">
      <w:pPr>
        <w:pStyle w:val="Heading1"/>
        <w:rPr>
          <w:sz w:val="36"/>
          <w:szCs w:val="36"/>
          <w:lang w:val="x-none" w:eastAsia="x-none"/>
        </w:rPr>
      </w:pPr>
      <w:bookmarkStart w:id="3" w:name="_Toc336337838"/>
      <w:bookmarkStart w:id="4" w:name="_Toc353470488"/>
      <w:r w:rsidRPr="00653421">
        <w:rPr>
          <w:sz w:val="36"/>
          <w:szCs w:val="36"/>
          <w:lang w:val="x-none" w:eastAsia="x-none"/>
        </w:rPr>
        <w:lastRenderedPageBreak/>
        <w:t>SOBRE ESTE DOCUMENTO</w:t>
      </w:r>
      <w:bookmarkEnd w:id="3"/>
      <w:bookmarkEnd w:id="4"/>
    </w:p>
    <w:p w:rsidR="00023FE7" w:rsidRPr="00734B50" w:rsidRDefault="00023FE7" w:rsidP="003465C2">
      <w:pPr>
        <w:pStyle w:val="Body"/>
        <w:spacing w:line="180" w:lineRule="exact"/>
        <w:ind w:right="720"/>
        <w:rPr>
          <w:rFonts w:ascii="Tahoma" w:hAnsi="Tahoma" w:cs="Tahoma"/>
          <w:sz w:val="18"/>
          <w:szCs w:val="18"/>
          <w:lang w:val="pt-BR"/>
        </w:rPr>
      </w:pPr>
    </w:p>
    <w:p w:rsidR="00023FE7" w:rsidRPr="00734B50" w:rsidRDefault="00023FE7">
      <w:pPr>
        <w:pStyle w:val="Body"/>
        <w:ind w:right="720"/>
        <w:rPr>
          <w:lang w:val="pt-BR"/>
        </w:rPr>
      </w:pPr>
      <w:r w:rsidRPr="00734B50">
        <w:rPr>
          <w:rFonts w:ascii="Tahoma" w:hAnsi="Tahoma" w:cs="Tahoma"/>
          <w:sz w:val="18"/>
          <w:szCs w:val="18"/>
          <w:lang w:val="pt-BR"/>
        </w:rPr>
        <w:t>A Lista de Produtos da Microsoft fornece informações mensais sobre o software e os Serviços Online da Microsoft licenciados nos programas de Licenciamento por Volume da Microsoft. As</w:t>
      </w:r>
      <w:r w:rsidR="00CC6362" w:rsidRPr="00734B50">
        <w:rPr>
          <w:rFonts w:ascii="Tahoma" w:hAnsi="Tahoma" w:cs="Tahoma"/>
          <w:sz w:val="18"/>
          <w:szCs w:val="18"/>
          <w:lang w:val="pt-BR"/>
        </w:rPr>
        <w:t> </w:t>
      </w:r>
      <w:r w:rsidRPr="00734B50">
        <w:rPr>
          <w:rFonts w:ascii="Tahoma" w:hAnsi="Tahoma" w:cs="Tahoma"/>
          <w:sz w:val="18"/>
          <w:szCs w:val="18"/>
          <w:lang w:val="pt-BR"/>
        </w:rPr>
        <w:t>informações descritas na Lista de Produtos da Microsoft incluem:</w:t>
      </w:r>
    </w:p>
    <w:p w:rsidR="00023FE7" w:rsidRPr="00734B50" w:rsidRDefault="00023FE7" w:rsidP="003465C2">
      <w:pPr>
        <w:pStyle w:val="Body"/>
        <w:spacing w:line="180" w:lineRule="exact"/>
        <w:ind w:right="720"/>
        <w:rPr>
          <w:rFonts w:ascii="Tahoma" w:hAnsi="Tahoma" w:cs="Tahoma"/>
          <w:sz w:val="18"/>
          <w:szCs w:val="18"/>
          <w:lang w:val="pt-BR"/>
        </w:rPr>
      </w:pPr>
    </w:p>
    <w:p w:rsidR="00023FE7" w:rsidRPr="00734B50" w:rsidRDefault="00023FE7">
      <w:pPr>
        <w:pStyle w:val="BulletedList"/>
        <w:ind w:right="720"/>
        <w:rPr>
          <w:lang w:val="pt-BR"/>
        </w:rPr>
      </w:pPr>
      <w:r w:rsidRPr="00734B50">
        <w:rPr>
          <w:rFonts w:ascii="Tahoma" w:hAnsi="Tahoma" w:cs="Tahoma"/>
          <w:sz w:val="18"/>
          <w:szCs w:val="18"/>
          <w:lang w:val="pt-BR"/>
        </w:rPr>
        <w:t>Disponibilidade de novos aplicativos de software e produtos oferecidos por meio do Licenciamento por Volume da Microsoft</w:t>
      </w:r>
    </w:p>
    <w:p w:rsidR="00023FE7" w:rsidRPr="00734B50" w:rsidRDefault="00023FE7" w:rsidP="00024C3C">
      <w:pPr>
        <w:pStyle w:val="BulletedList"/>
        <w:numPr>
          <w:ilvl w:val="0"/>
          <w:numId w:val="16"/>
        </w:numPr>
        <w:ind w:right="720"/>
        <w:rPr>
          <w:lang w:val="pt-BR"/>
        </w:rPr>
      </w:pPr>
      <w:r w:rsidRPr="00734B50">
        <w:rPr>
          <w:rFonts w:ascii="Tahoma" w:hAnsi="Tahoma" w:cs="Tahoma"/>
          <w:sz w:val="18"/>
          <w:szCs w:val="18"/>
          <w:lang w:val="pt-BR"/>
        </w:rPr>
        <w:t>Descontinuação da disponibilidade de novos aplicativos de software e produtos oferecidos por meio do Licenciamento por Volume da Microsoft</w:t>
      </w:r>
    </w:p>
    <w:p w:rsidR="00023FE7" w:rsidRPr="00734B50" w:rsidRDefault="00023FE7" w:rsidP="00024C3C">
      <w:pPr>
        <w:pStyle w:val="BulletedList"/>
        <w:numPr>
          <w:ilvl w:val="0"/>
          <w:numId w:val="16"/>
        </w:numPr>
        <w:ind w:right="720"/>
        <w:rPr>
          <w:lang w:val="pt-BR"/>
        </w:rPr>
      </w:pPr>
      <w:r w:rsidRPr="00734B50">
        <w:rPr>
          <w:rFonts w:ascii="Tahoma" w:hAnsi="Tahoma" w:cs="Tahoma"/>
          <w:sz w:val="18"/>
          <w:szCs w:val="18"/>
          <w:lang w:val="pt-BR"/>
        </w:rPr>
        <w:t xml:space="preserve">Designação de software e produtos referente ao pool de produtos do Licenciamento por Volume da Microsoft </w:t>
      </w:r>
    </w:p>
    <w:p w:rsidR="00023FE7" w:rsidRPr="00734B50" w:rsidRDefault="00023FE7" w:rsidP="00024C3C">
      <w:pPr>
        <w:pStyle w:val="BulletedList"/>
        <w:numPr>
          <w:ilvl w:val="0"/>
          <w:numId w:val="16"/>
        </w:numPr>
        <w:ind w:right="720"/>
        <w:rPr>
          <w:lang w:val="pt-BR"/>
        </w:rPr>
      </w:pPr>
      <w:r w:rsidRPr="00734B50">
        <w:rPr>
          <w:rFonts w:ascii="Tahoma" w:hAnsi="Tahoma" w:cs="Tahoma"/>
          <w:sz w:val="18"/>
          <w:szCs w:val="18"/>
          <w:lang w:val="pt-BR"/>
        </w:rPr>
        <w:t>O valor em pontos de cada tecnologia de software e produto</w:t>
      </w:r>
    </w:p>
    <w:p w:rsidR="00023FE7" w:rsidRPr="00653421" w:rsidRDefault="00023FE7" w:rsidP="00024C3C">
      <w:pPr>
        <w:pStyle w:val="BulletedList"/>
        <w:numPr>
          <w:ilvl w:val="0"/>
          <w:numId w:val="16"/>
        </w:numPr>
        <w:ind w:right="720"/>
      </w:pPr>
      <w:r w:rsidRPr="00653421">
        <w:rPr>
          <w:rFonts w:ascii="Tahoma" w:hAnsi="Tahoma" w:cs="Tahoma"/>
          <w:sz w:val="18"/>
          <w:szCs w:val="18"/>
        </w:rPr>
        <w:t>Promoções disponíveis</w:t>
      </w:r>
    </w:p>
    <w:p w:rsidR="00023FE7" w:rsidRPr="00734B50" w:rsidRDefault="00023FE7" w:rsidP="00024C3C">
      <w:pPr>
        <w:pStyle w:val="BulletedList"/>
        <w:numPr>
          <w:ilvl w:val="0"/>
          <w:numId w:val="16"/>
        </w:numPr>
        <w:ind w:right="720"/>
        <w:rPr>
          <w:lang w:val="pt-BR"/>
        </w:rPr>
      </w:pPr>
      <w:r w:rsidRPr="00734B50">
        <w:rPr>
          <w:rFonts w:ascii="Tahoma" w:hAnsi="Tahoma" w:cs="Tahoma"/>
          <w:sz w:val="18"/>
          <w:szCs w:val="18"/>
          <w:lang w:val="pt-BR"/>
        </w:rPr>
        <w:t>Caminhos de migração de uma versão de software para outra versão do mesmo software</w:t>
      </w:r>
    </w:p>
    <w:p w:rsidR="00023FE7" w:rsidRPr="00734B50" w:rsidRDefault="00023FE7" w:rsidP="00024C3C">
      <w:pPr>
        <w:pStyle w:val="BulletedList"/>
        <w:numPr>
          <w:ilvl w:val="0"/>
          <w:numId w:val="16"/>
        </w:numPr>
        <w:ind w:right="720"/>
        <w:rPr>
          <w:lang w:val="pt-BR"/>
        </w:rPr>
      </w:pPr>
      <w:r w:rsidRPr="00734B50">
        <w:rPr>
          <w:rFonts w:ascii="Tahoma" w:hAnsi="Tahoma" w:cs="Tahoma"/>
          <w:sz w:val="18"/>
          <w:szCs w:val="18"/>
          <w:lang w:val="pt-BR"/>
        </w:rPr>
        <w:t>Caminhos de migração de software descontinuado para novas versões de software</w:t>
      </w:r>
    </w:p>
    <w:p w:rsidR="00023FE7" w:rsidRPr="00653421" w:rsidRDefault="00023FE7" w:rsidP="00024C3C">
      <w:pPr>
        <w:pStyle w:val="BulletedList"/>
        <w:numPr>
          <w:ilvl w:val="0"/>
          <w:numId w:val="16"/>
        </w:numPr>
        <w:ind w:right="720"/>
      </w:pPr>
      <w:r w:rsidRPr="00653421">
        <w:rPr>
          <w:rFonts w:ascii="Tahoma" w:hAnsi="Tahoma" w:cs="Tahoma"/>
          <w:sz w:val="18"/>
          <w:szCs w:val="18"/>
        </w:rPr>
        <w:t>Benefícios do Software Assurance</w:t>
      </w:r>
    </w:p>
    <w:p w:rsidR="00023FE7" w:rsidRPr="00734B50" w:rsidRDefault="00023FE7" w:rsidP="00024C3C">
      <w:pPr>
        <w:pStyle w:val="BulletedList"/>
        <w:numPr>
          <w:ilvl w:val="0"/>
          <w:numId w:val="16"/>
        </w:numPr>
        <w:ind w:right="720"/>
        <w:rPr>
          <w:lang w:val="pt-BR"/>
        </w:rPr>
      </w:pPr>
      <w:r w:rsidRPr="00734B50">
        <w:rPr>
          <w:rFonts w:ascii="Tahoma" w:hAnsi="Tahoma" w:cs="Tahoma"/>
          <w:sz w:val="18"/>
          <w:szCs w:val="18"/>
          <w:lang w:val="pt-BR"/>
        </w:rPr>
        <w:t>Outras Notas e informações específicas a software e produtos determinados</w:t>
      </w:r>
    </w:p>
    <w:p w:rsidR="00023FE7" w:rsidRPr="00734B50" w:rsidRDefault="00023FE7" w:rsidP="003465C2">
      <w:pPr>
        <w:spacing w:line="180" w:lineRule="exact"/>
        <w:ind w:left="720" w:right="720"/>
        <w:rPr>
          <w:lang w:val="pt-BR"/>
        </w:rPr>
      </w:pPr>
    </w:p>
    <w:p w:rsidR="00023FE7" w:rsidRPr="00734B50" w:rsidRDefault="00023FE7" w:rsidP="003465C2">
      <w:pPr>
        <w:spacing w:line="180" w:lineRule="exact"/>
        <w:ind w:left="720" w:right="720"/>
        <w:rPr>
          <w:lang w:val="pt-BR"/>
        </w:rPr>
      </w:pPr>
    </w:p>
    <w:p w:rsidR="00023FE7" w:rsidRPr="00653421" w:rsidRDefault="00023FE7" w:rsidP="006A3FBD">
      <w:pPr>
        <w:pStyle w:val="Heading1"/>
        <w:spacing w:before="200"/>
        <w:rPr>
          <w:sz w:val="36"/>
          <w:szCs w:val="36"/>
          <w:lang w:val="x-none" w:eastAsia="x-none"/>
        </w:rPr>
      </w:pPr>
      <w:bookmarkStart w:id="5" w:name="_Toc336337839"/>
      <w:bookmarkStart w:id="6" w:name="_Toc353470489"/>
      <w:r w:rsidRPr="00653421">
        <w:rPr>
          <w:sz w:val="36"/>
          <w:szCs w:val="36"/>
          <w:lang w:val="x-none" w:eastAsia="x-none"/>
        </w:rPr>
        <w:t>como usar a lista de Produtos da</w:t>
      </w:r>
      <w:r w:rsidR="00D43707" w:rsidRPr="00653421">
        <w:rPr>
          <w:sz w:val="36"/>
          <w:szCs w:val="36"/>
          <w:lang w:val="x-none" w:eastAsia="x-none"/>
        </w:rPr>
        <w:t> </w:t>
      </w:r>
      <w:r w:rsidRPr="00653421">
        <w:rPr>
          <w:sz w:val="36"/>
          <w:szCs w:val="36"/>
          <w:lang w:val="x-none" w:eastAsia="x-none"/>
        </w:rPr>
        <w:t>Microsoft</w:t>
      </w:r>
      <w:bookmarkEnd w:id="5"/>
      <w:bookmarkEnd w:id="6"/>
    </w:p>
    <w:p w:rsidR="00023FE7" w:rsidRPr="00734B50" w:rsidRDefault="00023FE7" w:rsidP="003465C2">
      <w:pPr>
        <w:pStyle w:val="Body"/>
        <w:spacing w:line="180" w:lineRule="exact"/>
        <w:ind w:right="720"/>
        <w:rPr>
          <w:rFonts w:ascii="Tahoma" w:hAnsi="Tahoma" w:cs="Tahoma"/>
          <w:sz w:val="18"/>
          <w:szCs w:val="18"/>
          <w:lang w:val="pt-BR"/>
        </w:rPr>
      </w:pPr>
    </w:p>
    <w:p w:rsidR="00023FE7" w:rsidRPr="00734B50" w:rsidRDefault="00023FE7">
      <w:pPr>
        <w:pStyle w:val="Body"/>
        <w:ind w:right="-1890"/>
        <w:rPr>
          <w:lang w:val="pt-BR"/>
        </w:rPr>
      </w:pPr>
      <w:r w:rsidRPr="00734B50">
        <w:rPr>
          <w:rFonts w:ascii="Tahoma" w:hAnsi="Tahoma" w:cs="Tahoma"/>
          <w:b/>
          <w:lang w:val="pt-BR"/>
        </w:rPr>
        <w:t xml:space="preserve">Procure se familiarizar com a Legenda da Tabela que se segue às etapas </w:t>
      </w:r>
      <w:r w:rsidR="00F75E5A" w:rsidRPr="00734B50">
        <w:rPr>
          <w:rFonts w:ascii="Tahoma" w:hAnsi="Tahoma" w:cs="Tahoma"/>
          <w:b/>
          <w:lang w:val="pt-BR"/>
        </w:rPr>
        <w:br/>
      </w:r>
      <w:r w:rsidRPr="00734B50">
        <w:rPr>
          <w:rFonts w:ascii="Tahoma" w:hAnsi="Tahoma" w:cs="Tahoma"/>
          <w:b/>
          <w:lang w:val="pt-BR"/>
        </w:rPr>
        <w:t>indicadas abaixo.</w:t>
      </w:r>
    </w:p>
    <w:p w:rsidR="00023FE7" w:rsidRPr="00734B50" w:rsidRDefault="00023FE7" w:rsidP="003465C2">
      <w:pPr>
        <w:pStyle w:val="Body"/>
        <w:spacing w:line="180" w:lineRule="exact"/>
        <w:ind w:right="720"/>
        <w:rPr>
          <w:rFonts w:ascii="Tahoma" w:hAnsi="Tahoma" w:cs="Tahoma"/>
          <w:sz w:val="18"/>
          <w:szCs w:val="18"/>
          <w:lang w:val="pt-BR"/>
        </w:rPr>
      </w:pPr>
    </w:p>
    <w:p w:rsidR="00023FE7" w:rsidRPr="00734B50" w:rsidRDefault="00023FE7">
      <w:pPr>
        <w:pStyle w:val="Body"/>
        <w:ind w:right="-1890"/>
        <w:rPr>
          <w:lang w:val="pt-BR"/>
        </w:rPr>
      </w:pPr>
      <w:r w:rsidRPr="00734B50">
        <w:rPr>
          <w:rStyle w:val="BodyChar"/>
          <w:rFonts w:ascii="Tahoma" w:hAnsi="Tahoma" w:cs="Tahoma"/>
          <w:b/>
          <w:sz w:val="18"/>
          <w:szCs w:val="18"/>
          <w:lang w:val="pt-BR"/>
        </w:rPr>
        <w:t>Etapa 1:</w:t>
      </w:r>
      <w:r w:rsidR="00DD7735" w:rsidRPr="00734B50">
        <w:rPr>
          <w:rStyle w:val="BodyChar"/>
          <w:rFonts w:ascii="Tahoma" w:hAnsi="Tahoma" w:cs="Tahoma"/>
          <w:b/>
          <w:sz w:val="18"/>
          <w:szCs w:val="18"/>
          <w:lang w:val="pt-BR"/>
        </w:rPr>
        <w:t xml:space="preserve"> </w:t>
      </w:r>
      <w:r w:rsidRPr="00734B50">
        <w:rPr>
          <w:rFonts w:ascii="Tahoma" w:hAnsi="Tahoma" w:cs="Tahoma"/>
          <w:sz w:val="18"/>
          <w:szCs w:val="18"/>
          <w:lang w:val="pt-BR"/>
        </w:rPr>
        <w:t xml:space="preserve">Encontre na tabela o software que você está cogitando adquirir. </w:t>
      </w:r>
    </w:p>
    <w:p w:rsidR="00023FE7" w:rsidRPr="00734B50" w:rsidRDefault="00023FE7" w:rsidP="003465C2">
      <w:pPr>
        <w:pStyle w:val="Body"/>
        <w:spacing w:line="180" w:lineRule="exact"/>
        <w:ind w:right="720"/>
        <w:rPr>
          <w:rFonts w:ascii="Tahoma" w:hAnsi="Tahoma" w:cs="Tahoma"/>
          <w:sz w:val="18"/>
          <w:szCs w:val="18"/>
          <w:lang w:val="pt-BR"/>
        </w:rPr>
      </w:pPr>
    </w:p>
    <w:p w:rsidR="00023FE7" w:rsidRPr="00653421" w:rsidRDefault="00395AC3" w:rsidP="0013361B">
      <w:pPr>
        <w:pStyle w:val="NumberedSteps"/>
        <w:ind w:left="-180" w:right="720"/>
      </w:pPr>
      <w:r w:rsidRPr="00653421">
        <w:rPr>
          <w:noProof/>
        </w:rPr>
        <w:drawing>
          <wp:inline distT="0" distB="0" distL="0" distR="0" wp14:anchorId="05C2A072" wp14:editId="1691D69C">
            <wp:extent cx="5934456" cy="2926080"/>
            <wp:effectExtent l="0" t="0" r="9525"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5374" t="31551" r="22861" b="27986"/>
                    <a:stretch/>
                  </pic:blipFill>
                  <pic:spPr bwMode="auto">
                    <a:xfrm>
                      <a:off x="0" y="0"/>
                      <a:ext cx="5934456" cy="292608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653421" w:rsidRDefault="00023FE7" w:rsidP="003465C2">
      <w:pPr>
        <w:pStyle w:val="NumberedSteps"/>
        <w:spacing w:before="0" w:after="0" w:line="180" w:lineRule="exact"/>
        <w:ind w:right="720"/>
        <w:rPr>
          <w:rFonts w:ascii="Tahoma" w:hAnsi="Tahoma" w:cs="Tahoma"/>
          <w:sz w:val="18"/>
          <w:szCs w:val="18"/>
        </w:rPr>
      </w:pPr>
    </w:p>
    <w:p w:rsidR="00023FE7" w:rsidRPr="00734B50" w:rsidRDefault="00023FE7">
      <w:pPr>
        <w:pStyle w:val="NumberedSteps"/>
        <w:ind w:right="720"/>
        <w:rPr>
          <w:lang w:val="pt-BR"/>
        </w:rPr>
      </w:pPr>
      <w:r w:rsidRPr="00734B50">
        <w:rPr>
          <w:rStyle w:val="BodyChar"/>
          <w:rFonts w:ascii="Tahoma" w:hAnsi="Tahoma" w:cs="Tahoma"/>
          <w:b/>
          <w:sz w:val="18"/>
          <w:szCs w:val="18"/>
          <w:lang w:val="pt-BR"/>
        </w:rPr>
        <w:t>Etapa 2:</w:t>
      </w:r>
      <w:r w:rsidR="00DD7735" w:rsidRPr="00734B50">
        <w:rPr>
          <w:rFonts w:ascii="Tahoma" w:hAnsi="Tahoma" w:cs="Tahoma"/>
          <w:sz w:val="18"/>
          <w:szCs w:val="18"/>
          <w:lang w:val="pt-BR"/>
        </w:rPr>
        <w:t xml:space="preserve"> </w:t>
      </w:r>
      <w:r w:rsidRPr="00734B50">
        <w:rPr>
          <w:rFonts w:ascii="Tahoma" w:hAnsi="Tahoma" w:cs="Tahoma"/>
          <w:sz w:val="18"/>
          <w:szCs w:val="18"/>
          <w:lang w:val="pt-BR"/>
        </w:rPr>
        <w:t>analise se as informações nas colunas relacionadas a promoções disponíveis, benefícios do Software Assurance, contagem de pontos, disponibilidade de programas etc.</w:t>
      </w:r>
    </w:p>
    <w:p w:rsidR="00023FE7" w:rsidRPr="00734B50" w:rsidRDefault="00023FE7" w:rsidP="003465C2">
      <w:pPr>
        <w:pStyle w:val="NumberedSteps"/>
        <w:spacing w:after="120"/>
        <w:ind w:right="360"/>
        <w:rPr>
          <w:lang w:val="pt-BR"/>
        </w:rPr>
      </w:pPr>
      <w:r w:rsidRPr="00734B50">
        <w:rPr>
          <w:rStyle w:val="BodyChar"/>
          <w:rFonts w:ascii="Tahoma" w:hAnsi="Tahoma" w:cs="Tahoma"/>
          <w:b/>
          <w:sz w:val="18"/>
          <w:szCs w:val="18"/>
          <w:lang w:val="pt-BR"/>
        </w:rPr>
        <w:lastRenderedPageBreak/>
        <w:t>Etapa 3:</w:t>
      </w:r>
      <w:r w:rsidR="00DD7735" w:rsidRPr="00734B50">
        <w:rPr>
          <w:rFonts w:ascii="Tahoma" w:hAnsi="Tahoma" w:cs="Tahoma"/>
          <w:sz w:val="18"/>
          <w:szCs w:val="18"/>
          <w:lang w:val="pt-BR"/>
        </w:rPr>
        <w:t xml:space="preserve"> </w:t>
      </w:r>
      <w:r w:rsidRPr="00734B50">
        <w:rPr>
          <w:rFonts w:ascii="Tahoma" w:hAnsi="Tahoma" w:cs="Tahoma"/>
          <w:sz w:val="18"/>
          <w:szCs w:val="18"/>
          <w:lang w:val="pt-BR"/>
        </w:rPr>
        <w:t>em alguns itens de software, também haverá uma nota de rodapé referente a informações adicionais. Se aplicável, “clique” (Ctrl + clique) no número da nota de rodapé, que o</w:t>
      </w:r>
      <w:r w:rsidR="00F75E5A" w:rsidRPr="00734B50">
        <w:rPr>
          <w:rFonts w:ascii="Tahoma" w:hAnsi="Tahoma" w:cs="Tahoma"/>
          <w:sz w:val="18"/>
          <w:szCs w:val="18"/>
          <w:lang w:val="pt-BR"/>
        </w:rPr>
        <w:t> </w:t>
      </w:r>
      <w:r w:rsidRPr="00734B50">
        <w:rPr>
          <w:rFonts w:ascii="Tahoma" w:hAnsi="Tahoma" w:cs="Tahoma"/>
          <w:sz w:val="18"/>
          <w:szCs w:val="18"/>
          <w:lang w:val="pt-BR"/>
        </w:rPr>
        <w:t>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rsidR="000E5145" w:rsidRPr="00734B50" w:rsidRDefault="000E5145" w:rsidP="003465C2">
      <w:pPr>
        <w:pStyle w:val="NumberedSteps"/>
        <w:spacing w:before="0" w:after="0" w:line="160" w:lineRule="exact"/>
        <w:ind w:right="720"/>
        <w:rPr>
          <w:rFonts w:ascii="Tahoma" w:hAnsi="Tahoma" w:cs="Tahoma"/>
          <w:sz w:val="18"/>
          <w:szCs w:val="18"/>
          <w:lang w:val="pt-BR"/>
        </w:rPr>
      </w:pPr>
    </w:p>
    <w:p w:rsidR="00023FE7" w:rsidRPr="00653421" w:rsidRDefault="00395AC3">
      <w:pPr>
        <w:pStyle w:val="NumberedSteps"/>
        <w:tabs>
          <w:tab w:val="left" w:pos="9360"/>
        </w:tabs>
        <w:ind w:right="720"/>
      </w:pPr>
      <w:r w:rsidRPr="00653421">
        <w:rPr>
          <w:noProof/>
        </w:rPr>
        <w:drawing>
          <wp:inline distT="0" distB="0" distL="0" distR="0" wp14:anchorId="73E2E40D" wp14:editId="6253CE91">
            <wp:extent cx="2578608" cy="35204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240" t="31730" r="61497" b="27628"/>
                    <a:stretch/>
                  </pic:blipFill>
                  <pic:spPr bwMode="auto">
                    <a:xfrm>
                      <a:off x="0" y="0"/>
                      <a:ext cx="2578608" cy="3520440"/>
                    </a:xfrm>
                    <a:prstGeom prst="rect">
                      <a:avLst/>
                    </a:prstGeom>
                    <a:ln>
                      <a:noFill/>
                    </a:ln>
                    <a:extLst>
                      <a:ext uri="{53640926-AAD7-44D8-BBD7-CCE9431645EC}">
                        <a14:shadowObscured xmlns:a14="http://schemas.microsoft.com/office/drawing/2010/main"/>
                      </a:ext>
                    </a:extLst>
                  </pic:spPr>
                </pic:pic>
              </a:graphicData>
            </a:graphic>
          </wp:inline>
        </w:drawing>
      </w:r>
    </w:p>
    <w:p w:rsidR="006A3FBD" w:rsidRPr="00653421" w:rsidRDefault="006A3FBD" w:rsidP="006A3FBD">
      <w:pPr>
        <w:pStyle w:val="NumberedSteps"/>
        <w:tabs>
          <w:tab w:val="left" w:pos="9360"/>
        </w:tabs>
        <w:spacing w:before="0" w:after="0"/>
        <w:ind w:right="720"/>
      </w:pPr>
    </w:p>
    <w:p w:rsidR="00023FE7" w:rsidRPr="00653421" w:rsidRDefault="00E04628" w:rsidP="006A3FBD">
      <w:pPr>
        <w:pStyle w:val="NumberedSteps"/>
        <w:spacing w:before="0" w:after="0"/>
        <w:ind w:right="720"/>
      </w:pPr>
      <w:r w:rsidRPr="00B22C19">
        <w:rPr>
          <w:noProof/>
          <w:bdr w:val="single" w:sz="8" w:space="0" w:color="auto"/>
        </w:rPr>
        <w:drawing>
          <wp:inline distT="0" distB="0" distL="0" distR="0" wp14:anchorId="7EDD1B2C" wp14:editId="036866D1">
            <wp:extent cx="5029200" cy="99316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30448" t="34473" r="31410" b="52137"/>
                    <a:stretch/>
                  </pic:blipFill>
                  <pic:spPr bwMode="auto">
                    <a:xfrm>
                      <a:off x="0" y="0"/>
                      <a:ext cx="5034949" cy="994296"/>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53421" w:rsidRDefault="0013361B" w:rsidP="003465C2">
      <w:pPr>
        <w:pStyle w:val="NumberedSteps"/>
        <w:spacing w:before="0" w:after="0" w:line="160" w:lineRule="exact"/>
        <w:ind w:right="720"/>
        <w:rPr>
          <w:rFonts w:ascii="Tahoma" w:hAnsi="Tahoma" w:cs="Tahoma"/>
          <w:sz w:val="18"/>
          <w:szCs w:val="18"/>
        </w:rPr>
      </w:pPr>
    </w:p>
    <w:p w:rsidR="00023FE7" w:rsidRPr="00734B50" w:rsidRDefault="00023FE7">
      <w:pPr>
        <w:pStyle w:val="NumberedSteps"/>
        <w:ind w:right="720"/>
        <w:rPr>
          <w:lang w:val="pt-BR"/>
        </w:rPr>
      </w:pPr>
      <w:r w:rsidRPr="00734B50">
        <w:rPr>
          <w:rStyle w:val="BodyChar"/>
          <w:rFonts w:ascii="Tahoma" w:hAnsi="Tahoma" w:cs="Tahoma"/>
          <w:b/>
          <w:sz w:val="18"/>
          <w:szCs w:val="18"/>
          <w:lang w:val="pt-BR"/>
        </w:rPr>
        <w:t>Etapa 4:</w:t>
      </w:r>
      <w:r w:rsidR="00DD7735" w:rsidRPr="00734B50">
        <w:rPr>
          <w:rStyle w:val="BodyChar"/>
          <w:rFonts w:ascii="Tahoma" w:hAnsi="Tahoma" w:cs="Tahoma"/>
          <w:sz w:val="18"/>
          <w:szCs w:val="18"/>
          <w:lang w:val="pt-BR"/>
        </w:rPr>
        <w:t xml:space="preserve"> </w:t>
      </w:r>
      <w:r w:rsidRPr="00734B50">
        <w:rPr>
          <w:rFonts w:ascii="Tahoma" w:hAnsi="Tahoma" w:cs="Tahoma"/>
          <w:sz w:val="18"/>
          <w:szCs w:val="18"/>
          <w:lang w:val="pt-BR"/>
        </w:rPr>
        <w:t>para obter mais informações sobre os benefícios do Software Assurance e a aquisição e</w:t>
      </w:r>
      <w:r w:rsidR="005C3572" w:rsidRPr="00734B50">
        <w:rPr>
          <w:rFonts w:ascii="Tahoma" w:hAnsi="Tahoma" w:cs="Tahoma"/>
          <w:sz w:val="18"/>
          <w:szCs w:val="18"/>
          <w:lang w:val="pt-BR"/>
        </w:rPr>
        <w:t> </w:t>
      </w:r>
      <w:r w:rsidRPr="00734B50">
        <w:rPr>
          <w:rFonts w:ascii="Tahoma" w:hAnsi="Tahoma" w:cs="Tahoma"/>
          <w:sz w:val="18"/>
          <w:szCs w:val="18"/>
          <w:lang w:val="pt-BR"/>
        </w:rPr>
        <w:t>renovação do Software Assurance, consulte os Apêndices 5 e 6.</w:t>
      </w:r>
    </w:p>
    <w:p w:rsidR="00023FE7" w:rsidRPr="00734B50" w:rsidRDefault="00023FE7">
      <w:pPr>
        <w:pStyle w:val="Body"/>
        <w:ind w:right="720"/>
        <w:rPr>
          <w:lang w:val="pt-BR"/>
        </w:rPr>
      </w:pPr>
      <w:r w:rsidRPr="00734B50">
        <w:rPr>
          <w:rFonts w:ascii="Tahoma" w:hAnsi="Tahoma" w:cs="Tahoma"/>
          <w:b/>
          <w:sz w:val="18"/>
          <w:szCs w:val="18"/>
          <w:lang w:val="pt-BR"/>
        </w:rPr>
        <w:t>Observação:</w:t>
      </w:r>
      <w:r w:rsidR="00DD7735" w:rsidRPr="00734B50">
        <w:rPr>
          <w:rFonts w:ascii="Tahoma" w:hAnsi="Tahoma" w:cs="Tahoma"/>
          <w:sz w:val="18"/>
          <w:szCs w:val="18"/>
          <w:lang w:val="pt-BR"/>
        </w:rPr>
        <w:t xml:space="preserve"> </w:t>
      </w:r>
      <w:r w:rsidRPr="00734B50">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 Microsoft. A disponibilidade dos itens de software pode variar de acordo com a região. Os clientes devem entrar em contato com o revendedor ou o Gerente de Conta Microsoft para obter informações sobre a disponibilidade regional de um item de software específico.</w:t>
      </w:r>
    </w:p>
    <w:p w:rsidR="00023FE7" w:rsidRPr="00734B50" w:rsidRDefault="00023FE7" w:rsidP="003465C2">
      <w:pPr>
        <w:pStyle w:val="Body"/>
        <w:spacing w:line="160" w:lineRule="exact"/>
        <w:ind w:right="720"/>
        <w:rPr>
          <w:rFonts w:ascii="Tahoma" w:hAnsi="Tahoma" w:cs="Tahoma"/>
          <w:sz w:val="18"/>
          <w:szCs w:val="18"/>
          <w:lang w:val="pt-BR"/>
        </w:rPr>
      </w:pPr>
    </w:p>
    <w:p w:rsidR="006A3FBD" w:rsidRPr="00734B50" w:rsidRDefault="00023FE7">
      <w:pPr>
        <w:pStyle w:val="Body"/>
        <w:ind w:right="720"/>
        <w:rPr>
          <w:rFonts w:ascii="Tahoma" w:hAnsi="Tahoma" w:cs="Tahoma"/>
          <w:sz w:val="18"/>
          <w:szCs w:val="18"/>
          <w:lang w:val="pt-BR"/>
        </w:rPr>
      </w:pPr>
      <w:r w:rsidRPr="00734B50">
        <w:rPr>
          <w:rFonts w:ascii="Tahoma" w:hAnsi="Tahoma" w:cs="Tahoma"/>
          <w:sz w:val="18"/>
          <w:szCs w:val="18"/>
          <w:lang w:val="pt-BR"/>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5C3572" w:rsidRPr="00734B50">
        <w:rPr>
          <w:rFonts w:ascii="Tahoma" w:hAnsi="Tahoma" w:cs="Tahoma"/>
          <w:sz w:val="18"/>
          <w:szCs w:val="18"/>
          <w:lang w:val="pt-BR"/>
        </w:rPr>
        <w:t> </w:t>
      </w:r>
      <w:r w:rsidRPr="00734B50">
        <w:rPr>
          <w:rFonts w:ascii="Tahoma" w:hAnsi="Tahoma" w:cs="Tahoma"/>
          <w:sz w:val="18"/>
          <w:szCs w:val="18"/>
          <w:lang w:val="pt-BR"/>
        </w:rPr>
        <w:t>encontra no site:</w:t>
      </w:r>
      <w:r w:rsidR="00DD7735" w:rsidRPr="00734B50">
        <w:rPr>
          <w:rFonts w:ascii="Tahoma" w:hAnsi="Tahoma" w:cs="Tahoma"/>
          <w:sz w:val="18"/>
          <w:szCs w:val="18"/>
          <w:lang w:val="pt-BR"/>
        </w:rPr>
        <w:t xml:space="preserve"> </w:t>
      </w:r>
      <w:r w:rsidR="006A3FBD" w:rsidRPr="00734B50">
        <w:rPr>
          <w:rFonts w:ascii="Tahoma" w:hAnsi="Tahoma" w:cs="Tahoma"/>
          <w:sz w:val="18"/>
          <w:szCs w:val="18"/>
          <w:lang w:val="pt-BR"/>
        </w:rPr>
        <w:t>http://www.microsoftvolumelicensing.com/userights/Default.aspx</w:t>
      </w:r>
    </w:p>
    <w:p w:rsidR="006A3FBD" w:rsidRPr="00734B50" w:rsidRDefault="006A3FBD">
      <w:pPr>
        <w:rPr>
          <w:rFonts w:cs="Tahoma"/>
          <w:szCs w:val="18"/>
          <w:lang w:val="pt-BR"/>
        </w:rPr>
      </w:pPr>
      <w:r w:rsidRPr="00734B50">
        <w:rPr>
          <w:rFonts w:cs="Tahoma"/>
          <w:szCs w:val="18"/>
          <w:lang w:val="pt-BR"/>
        </w:rPr>
        <w:br w:type="page"/>
      </w:r>
    </w:p>
    <w:p w:rsidR="00554623" w:rsidRPr="00734B50" w:rsidRDefault="00955428">
      <w:pPr>
        <w:pStyle w:val="TOC1"/>
        <w:rPr>
          <w:rFonts w:asciiTheme="minorHAnsi" w:eastAsiaTheme="minorEastAsia" w:hAnsiTheme="minorHAnsi" w:cstheme="minorBidi"/>
          <w:b w:val="0"/>
          <w:caps w:val="0"/>
          <w:color w:val="auto"/>
          <w:szCs w:val="22"/>
          <w:lang w:val="pt-BR"/>
        </w:rPr>
      </w:pPr>
      <w:r w:rsidRPr="00653421">
        <w:rPr>
          <w:color w:val="auto"/>
        </w:rPr>
        <w:lastRenderedPageBreak/>
        <w:fldChar w:fldCharType="begin"/>
      </w:r>
      <w:r w:rsidR="00023FE7" w:rsidRPr="00734B50">
        <w:rPr>
          <w:color w:val="auto"/>
          <w:lang w:val="pt-BR"/>
        </w:rPr>
        <w:instrText xml:space="preserve"> TOC \o "1-2" \t "Heading 3,3,Heading 4,4,Product Names,2" </w:instrText>
      </w:r>
      <w:r w:rsidRPr="00653421">
        <w:rPr>
          <w:color w:val="auto"/>
        </w:rPr>
        <w:fldChar w:fldCharType="separate"/>
      </w:r>
      <w:r w:rsidR="00395AC3" w:rsidRPr="00734B50">
        <w:rPr>
          <w:b w:val="0"/>
          <w:color w:val="auto"/>
          <w:lang w:val="pt-BR"/>
        </w:rPr>
        <w:t>Microsoft</w:t>
      </w:r>
      <w:r w:rsidR="00395AC3" w:rsidRPr="00734B50">
        <w:rPr>
          <w:b w:val="0"/>
          <w:color w:val="auto"/>
          <w:vertAlign w:val="superscript"/>
          <w:lang w:val="pt-BR"/>
        </w:rPr>
        <w:t>®</w:t>
      </w:r>
      <w:r w:rsidR="00554623" w:rsidRPr="00734B50">
        <w:rPr>
          <w:color w:val="auto"/>
          <w:lang w:val="pt-BR"/>
        </w:rPr>
        <w:tab/>
      </w:r>
      <w:r w:rsidR="00554623" w:rsidRPr="00653421">
        <w:rPr>
          <w:color w:val="auto"/>
        </w:rPr>
        <w:fldChar w:fldCharType="begin"/>
      </w:r>
      <w:r w:rsidR="00554623" w:rsidRPr="00734B50">
        <w:rPr>
          <w:color w:val="auto"/>
          <w:lang w:val="pt-BR"/>
        </w:rPr>
        <w:instrText xml:space="preserve"> PAGEREF _Toc353470487 \h </w:instrText>
      </w:r>
      <w:r w:rsidR="00554623" w:rsidRPr="00653421">
        <w:rPr>
          <w:color w:val="auto"/>
        </w:rPr>
      </w:r>
      <w:r w:rsidR="00554623" w:rsidRPr="00653421">
        <w:rPr>
          <w:color w:val="auto"/>
        </w:rPr>
        <w:fldChar w:fldCharType="separate"/>
      </w:r>
      <w:r w:rsidR="00CE7565">
        <w:rPr>
          <w:color w:val="auto"/>
          <w:lang w:val="pt-BR"/>
        </w:rPr>
        <w:t>1</w:t>
      </w:r>
      <w:r w:rsidR="00554623" w:rsidRPr="00653421">
        <w:rPr>
          <w:color w:val="auto"/>
        </w:rPr>
        <w:fldChar w:fldCharType="end"/>
      </w:r>
    </w:p>
    <w:p w:rsidR="00554623" w:rsidRPr="00734B50" w:rsidRDefault="00554623">
      <w:pPr>
        <w:pStyle w:val="TOC1"/>
        <w:rPr>
          <w:rFonts w:asciiTheme="minorHAnsi" w:eastAsiaTheme="minorEastAsia" w:hAnsiTheme="minorHAnsi" w:cstheme="minorBidi"/>
          <w:b w:val="0"/>
          <w:caps w:val="0"/>
          <w:color w:val="auto"/>
          <w:szCs w:val="22"/>
          <w:lang w:val="pt-BR"/>
        </w:rPr>
      </w:pPr>
      <w:r w:rsidRPr="00734B50">
        <w:rPr>
          <w:color w:val="auto"/>
          <w:lang w:val="pt-BR"/>
        </w:rPr>
        <w:t>SOBRE ESTE DOCUMENTO</w:t>
      </w:r>
      <w:r w:rsidRPr="00734B50">
        <w:rPr>
          <w:color w:val="auto"/>
          <w:lang w:val="pt-BR"/>
        </w:rPr>
        <w:tab/>
      </w:r>
      <w:r w:rsidRPr="00653421">
        <w:rPr>
          <w:color w:val="auto"/>
        </w:rPr>
        <w:fldChar w:fldCharType="begin"/>
      </w:r>
      <w:r w:rsidRPr="00734B50">
        <w:rPr>
          <w:color w:val="auto"/>
          <w:lang w:val="pt-BR"/>
        </w:rPr>
        <w:instrText xml:space="preserve"> PAGEREF _Toc353470488 \h </w:instrText>
      </w:r>
      <w:r w:rsidRPr="00653421">
        <w:rPr>
          <w:color w:val="auto"/>
        </w:rPr>
      </w:r>
      <w:r w:rsidRPr="00653421">
        <w:rPr>
          <w:color w:val="auto"/>
        </w:rPr>
        <w:fldChar w:fldCharType="separate"/>
      </w:r>
      <w:r w:rsidR="00CE7565">
        <w:rPr>
          <w:color w:val="auto"/>
          <w:lang w:val="pt-BR"/>
        </w:rPr>
        <w:t>2</w:t>
      </w:r>
      <w:r w:rsidRPr="00653421">
        <w:rPr>
          <w:color w:val="auto"/>
        </w:rPr>
        <w:fldChar w:fldCharType="end"/>
      </w:r>
    </w:p>
    <w:p w:rsidR="00554623" w:rsidRPr="00734B50" w:rsidRDefault="00554623">
      <w:pPr>
        <w:pStyle w:val="TOC1"/>
        <w:rPr>
          <w:rFonts w:asciiTheme="minorHAnsi" w:eastAsiaTheme="minorEastAsia" w:hAnsiTheme="minorHAnsi" w:cstheme="minorBidi"/>
          <w:b w:val="0"/>
          <w:caps w:val="0"/>
          <w:color w:val="auto"/>
          <w:szCs w:val="22"/>
          <w:lang w:val="pt-BR"/>
        </w:rPr>
      </w:pPr>
      <w:r w:rsidRPr="00734B50">
        <w:rPr>
          <w:color w:val="auto"/>
          <w:lang w:val="pt-BR"/>
        </w:rPr>
        <w:t>como usar a lista de Produtos da Microsoft</w:t>
      </w:r>
      <w:r w:rsidRPr="00734B50">
        <w:rPr>
          <w:color w:val="auto"/>
          <w:lang w:val="pt-BR"/>
        </w:rPr>
        <w:tab/>
      </w:r>
      <w:r w:rsidRPr="00653421">
        <w:rPr>
          <w:color w:val="auto"/>
        </w:rPr>
        <w:fldChar w:fldCharType="begin"/>
      </w:r>
      <w:r w:rsidRPr="00734B50">
        <w:rPr>
          <w:color w:val="auto"/>
          <w:lang w:val="pt-BR"/>
        </w:rPr>
        <w:instrText xml:space="preserve"> PAGEREF _Toc353470489 \h </w:instrText>
      </w:r>
      <w:r w:rsidRPr="00653421">
        <w:rPr>
          <w:color w:val="auto"/>
        </w:rPr>
      </w:r>
      <w:r w:rsidRPr="00653421">
        <w:rPr>
          <w:color w:val="auto"/>
        </w:rPr>
        <w:fldChar w:fldCharType="separate"/>
      </w:r>
      <w:r w:rsidR="00CE7565">
        <w:rPr>
          <w:color w:val="auto"/>
          <w:lang w:val="pt-BR"/>
        </w:rPr>
        <w:t>2</w:t>
      </w:r>
      <w:r w:rsidRPr="00653421">
        <w:rPr>
          <w:color w:val="auto"/>
        </w:rPr>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Legenda da Tabela</w:t>
      </w:r>
      <w:r w:rsidRPr="00734B50">
        <w:rPr>
          <w:lang w:val="pt-BR"/>
        </w:rPr>
        <w:tab/>
      </w:r>
      <w:r w:rsidRPr="00653421">
        <w:fldChar w:fldCharType="begin"/>
      </w:r>
      <w:r w:rsidRPr="00734B50">
        <w:rPr>
          <w:lang w:val="pt-BR"/>
        </w:rPr>
        <w:instrText xml:space="preserve"> PAGEREF _Toc353470490 \h </w:instrText>
      </w:r>
      <w:r w:rsidRPr="00653421">
        <w:fldChar w:fldCharType="separate"/>
      </w:r>
      <w:r w:rsidR="00CE7565">
        <w:rPr>
          <w:lang w:val="pt-BR"/>
        </w:rPr>
        <w:t>14</w:t>
      </w:r>
      <w:r w:rsidRPr="00653421">
        <w:fldChar w:fldCharType="end"/>
      </w:r>
    </w:p>
    <w:p w:rsidR="00554623" w:rsidRPr="00734B50" w:rsidRDefault="00554623">
      <w:pPr>
        <w:pStyle w:val="TOC1"/>
        <w:rPr>
          <w:rFonts w:asciiTheme="minorHAnsi" w:eastAsiaTheme="minorEastAsia" w:hAnsiTheme="minorHAnsi" w:cstheme="minorBidi"/>
          <w:b w:val="0"/>
          <w:caps w:val="0"/>
          <w:color w:val="auto"/>
          <w:szCs w:val="22"/>
          <w:lang w:val="pt-BR"/>
        </w:rPr>
      </w:pPr>
      <w:r w:rsidRPr="00734B50">
        <w:rPr>
          <w:color w:val="auto"/>
          <w:lang w:val="pt-BR"/>
        </w:rPr>
        <w:t>LISTA DE Produtos</w:t>
      </w:r>
      <w:r w:rsidRPr="00734B50">
        <w:rPr>
          <w:color w:val="auto"/>
          <w:lang w:val="pt-BR"/>
        </w:rPr>
        <w:tab/>
      </w:r>
      <w:r w:rsidRPr="00653421">
        <w:rPr>
          <w:color w:val="auto"/>
        </w:rPr>
        <w:fldChar w:fldCharType="begin"/>
      </w:r>
      <w:r w:rsidRPr="00734B50">
        <w:rPr>
          <w:color w:val="auto"/>
          <w:lang w:val="pt-BR"/>
        </w:rPr>
        <w:instrText xml:space="preserve"> PAGEREF _Toc353470491 \h </w:instrText>
      </w:r>
      <w:r w:rsidRPr="00653421">
        <w:rPr>
          <w:color w:val="auto"/>
        </w:rPr>
      </w:r>
      <w:r w:rsidRPr="00653421">
        <w:rPr>
          <w:color w:val="auto"/>
        </w:rPr>
        <w:fldChar w:fldCharType="separate"/>
      </w:r>
      <w:r w:rsidR="00CE7565">
        <w:rPr>
          <w:color w:val="auto"/>
          <w:lang w:val="pt-BR"/>
        </w:rPr>
        <w:t>16</w:t>
      </w:r>
      <w:r w:rsidRPr="00653421">
        <w:rPr>
          <w:color w:val="auto"/>
        </w:rPr>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POOL DE APLICATIVOS</w:t>
      </w:r>
      <w:r w:rsidRPr="00CE7565">
        <w:rPr>
          <w:lang w:val="pt-BR"/>
        </w:rPr>
        <w:tab/>
      </w:r>
      <w:r w:rsidRPr="00653421">
        <w:fldChar w:fldCharType="begin"/>
      </w:r>
      <w:r w:rsidRPr="00CE7565">
        <w:rPr>
          <w:lang w:val="pt-BR"/>
        </w:rPr>
        <w:instrText xml:space="preserve"> PAGEREF _Toc353470492 \h </w:instrText>
      </w:r>
      <w:r w:rsidRPr="00653421">
        <w:fldChar w:fldCharType="separate"/>
      </w:r>
      <w:r w:rsidR="00CE7565" w:rsidRPr="00CE7565">
        <w:rPr>
          <w:lang w:val="pt-BR"/>
        </w:rPr>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Access 2013</w:t>
      </w:r>
      <w:r w:rsidRPr="00653421">
        <w:tab/>
      </w:r>
      <w:r w:rsidRPr="00653421">
        <w:fldChar w:fldCharType="begin"/>
      </w:r>
      <w:r w:rsidRPr="00653421">
        <w:instrText xml:space="preserve"> PAGEREF _Toc353470493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AutoRoute 2013</w:t>
      </w:r>
      <w:r w:rsidRPr="00653421">
        <w:tab/>
      </w:r>
      <w:r w:rsidRPr="00653421">
        <w:fldChar w:fldCharType="begin"/>
      </w:r>
      <w:r w:rsidRPr="00653421">
        <w:instrText xml:space="preserve"> PAGEREF _Toc353470494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Excel 2013</w:t>
      </w:r>
      <w:r w:rsidRPr="00653421">
        <w:tab/>
      </w:r>
      <w:r w:rsidRPr="00653421">
        <w:fldChar w:fldCharType="begin"/>
      </w:r>
      <w:r w:rsidRPr="00653421">
        <w:instrText xml:space="preserve"> PAGEREF _Toc353470495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Excel para Mac 2011</w:t>
      </w:r>
      <w:r w:rsidRPr="00653421">
        <w:tab/>
      </w:r>
      <w:r w:rsidRPr="00653421">
        <w:fldChar w:fldCharType="begin"/>
      </w:r>
      <w:r w:rsidRPr="00653421">
        <w:instrText xml:space="preserve"> PAGEREF _Toc353470496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Expression Encoder Pro 4</w:t>
      </w:r>
      <w:r w:rsidRPr="00653421">
        <w:tab/>
      </w:r>
      <w:r w:rsidRPr="00653421">
        <w:fldChar w:fldCharType="begin"/>
      </w:r>
      <w:r w:rsidRPr="00653421">
        <w:instrText xml:space="preserve"> PAGEREF _Toc353470497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GeoSynther 3.0</w:t>
      </w:r>
      <w:r w:rsidRPr="00653421">
        <w:tab/>
      </w:r>
      <w:r w:rsidRPr="00653421">
        <w:fldChar w:fldCharType="begin"/>
      </w:r>
      <w:r w:rsidRPr="00653421">
        <w:instrText xml:space="preserve"> PAGEREF _Toc353470498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GeoSynth Viewer 3.0</w:t>
      </w:r>
      <w:r w:rsidRPr="00653421">
        <w:tab/>
      </w:r>
      <w:r w:rsidRPr="00653421">
        <w:fldChar w:fldCharType="begin"/>
      </w:r>
      <w:r w:rsidRPr="00653421">
        <w:instrText xml:space="preserve"> PAGEREF _Toc353470499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InfoPath</w:t>
      </w:r>
      <w:r w:rsidRPr="00653421">
        <w:rPr>
          <w:rFonts w:cs="Tahoma"/>
          <w:vertAlign w:val="superscript"/>
        </w:rPr>
        <w:t>®</w:t>
      </w:r>
      <w:r w:rsidRPr="00653421">
        <w:rPr>
          <w:rFonts w:cs="Tahoma"/>
        </w:rPr>
        <w:t xml:space="preserve"> 2013</w:t>
      </w:r>
      <w:r w:rsidRPr="00653421">
        <w:tab/>
      </w:r>
      <w:r w:rsidRPr="00653421">
        <w:fldChar w:fldCharType="begin"/>
      </w:r>
      <w:r w:rsidRPr="00653421">
        <w:instrText xml:space="preserve"> PAGEREF _Toc353470500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Lync 2013</w:t>
      </w:r>
      <w:r w:rsidRPr="00653421">
        <w:tab/>
      </w:r>
      <w:r w:rsidRPr="00653421">
        <w:fldChar w:fldCharType="begin"/>
      </w:r>
      <w:r w:rsidRPr="00653421">
        <w:instrText xml:space="preserve"> PAGEREF _Toc353470501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Lync para Mac 2011</w:t>
      </w:r>
      <w:r w:rsidRPr="00653421">
        <w:tab/>
      </w:r>
      <w:r w:rsidRPr="00653421">
        <w:fldChar w:fldCharType="begin"/>
      </w:r>
      <w:r w:rsidRPr="00653421">
        <w:instrText xml:space="preserve"> PAGEREF _Toc353470502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MapPoint</w:t>
      </w:r>
      <w:r w:rsidRPr="00653421">
        <w:rPr>
          <w:rFonts w:cs="Tahoma"/>
          <w:vertAlign w:val="superscript"/>
        </w:rPr>
        <w:t>®</w:t>
      </w:r>
      <w:r w:rsidRPr="00653421">
        <w:rPr>
          <w:rFonts w:cs="Tahoma"/>
        </w:rPr>
        <w:t xml:space="preserve"> Fleet Edition 2013</w:t>
      </w:r>
      <w:r w:rsidRPr="00653421">
        <w:tab/>
      </w:r>
      <w:r w:rsidRPr="00653421">
        <w:fldChar w:fldCharType="begin"/>
      </w:r>
      <w:r w:rsidRPr="00653421">
        <w:instrText xml:space="preserve"> PAGEREF _Toc353470503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MapPoint</w:t>
      </w:r>
      <w:r w:rsidRPr="00653421">
        <w:rPr>
          <w:rFonts w:cs="Tahoma"/>
          <w:vertAlign w:val="superscript"/>
        </w:rPr>
        <w:t>®</w:t>
      </w:r>
      <w:r w:rsidRPr="00653421">
        <w:rPr>
          <w:rFonts w:cs="Tahoma"/>
        </w:rPr>
        <w:t xml:space="preserve"> 2013 para Windows</w:t>
      </w:r>
      <w:r w:rsidRPr="00653421">
        <w:tab/>
      </w:r>
      <w:r w:rsidRPr="00653421">
        <w:fldChar w:fldCharType="begin"/>
      </w:r>
      <w:r w:rsidRPr="00653421">
        <w:instrText xml:space="preserve"> PAGEREF _Toc353470504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MSDN Operating Systems</w:t>
      </w:r>
      <w:r w:rsidRPr="00653421">
        <w:tab/>
      </w:r>
      <w:r w:rsidRPr="00653421">
        <w:fldChar w:fldCharType="begin"/>
      </w:r>
      <w:r w:rsidRPr="00653421">
        <w:instrText xml:space="preserve"> PAGEREF _Toc353470505 \h </w:instrText>
      </w:r>
      <w:r w:rsidRPr="00653421">
        <w:fldChar w:fldCharType="separate"/>
      </w:r>
      <w:r w:rsidR="00CE7565">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Office 365 A2 (SL de Usuário)</w:t>
      </w:r>
      <w:r w:rsidRPr="00653421">
        <w:tab/>
      </w:r>
      <w:r w:rsidRPr="00653421">
        <w:fldChar w:fldCharType="begin"/>
      </w:r>
      <w:r w:rsidRPr="00653421">
        <w:instrText xml:space="preserve"> PAGEREF _Toc353470506 \h </w:instrText>
      </w:r>
      <w:r w:rsidRPr="00653421">
        <w:fldChar w:fldCharType="separate"/>
      </w:r>
      <w:r w:rsidR="00CE7565">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Office 365 A3 (SL de Usuário)</w:t>
      </w:r>
      <w:r w:rsidRPr="00734B50">
        <w:rPr>
          <w:lang w:val="pt-BR"/>
        </w:rPr>
        <w:tab/>
      </w:r>
      <w:r w:rsidRPr="00653421">
        <w:fldChar w:fldCharType="begin"/>
      </w:r>
      <w:r w:rsidRPr="00734B50">
        <w:rPr>
          <w:lang w:val="pt-BR"/>
        </w:rPr>
        <w:instrText xml:space="preserve"> PAGEREF _Toc353470507 \h </w:instrText>
      </w:r>
      <w:r w:rsidRPr="00653421">
        <w:fldChar w:fldCharType="separate"/>
      </w:r>
      <w:r w:rsidR="00CE7565">
        <w:rPr>
          <w:lang w:val="pt-B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Office 365 A4 (SL de Usuário)</w:t>
      </w:r>
      <w:r w:rsidRPr="00734B50">
        <w:rPr>
          <w:lang w:val="pt-BR"/>
        </w:rPr>
        <w:tab/>
      </w:r>
      <w:r w:rsidRPr="00653421">
        <w:fldChar w:fldCharType="begin"/>
      </w:r>
      <w:r w:rsidRPr="00734B50">
        <w:rPr>
          <w:lang w:val="pt-BR"/>
        </w:rPr>
        <w:instrText xml:space="preserve"> PAGEREF _Toc353470508 \h </w:instrText>
      </w:r>
      <w:r w:rsidRPr="00653421">
        <w:fldChar w:fldCharType="separate"/>
      </w:r>
      <w:r w:rsidR="00CE7565">
        <w:rPr>
          <w:lang w:val="pt-BR"/>
        </w:rPr>
        <w:t>16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Office 365 Midsize Business (SL de Usuário)</w:t>
      </w:r>
      <w:r w:rsidRPr="00653421">
        <w:tab/>
      </w:r>
      <w:r w:rsidRPr="00653421">
        <w:fldChar w:fldCharType="begin"/>
      </w:r>
      <w:r w:rsidRPr="00653421">
        <w:instrText xml:space="preserve"> PAGEREF _Toc353470509 \h </w:instrText>
      </w:r>
      <w:r w:rsidRPr="00653421">
        <w:fldChar w:fldCharType="separate"/>
      </w:r>
      <w:r w:rsidR="00CE7565">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Office 365 Enterprise E1 (SL de Usuário)</w:t>
      </w:r>
      <w:r w:rsidRPr="00734B50">
        <w:rPr>
          <w:lang w:val="pt-BR"/>
        </w:rPr>
        <w:tab/>
      </w:r>
      <w:r w:rsidRPr="00653421">
        <w:fldChar w:fldCharType="begin"/>
      </w:r>
      <w:r w:rsidRPr="00734B50">
        <w:rPr>
          <w:lang w:val="pt-BR"/>
        </w:rPr>
        <w:instrText xml:space="preserve"> PAGEREF _Toc353470510 \h </w:instrText>
      </w:r>
      <w:r w:rsidRPr="00653421">
        <w:fldChar w:fldCharType="separate"/>
      </w:r>
      <w:r w:rsidR="00CE7565">
        <w:rPr>
          <w:lang w:val="pt-B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Office 365 Enterprise E2 (SL de Usuário)</w:t>
      </w:r>
      <w:r w:rsidRPr="00734B50">
        <w:rPr>
          <w:lang w:val="pt-BR"/>
        </w:rPr>
        <w:tab/>
      </w:r>
      <w:r w:rsidRPr="00653421">
        <w:fldChar w:fldCharType="begin"/>
      </w:r>
      <w:r w:rsidRPr="00734B50">
        <w:rPr>
          <w:lang w:val="pt-BR"/>
        </w:rPr>
        <w:instrText xml:space="preserve"> PAGEREF _Toc353470511 \h </w:instrText>
      </w:r>
      <w:r w:rsidRPr="00653421">
        <w:fldChar w:fldCharType="separate"/>
      </w:r>
      <w:r w:rsidR="00CE7565">
        <w:rPr>
          <w:lang w:val="pt-B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Office 365 Enterprise E3 (SL de Usuário)</w:t>
      </w:r>
      <w:r w:rsidRPr="00734B50">
        <w:rPr>
          <w:lang w:val="pt-BR"/>
        </w:rPr>
        <w:tab/>
      </w:r>
      <w:r w:rsidRPr="00653421">
        <w:fldChar w:fldCharType="begin"/>
      </w:r>
      <w:r w:rsidRPr="00734B50">
        <w:rPr>
          <w:lang w:val="pt-BR"/>
        </w:rPr>
        <w:instrText xml:space="preserve"> PAGEREF _Toc353470512 \h </w:instrText>
      </w:r>
      <w:r w:rsidRPr="00653421">
        <w:fldChar w:fldCharType="separate"/>
      </w:r>
      <w:r w:rsidR="00CE7565">
        <w:rPr>
          <w:lang w:val="pt-B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Office 365 Enterprise E4 (SL de Usuário)</w:t>
      </w:r>
      <w:r w:rsidRPr="00734B50">
        <w:rPr>
          <w:lang w:val="pt-BR"/>
        </w:rPr>
        <w:tab/>
      </w:r>
      <w:r w:rsidRPr="00653421">
        <w:fldChar w:fldCharType="begin"/>
      </w:r>
      <w:r w:rsidRPr="00734B50">
        <w:rPr>
          <w:lang w:val="pt-BR"/>
        </w:rPr>
        <w:instrText xml:space="preserve"> PAGEREF _Toc353470513 \h </w:instrText>
      </w:r>
      <w:r w:rsidRPr="00653421">
        <w:fldChar w:fldCharType="separate"/>
      </w:r>
      <w:r w:rsidR="00CE7565">
        <w:rPr>
          <w:lang w:val="pt-B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Direitos de Uso Comercial do Office Home and Student RT 2013</w:t>
      </w:r>
      <w:r w:rsidRPr="00734B50">
        <w:rPr>
          <w:lang w:val="pt-BR"/>
        </w:rPr>
        <w:tab/>
      </w:r>
      <w:r w:rsidRPr="00653421">
        <w:fldChar w:fldCharType="begin"/>
      </w:r>
      <w:r w:rsidRPr="00734B50">
        <w:rPr>
          <w:lang w:val="pt-BR"/>
        </w:rPr>
        <w:instrText xml:space="preserve"> PAGEREF _Toc353470514 \h </w:instrText>
      </w:r>
      <w:r w:rsidRPr="00653421">
        <w:fldChar w:fldCharType="separate"/>
      </w:r>
      <w:r w:rsidR="00CE7565">
        <w:rPr>
          <w:lang w:val="pt-B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Office para Mac Standard 2011</w:t>
      </w:r>
      <w:r w:rsidRPr="00734B50">
        <w:rPr>
          <w:lang w:val="pt-BR"/>
        </w:rPr>
        <w:tab/>
      </w:r>
      <w:r w:rsidRPr="00653421">
        <w:fldChar w:fldCharType="begin"/>
      </w:r>
      <w:r w:rsidRPr="00734B50">
        <w:rPr>
          <w:lang w:val="pt-BR"/>
        </w:rPr>
        <w:instrText xml:space="preserve"> PAGEREF _Toc353470515 \h </w:instrText>
      </w:r>
      <w:r w:rsidRPr="00653421">
        <w:fldChar w:fldCharType="separate"/>
      </w:r>
      <w:r w:rsidR="00CE7565">
        <w:rPr>
          <w:lang w:val="pt-B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Pacote Multilíngue do Office 2013</w:t>
      </w:r>
      <w:r w:rsidRPr="00734B50">
        <w:rPr>
          <w:lang w:val="pt-BR"/>
        </w:rPr>
        <w:tab/>
      </w:r>
      <w:r w:rsidRPr="00653421">
        <w:fldChar w:fldCharType="begin"/>
      </w:r>
      <w:r w:rsidRPr="00734B50">
        <w:rPr>
          <w:lang w:val="pt-BR"/>
        </w:rPr>
        <w:instrText xml:space="preserve"> PAGEREF _Toc353470516 \h </w:instrText>
      </w:r>
      <w:r w:rsidRPr="00653421">
        <w:fldChar w:fldCharType="separate"/>
      </w:r>
      <w:r w:rsidR="00CE7565">
        <w:rPr>
          <w:lang w:val="pt-B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fr-FR"/>
        </w:rPr>
      </w:pPr>
      <w:r w:rsidRPr="00734B50">
        <w:rPr>
          <w:rFonts w:cs="Tahoma"/>
          <w:lang w:val="fr-FR"/>
        </w:rPr>
        <w:t>Office Professional Plus 2013</w:t>
      </w:r>
      <w:r w:rsidRPr="00734B50">
        <w:rPr>
          <w:lang w:val="fr-FR"/>
        </w:rPr>
        <w:tab/>
      </w:r>
      <w:r w:rsidRPr="00653421">
        <w:fldChar w:fldCharType="begin"/>
      </w:r>
      <w:r w:rsidRPr="00734B50">
        <w:rPr>
          <w:lang w:val="fr-FR"/>
        </w:rPr>
        <w:instrText xml:space="preserve"> PAGEREF _Toc353470517 \h </w:instrText>
      </w:r>
      <w:r w:rsidRPr="00653421">
        <w:fldChar w:fldCharType="separate"/>
      </w:r>
      <w:r w:rsidR="00CE7565">
        <w:rPr>
          <w:lang w:val="fr-FR"/>
        </w:rPr>
        <w:t>16</w:t>
      </w:r>
      <w:r w:rsidRPr="00653421">
        <w:fldChar w:fldCharType="end"/>
      </w:r>
    </w:p>
    <w:p w:rsidR="00554623" w:rsidRPr="00734B50" w:rsidRDefault="00554623" w:rsidP="0095190D">
      <w:pPr>
        <w:pStyle w:val="TOC3"/>
        <w:rPr>
          <w:rFonts w:asciiTheme="minorHAnsi" w:eastAsiaTheme="minorEastAsia" w:hAnsiTheme="minorHAnsi" w:cstheme="minorBidi"/>
          <w:sz w:val="22"/>
          <w:szCs w:val="22"/>
          <w:lang w:val="fr-FR"/>
        </w:rPr>
      </w:pPr>
      <w:r w:rsidRPr="00734B50">
        <w:rPr>
          <w:lang w:val="fr-FR"/>
        </w:rPr>
        <w:t>Office Standard 2013</w:t>
      </w:r>
      <w:r w:rsidRPr="00734B50">
        <w:rPr>
          <w:lang w:val="fr-FR"/>
        </w:rPr>
        <w:tab/>
      </w:r>
      <w:r w:rsidRPr="00653421">
        <w:fldChar w:fldCharType="begin"/>
      </w:r>
      <w:r w:rsidRPr="00734B50">
        <w:rPr>
          <w:lang w:val="fr-FR"/>
        </w:rPr>
        <w:instrText xml:space="preserve"> PAGEREF _Toc353470518 \h </w:instrText>
      </w:r>
      <w:r w:rsidRPr="00653421">
        <w:fldChar w:fldCharType="separate"/>
      </w:r>
      <w:r w:rsidR="00CE7565">
        <w:rPr>
          <w:lang w:val="fr-F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fr-FR"/>
        </w:rPr>
      </w:pPr>
      <w:r w:rsidRPr="00734B50">
        <w:rPr>
          <w:rFonts w:cs="Tahoma"/>
          <w:lang w:val="fr-FR"/>
        </w:rPr>
        <w:t>Office 365 ProPlus (SL de Usuário)</w:t>
      </w:r>
      <w:r w:rsidRPr="00734B50">
        <w:rPr>
          <w:lang w:val="fr-FR"/>
        </w:rPr>
        <w:tab/>
      </w:r>
      <w:r w:rsidRPr="00653421">
        <w:fldChar w:fldCharType="begin"/>
      </w:r>
      <w:r w:rsidRPr="00734B50">
        <w:rPr>
          <w:lang w:val="fr-FR"/>
        </w:rPr>
        <w:instrText xml:space="preserve"> PAGEREF _Toc353470519 \h </w:instrText>
      </w:r>
      <w:r w:rsidRPr="00653421">
        <w:fldChar w:fldCharType="separate"/>
      </w:r>
      <w:r w:rsidR="00CE7565">
        <w:rPr>
          <w:lang w:val="fr-F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fr-FR"/>
        </w:rPr>
      </w:pPr>
      <w:r w:rsidRPr="00734B50">
        <w:rPr>
          <w:rFonts w:cs="Tahoma"/>
          <w:lang w:val="fr-FR"/>
        </w:rPr>
        <w:t>Office 365 ProPlus SA Transition</w:t>
      </w:r>
      <w:r w:rsidR="00CC6362" w:rsidRPr="00734B50">
        <w:rPr>
          <w:rFonts w:cs="Tahoma"/>
          <w:lang w:val="fr-FR"/>
        </w:rPr>
        <w:t xml:space="preserve"> </w:t>
      </w:r>
      <w:r w:rsidRPr="00734B50">
        <w:rPr>
          <w:rFonts w:cs="Tahoma"/>
          <w:lang w:val="fr-FR"/>
        </w:rPr>
        <w:t>(SL de Usuário)</w:t>
      </w:r>
      <w:r w:rsidRPr="00734B50">
        <w:rPr>
          <w:lang w:val="fr-FR"/>
        </w:rPr>
        <w:tab/>
      </w:r>
      <w:r w:rsidRPr="00653421">
        <w:fldChar w:fldCharType="begin"/>
      </w:r>
      <w:r w:rsidRPr="00734B50">
        <w:rPr>
          <w:lang w:val="fr-FR"/>
        </w:rPr>
        <w:instrText xml:space="preserve"> PAGEREF _Toc353470520 \h </w:instrText>
      </w:r>
      <w:r w:rsidRPr="00653421">
        <w:fldChar w:fldCharType="separate"/>
      </w:r>
      <w:r w:rsidR="00CE7565">
        <w:rPr>
          <w:lang w:val="fr-FR"/>
        </w:rPr>
        <w:t>16</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A do Office Professional Plus (SL de Usuário)</w:t>
      </w:r>
      <w:r w:rsidRPr="00734B50">
        <w:rPr>
          <w:lang w:val="pt-BR"/>
        </w:rPr>
        <w:tab/>
      </w:r>
      <w:r w:rsidRPr="00653421">
        <w:fldChar w:fldCharType="begin"/>
      </w:r>
      <w:r w:rsidRPr="00734B50">
        <w:rPr>
          <w:lang w:val="pt-BR"/>
        </w:rPr>
        <w:instrText xml:space="preserve"> PAGEREF _Toc353470521 \h </w:instrText>
      </w:r>
      <w:r w:rsidRPr="00653421">
        <w:fldChar w:fldCharType="separate"/>
      </w:r>
      <w:r w:rsidR="00CE7565">
        <w:rPr>
          <w:lang w:val="pt-BR"/>
        </w:rPr>
        <w:t>17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OneNote</w:t>
      </w:r>
      <w:r w:rsidRPr="00653421">
        <w:rPr>
          <w:rFonts w:cs="Tahoma"/>
          <w:vertAlign w:val="superscript"/>
        </w:rPr>
        <w:t>®</w:t>
      </w:r>
      <w:r w:rsidRPr="00653421">
        <w:rPr>
          <w:rFonts w:cs="Tahoma"/>
        </w:rPr>
        <w:t xml:space="preserve"> 2013</w:t>
      </w:r>
      <w:r w:rsidRPr="00653421">
        <w:tab/>
      </w:r>
      <w:r w:rsidRPr="00653421">
        <w:fldChar w:fldCharType="begin"/>
      </w:r>
      <w:r w:rsidRPr="00653421">
        <w:instrText xml:space="preserve"> PAGEREF _Toc353470522 \h </w:instrText>
      </w:r>
      <w:r w:rsidRPr="00653421">
        <w:fldChar w:fldCharType="separate"/>
      </w:r>
      <w:r w:rsidR="00CE7565">
        <w:t>17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Outlook</w:t>
      </w:r>
      <w:r w:rsidRPr="00653421">
        <w:rPr>
          <w:rFonts w:cs="Tahoma"/>
          <w:vertAlign w:val="superscript"/>
        </w:rPr>
        <w:t>®</w:t>
      </w:r>
      <w:r w:rsidRPr="00653421">
        <w:rPr>
          <w:rFonts w:cs="Tahoma"/>
        </w:rPr>
        <w:t xml:space="preserve"> 2013</w:t>
      </w:r>
      <w:r w:rsidRPr="00653421">
        <w:tab/>
      </w:r>
      <w:r w:rsidRPr="00653421">
        <w:fldChar w:fldCharType="begin"/>
      </w:r>
      <w:r w:rsidRPr="00653421">
        <w:instrText xml:space="preserve"> PAGEREF _Toc353470523 \h </w:instrText>
      </w:r>
      <w:r w:rsidRPr="00653421">
        <w:fldChar w:fldCharType="separate"/>
      </w:r>
      <w:r w:rsidR="00CE7565">
        <w:t>17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Outlook para Mac 2011</w:t>
      </w:r>
      <w:r w:rsidRPr="00653421">
        <w:tab/>
      </w:r>
      <w:r w:rsidRPr="00653421">
        <w:fldChar w:fldCharType="begin"/>
      </w:r>
      <w:r w:rsidRPr="00653421">
        <w:instrText xml:space="preserve"> PAGEREF _Toc353470524 \h </w:instrText>
      </w:r>
      <w:r w:rsidRPr="00653421">
        <w:fldChar w:fldCharType="separate"/>
      </w:r>
      <w:r w:rsidR="00CE7565">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PowerPoint 2013</w:t>
      </w:r>
      <w:r w:rsidRPr="00653421">
        <w:tab/>
      </w:r>
      <w:r w:rsidRPr="00653421">
        <w:fldChar w:fldCharType="begin"/>
      </w:r>
      <w:r w:rsidRPr="00653421">
        <w:instrText xml:space="preserve"> PAGEREF _Toc353470525 \h </w:instrText>
      </w:r>
      <w:r w:rsidRPr="00653421">
        <w:fldChar w:fldCharType="separate"/>
      </w:r>
      <w:r w:rsidR="00CE7565">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PowerPoint para Mac 2011</w:t>
      </w:r>
      <w:r w:rsidRPr="00653421">
        <w:tab/>
      </w:r>
      <w:r w:rsidRPr="00653421">
        <w:fldChar w:fldCharType="begin"/>
      </w:r>
      <w:r w:rsidRPr="00653421">
        <w:instrText xml:space="preserve"> PAGEREF _Toc353470526 \h </w:instrText>
      </w:r>
      <w:r w:rsidRPr="00653421">
        <w:fldChar w:fldCharType="separate"/>
      </w:r>
      <w:r w:rsidR="00CE7565">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Project 2013 Standard</w:t>
      </w:r>
      <w:r w:rsidRPr="00653421">
        <w:tab/>
      </w:r>
      <w:r w:rsidRPr="00653421">
        <w:fldChar w:fldCharType="begin"/>
      </w:r>
      <w:r w:rsidRPr="00653421">
        <w:instrText xml:space="preserve"> PAGEREF _Toc353470527 \h </w:instrText>
      </w:r>
      <w:r w:rsidRPr="00653421">
        <w:fldChar w:fldCharType="separate"/>
      </w:r>
      <w:r w:rsidR="00CE7565">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Project 2013 Professional</w:t>
      </w:r>
      <w:r w:rsidRPr="00653421">
        <w:tab/>
      </w:r>
      <w:r w:rsidRPr="00653421">
        <w:fldChar w:fldCharType="begin"/>
      </w:r>
      <w:r w:rsidRPr="00653421">
        <w:instrText xml:space="preserve"> PAGEREF _Toc353470528 \h </w:instrText>
      </w:r>
      <w:r w:rsidRPr="00653421">
        <w:fldChar w:fldCharType="separate"/>
      </w:r>
      <w:r w:rsidR="00CE7565">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Project Pro para Office 365</w:t>
      </w:r>
      <w:r w:rsidRPr="00653421">
        <w:tab/>
      </w:r>
      <w:r w:rsidRPr="00653421">
        <w:fldChar w:fldCharType="begin"/>
      </w:r>
      <w:r w:rsidRPr="00653421">
        <w:instrText xml:space="preserve"> PAGEREF _Toc353470529 \h </w:instrText>
      </w:r>
      <w:r w:rsidRPr="00653421">
        <w:fldChar w:fldCharType="separate"/>
      </w:r>
      <w:r w:rsidR="00CE7565">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Project Pro para Office 365 A</w:t>
      </w:r>
      <w:r w:rsidRPr="00653421">
        <w:tab/>
      </w:r>
      <w:r w:rsidRPr="00653421">
        <w:fldChar w:fldCharType="begin"/>
      </w:r>
      <w:r w:rsidRPr="00653421">
        <w:instrText xml:space="preserve"> PAGEREF _Toc353470530 \h </w:instrText>
      </w:r>
      <w:r w:rsidRPr="00653421">
        <w:fldChar w:fldCharType="separate"/>
      </w:r>
      <w:r w:rsidR="00CE7565">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Publisher 2013</w:t>
      </w:r>
      <w:r w:rsidRPr="00653421">
        <w:tab/>
      </w:r>
      <w:r w:rsidRPr="00653421">
        <w:fldChar w:fldCharType="begin"/>
      </w:r>
      <w:r w:rsidRPr="00653421">
        <w:instrText xml:space="preserve"> PAGEREF _Toc353470531 \h </w:instrText>
      </w:r>
      <w:r w:rsidRPr="00653421">
        <w:fldChar w:fldCharType="separate"/>
      </w:r>
      <w:r w:rsidR="00CE7565">
        <w:t>17</w:t>
      </w:r>
      <w:r w:rsidRPr="00653421">
        <w:fldChar w:fldCharType="end"/>
      </w:r>
    </w:p>
    <w:p w:rsidR="00554623" w:rsidRPr="00734B50" w:rsidRDefault="00554623" w:rsidP="0095190D">
      <w:pPr>
        <w:pStyle w:val="TOC3"/>
        <w:rPr>
          <w:rFonts w:asciiTheme="minorHAnsi" w:eastAsiaTheme="minorEastAsia" w:hAnsiTheme="minorHAnsi" w:cstheme="minorBidi"/>
          <w:sz w:val="22"/>
          <w:szCs w:val="22"/>
          <w:lang w:val="pt-BR"/>
        </w:rPr>
      </w:pPr>
      <w:r w:rsidRPr="00734B50">
        <w:rPr>
          <w:lang w:val="pt-BR"/>
        </w:rPr>
        <w:t>Direitos de Locação para Office Standard</w:t>
      </w:r>
      <w:r w:rsidRPr="00734B50">
        <w:rPr>
          <w:lang w:val="pt-BR"/>
        </w:rPr>
        <w:tab/>
      </w:r>
      <w:r w:rsidRPr="00653421">
        <w:fldChar w:fldCharType="begin"/>
      </w:r>
      <w:r w:rsidRPr="00734B50">
        <w:rPr>
          <w:lang w:val="pt-BR"/>
        </w:rPr>
        <w:instrText xml:space="preserve"> PAGEREF _Toc353470532 \h </w:instrText>
      </w:r>
      <w:r w:rsidRPr="00653421">
        <w:fldChar w:fldCharType="separate"/>
      </w:r>
      <w:r w:rsidR="00CE7565">
        <w:rPr>
          <w:lang w:val="pt-BR"/>
        </w:rPr>
        <w:t>17</w:t>
      </w:r>
      <w:r w:rsidRPr="00653421">
        <w:fldChar w:fldCharType="end"/>
      </w:r>
    </w:p>
    <w:p w:rsidR="00554623" w:rsidRPr="00734B50" w:rsidRDefault="00554623" w:rsidP="0095190D">
      <w:pPr>
        <w:pStyle w:val="TOC3"/>
        <w:rPr>
          <w:rFonts w:asciiTheme="minorHAnsi" w:eastAsiaTheme="minorEastAsia" w:hAnsiTheme="minorHAnsi" w:cstheme="minorBidi"/>
          <w:sz w:val="22"/>
          <w:szCs w:val="22"/>
          <w:lang w:val="pt-BR"/>
        </w:rPr>
      </w:pPr>
      <w:r w:rsidRPr="00734B50">
        <w:rPr>
          <w:lang w:val="pt-BR"/>
        </w:rPr>
        <w:t>Direitos de Locação para Office Professional Plus</w:t>
      </w:r>
      <w:r w:rsidRPr="00734B50">
        <w:rPr>
          <w:lang w:val="pt-BR"/>
        </w:rPr>
        <w:tab/>
      </w:r>
      <w:r w:rsidRPr="00653421">
        <w:fldChar w:fldCharType="begin"/>
      </w:r>
      <w:r w:rsidRPr="00734B50">
        <w:rPr>
          <w:lang w:val="pt-BR"/>
        </w:rPr>
        <w:instrText xml:space="preserve"> PAGEREF _Toc353470533 \h </w:instrText>
      </w:r>
      <w:r w:rsidRPr="00653421">
        <w:fldChar w:fldCharType="separate"/>
      </w:r>
      <w:r w:rsidR="00CE7565">
        <w:rPr>
          <w:lang w:val="pt-BR"/>
        </w:rPr>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Streets and Trips 2013</w:t>
      </w:r>
      <w:r w:rsidRPr="00653421">
        <w:tab/>
      </w:r>
      <w:r w:rsidRPr="00653421">
        <w:fldChar w:fldCharType="begin"/>
      </w:r>
      <w:r w:rsidRPr="00653421">
        <w:instrText xml:space="preserve"> PAGEREF _Toc353470534 \h </w:instrText>
      </w:r>
      <w:r w:rsidRPr="00653421">
        <w:fldChar w:fldCharType="separate"/>
      </w:r>
      <w:r w:rsidR="00CE7565">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TechNet Plus Direct</w:t>
      </w:r>
      <w:r w:rsidRPr="00653421">
        <w:tab/>
      </w:r>
      <w:r w:rsidRPr="00653421">
        <w:fldChar w:fldCharType="begin"/>
      </w:r>
      <w:r w:rsidRPr="00653421">
        <w:instrText xml:space="preserve"> PAGEREF _Toc353470535 \h </w:instrText>
      </w:r>
      <w:r w:rsidRPr="00653421">
        <w:fldChar w:fldCharType="separate"/>
      </w:r>
      <w:r w:rsidR="00CE7565">
        <w:t>17</w:t>
      </w:r>
      <w:r w:rsidRPr="00653421">
        <w:fldChar w:fldCharType="end"/>
      </w:r>
    </w:p>
    <w:p w:rsidR="00554623" w:rsidRPr="00734B50" w:rsidRDefault="00554623" w:rsidP="0095190D">
      <w:pPr>
        <w:pStyle w:val="TOC3"/>
        <w:rPr>
          <w:rFonts w:asciiTheme="minorHAnsi" w:eastAsiaTheme="minorEastAsia" w:hAnsiTheme="minorHAnsi" w:cstheme="minorBidi"/>
          <w:sz w:val="22"/>
          <w:szCs w:val="22"/>
          <w:lang w:val="pt-BR"/>
        </w:rPr>
      </w:pPr>
      <w:r w:rsidRPr="00734B50">
        <w:rPr>
          <w:lang w:val="pt-BR"/>
        </w:rPr>
        <w:t>Vexcel Desktop com Pacote de Conteúdo Aprimorado</w:t>
      </w:r>
      <w:r w:rsidRPr="00734B50">
        <w:rPr>
          <w:lang w:val="pt-BR"/>
        </w:rPr>
        <w:tab/>
      </w:r>
      <w:r w:rsidRPr="00653421">
        <w:fldChar w:fldCharType="begin"/>
      </w:r>
      <w:r w:rsidRPr="00734B50">
        <w:rPr>
          <w:lang w:val="pt-BR"/>
        </w:rPr>
        <w:instrText xml:space="preserve"> PAGEREF _Toc353470536 \h </w:instrText>
      </w:r>
      <w:r w:rsidRPr="00653421">
        <w:fldChar w:fldCharType="separate"/>
      </w:r>
      <w:r w:rsidR="00CE7565">
        <w:rPr>
          <w:lang w:val="pt-BR"/>
        </w:rPr>
        <w:t>17</w:t>
      </w:r>
      <w:r w:rsidRPr="00653421">
        <w:fldChar w:fldCharType="end"/>
      </w:r>
    </w:p>
    <w:p w:rsidR="00554623" w:rsidRPr="00734B50" w:rsidRDefault="00554623" w:rsidP="0095190D">
      <w:pPr>
        <w:pStyle w:val="TOC3"/>
        <w:rPr>
          <w:rFonts w:asciiTheme="minorHAnsi" w:eastAsiaTheme="minorEastAsia" w:hAnsiTheme="minorHAnsi" w:cstheme="minorBidi"/>
          <w:sz w:val="22"/>
          <w:szCs w:val="22"/>
          <w:lang w:val="it-IT"/>
        </w:rPr>
      </w:pPr>
      <w:r w:rsidRPr="00734B50">
        <w:rPr>
          <w:lang w:val="it-IT"/>
        </w:rPr>
        <w:t>Visio</w:t>
      </w:r>
      <w:r w:rsidRPr="00734B50">
        <w:rPr>
          <w:vertAlign w:val="superscript"/>
          <w:lang w:val="it-IT"/>
        </w:rPr>
        <w:t>®</w:t>
      </w:r>
      <w:r w:rsidRPr="00734B50">
        <w:rPr>
          <w:lang w:val="it-IT"/>
        </w:rPr>
        <w:t xml:space="preserve"> 2013 Professional</w:t>
      </w:r>
      <w:r w:rsidRPr="00734B50">
        <w:rPr>
          <w:lang w:val="it-IT"/>
        </w:rPr>
        <w:tab/>
      </w:r>
      <w:r w:rsidRPr="00653421">
        <w:fldChar w:fldCharType="begin"/>
      </w:r>
      <w:r w:rsidRPr="00734B50">
        <w:rPr>
          <w:lang w:val="it-IT"/>
        </w:rPr>
        <w:instrText xml:space="preserve"> PAGEREF _Toc353470537 \h </w:instrText>
      </w:r>
      <w:r w:rsidRPr="00653421">
        <w:fldChar w:fldCharType="separate"/>
      </w:r>
      <w:r w:rsidR="00CE7565">
        <w:rPr>
          <w:lang w:val="it-IT"/>
        </w:rPr>
        <w:t>17</w:t>
      </w:r>
      <w:r w:rsidRPr="00653421">
        <w:fldChar w:fldCharType="end"/>
      </w:r>
    </w:p>
    <w:p w:rsidR="00554623" w:rsidRPr="00734B50" w:rsidRDefault="00554623" w:rsidP="0095190D">
      <w:pPr>
        <w:pStyle w:val="TOC3"/>
        <w:rPr>
          <w:rFonts w:asciiTheme="minorHAnsi" w:eastAsiaTheme="minorEastAsia" w:hAnsiTheme="minorHAnsi" w:cstheme="minorBidi"/>
          <w:sz w:val="22"/>
          <w:szCs w:val="22"/>
          <w:lang w:val="it-IT"/>
        </w:rPr>
      </w:pPr>
      <w:r w:rsidRPr="00734B50">
        <w:rPr>
          <w:lang w:val="it-IT"/>
        </w:rPr>
        <w:t>Visio</w:t>
      </w:r>
      <w:r w:rsidRPr="00734B50">
        <w:rPr>
          <w:vertAlign w:val="superscript"/>
          <w:lang w:val="it-IT"/>
        </w:rPr>
        <w:t>®</w:t>
      </w:r>
      <w:r w:rsidRPr="00734B50">
        <w:rPr>
          <w:lang w:val="it-IT"/>
        </w:rPr>
        <w:t xml:space="preserve"> 2013 Standard</w:t>
      </w:r>
      <w:r w:rsidRPr="00734B50">
        <w:rPr>
          <w:lang w:val="it-IT"/>
        </w:rPr>
        <w:tab/>
      </w:r>
      <w:r w:rsidRPr="00653421">
        <w:fldChar w:fldCharType="begin"/>
      </w:r>
      <w:r w:rsidRPr="00734B50">
        <w:rPr>
          <w:lang w:val="it-IT"/>
        </w:rPr>
        <w:instrText xml:space="preserve"> PAGEREF _Toc353470538 \h </w:instrText>
      </w:r>
      <w:r w:rsidRPr="00653421">
        <w:fldChar w:fldCharType="separate"/>
      </w:r>
      <w:r w:rsidR="00CE7565">
        <w:rPr>
          <w:lang w:val="it-IT"/>
        </w:rPr>
        <w:t>17</w:t>
      </w:r>
      <w:r w:rsidRPr="00653421">
        <w:fldChar w:fldCharType="end"/>
      </w:r>
    </w:p>
    <w:p w:rsidR="00554623" w:rsidRPr="00734B50" w:rsidRDefault="00554623">
      <w:pPr>
        <w:pStyle w:val="TOC2"/>
        <w:rPr>
          <w:rFonts w:asciiTheme="minorHAnsi" w:eastAsiaTheme="minorEastAsia" w:hAnsiTheme="minorHAnsi" w:cstheme="minorBidi"/>
          <w:sz w:val="22"/>
          <w:szCs w:val="22"/>
          <w:lang w:val="it-IT"/>
        </w:rPr>
      </w:pPr>
      <w:r w:rsidRPr="00734B50">
        <w:rPr>
          <w:rFonts w:cs="Tahoma"/>
          <w:lang w:val="it-IT"/>
        </w:rPr>
        <w:t>Visio Pro para Office 365</w:t>
      </w:r>
      <w:r w:rsidRPr="00734B50">
        <w:rPr>
          <w:lang w:val="it-IT"/>
        </w:rPr>
        <w:tab/>
      </w:r>
      <w:r w:rsidRPr="00653421">
        <w:fldChar w:fldCharType="begin"/>
      </w:r>
      <w:r w:rsidRPr="00734B50">
        <w:rPr>
          <w:lang w:val="it-IT"/>
        </w:rPr>
        <w:instrText xml:space="preserve"> PAGEREF _Toc353470539 \h </w:instrText>
      </w:r>
      <w:r w:rsidRPr="00653421">
        <w:fldChar w:fldCharType="separate"/>
      </w:r>
      <w:r w:rsidR="00CE7565">
        <w:rPr>
          <w:lang w:val="it-IT"/>
        </w:rPr>
        <w:t>17</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Visio Pro para Office 365 A</w:t>
      </w:r>
      <w:r w:rsidRPr="00734B50">
        <w:rPr>
          <w:lang w:val="pt-BR"/>
        </w:rPr>
        <w:tab/>
      </w:r>
      <w:r w:rsidRPr="00653421">
        <w:fldChar w:fldCharType="begin"/>
      </w:r>
      <w:r w:rsidRPr="00734B50">
        <w:rPr>
          <w:lang w:val="pt-BR"/>
        </w:rPr>
        <w:instrText xml:space="preserve"> PAGEREF _Toc353470540 \h </w:instrText>
      </w:r>
      <w:r w:rsidRPr="00653421">
        <w:fldChar w:fldCharType="separate"/>
      </w:r>
      <w:r w:rsidR="00CE7565">
        <w:rPr>
          <w:lang w:val="pt-BR"/>
        </w:rPr>
        <w:t>17</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Visual Studio</w:t>
      </w:r>
      <w:r w:rsidRPr="00734B50">
        <w:rPr>
          <w:rFonts w:cs="Tahoma"/>
          <w:vertAlign w:val="superscript"/>
          <w:lang w:val="pt-BR"/>
        </w:rPr>
        <w:t>®</w:t>
      </w:r>
      <w:r w:rsidRPr="00734B50">
        <w:rPr>
          <w:rFonts w:cs="Tahoma"/>
          <w:lang w:val="pt-BR"/>
        </w:rPr>
        <w:t xml:space="preserve"> Professional 2012</w:t>
      </w:r>
      <w:r w:rsidRPr="00734B50">
        <w:rPr>
          <w:lang w:val="pt-BR"/>
        </w:rPr>
        <w:tab/>
      </w:r>
      <w:r w:rsidRPr="00653421">
        <w:fldChar w:fldCharType="begin"/>
      </w:r>
      <w:r w:rsidRPr="00734B50">
        <w:rPr>
          <w:lang w:val="pt-BR"/>
        </w:rPr>
        <w:instrText xml:space="preserve"> PAGEREF _Toc353470541 \h </w:instrText>
      </w:r>
      <w:r w:rsidRPr="00653421">
        <w:fldChar w:fldCharType="separate"/>
      </w:r>
      <w:r w:rsidR="00CE7565">
        <w:rPr>
          <w:lang w:val="pt-BR"/>
        </w:rPr>
        <w:t>17</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Visual Studio</w:t>
      </w:r>
      <w:r w:rsidRPr="00734B50">
        <w:rPr>
          <w:rFonts w:cs="Tahoma"/>
          <w:vertAlign w:val="superscript"/>
          <w:lang w:val="pt-BR"/>
        </w:rPr>
        <w:t>®</w:t>
      </w:r>
      <w:r w:rsidRPr="00734B50">
        <w:rPr>
          <w:rFonts w:cs="Tahoma"/>
          <w:lang w:val="pt-BR"/>
        </w:rPr>
        <w:t xml:space="preserve"> Professional 2012 com MSDN</w:t>
      </w:r>
      <w:r w:rsidRPr="00734B50">
        <w:rPr>
          <w:lang w:val="pt-BR"/>
        </w:rPr>
        <w:tab/>
      </w:r>
      <w:r w:rsidRPr="00653421">
        <w:fldChar w:fldCharType="begin"/>
      </w:r>
      <w:r w:rsidRPr="00734B50">
        <w:rPr>
          <w:lang w:val="pt-BR"/>
        </w:rPr>
        <w:instrText xml:space="preserve"> PAGEREF _Toc353470542 \h </w:instrText>
      </w:r>
      <w:r w:rsidRPr="00653421">
        <w:fldChar w:fldCharType="separate"/>
      </w:r>
      <w:r w:rsidR="00CE7565">
        <w:rPr>
          <w:lang w:val="pt-BR"/>
        </w:rPr>
        <w:t>17</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lastRenderedPageBreak/>
        <w:t>Visual Studio</w:t>
      </w:r>
      <w:r w:rsidRPr="00734B50">
        <w:rPr>
          <w:rFonts w:cs="Tahoma"/>
          <w:vertAlign w:val="superscript"/>
          <w:lang w:val="pt-BR"/>
        </w:rPr>
        <w:t>®</w:t>
      </w:r>
      <w:r w:rsidRPr="00734B50">
        <w:rPr>
          <w:rFonts w:cs="Tahoma"/>
          <w:lang w:val="pt-BR"/>
        </w:rPr>
        <w:t xml:space="preserve"> Premium 2012 com MSDN</w:t>
      </w:r>
      <w:r w:rsidRPr="00734B50">
        <w:rPr>
          <w:lang w:val="pt-BR"/>
        </w:rPr>
        <w:tab/>
      </w:r>
      <w:r w:rsidRPr="00653421">
        <w:fldChar w:fldCharType="begin"/>
      </w:r>
      <w:r w:rsidRPr="00734B50">
        <w:rPr>
          <w:lang w:val="pt-BR"/>
        </w:rPr>
        <w:instrText xml:space="preserve"> PAGEREF _Toc353470543 \h </w:instrText>
      </w:r>
      <w:r w:rsidRPr="00653421">
        <w:fldChar w:fldCharType="separate"/>
      </w:r>
      <w:r w:rsidR="00CE7565">
        <w:rPr>
          <w:lang w:val="pt-BR"/>
        </w:rPr>
        <w:t>17</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Visual Studio</w:t>
      </w:r>
      <w:r w:rsidRPr="00734B50">
        <w:rPr>
          <w:rFonts w:cs="Tahoma"/>
          <w:vertAlign w:val="superscript"/>
          <w:lang w:val="pt-BR"/>
        </w:rPr>
        <w:t>®</w:t>
      </w:r>
      <w:r w:rsidRPr="00734B50">
        <w:rPr>
          <w:rFonts w:cs="Tahoma"/>
          <w:lang w:val="pt-BR"/>
        </w:rPr>
        <w:t xml:space="preserve"> Ultimate 2012 com MSDN</w:t>
      </w:r>
      <w:r w:rsidRPr="00734B50">
        <w:rPr>
          <w:lang w:val="pt-BR"/>
        </w:rPr>
        <w:tab/>
      </w:r>
      <w:r w:rsidRPr="00653421">
        <w:fldChar w:fldCharType="begin"/>
      </w:r>
      <w:r w:rsidRPr="00734B50">
        <w:rPr>
          <w:lang w:val="pt-BR"/>
        </w:rPr>
        <w:instrText xml:space="preserve"> PAGEREF _Toc353470544 \h </w:instrText>
      </w:r>
      <w:r w:rsidRPr="00653421">
        <w:fldChar w:fldCharType="separate"/>
      </w:r>
      <w:r w:rsidR="00CE7565">
        <w:rPr>
          <w:lang w:val="pt-BR"/>
        </w:rPr>
        <w:t>17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Visual Studio</w:t>
      </w:r>
      <w:r w:rsidRPr="00653421">
        <w:rPr>
          <w:rFonts w:cs="Tahoma"/>
          <w:vertAlign w:val="superscript"/>
        </w:rPr>
        <w:t>®</w:t>
      </w:r>
      <w:r w:rsidRPr="00653421">
        <w:rPr>
          <w:rFonts w:cs="Tahoma"/>
        </w:rPr>
        <w:t xml:space="preserve"> Test Professional 2012 com MSDN</w:t>
      </w:r>
      <w:r w:rsidRPr="00653421">
        <w:tab/>
      </w:r>
      <w:r w:rsidRPr="00653421">
        <w:fldChar w:fldCharType="begin"/>
      </w:r>
      <w:r w:rsidRPr="00653421">
        <w:instrText xml:space="preserve"> PAGEREF _Toc353470545 \h </w:instrText>
      </w:r>
      <w:r w:rsidRPr="00653421">
        <w:fldChar w:fldCharType="separate"/>
      </w:r>
      <w:r w:rsidR="00CE7565">
        <w:t>17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Word 2013</w:t>
      </w:r>
      <w:r w:rsidRPr="00653421">
        <w:tab/>
      </w:r>
      <w:r w:rsidRPr="00653421">
        <w:fldChar w:fldCharType="begin"/>
      </w:r>
      <w:r w:rsidRPr="00653421">
        <w:instrText xml:space="preserve"> PAGEREF _Toc353470546 \h </w:instrText>
      </w:r>
      <w:r w:rsidRPr="00653421">
        <w:fldChar w:fldCharType="separate"/>
      </w:r>
      <w:r w:rsidR="00CE7565">
        <w:t>17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Word para Mac 2011</w:t>
      </w:r>
      <w:r w:rsidRPr="00653421">
        <w:tab/>
      </w:r>
      <w:r w:rsidRPr="00653421">
        <w:fldChar w:fldCharType="begin"/>
      </w:r>
      <w:r w:rsidRPr="00653421">
        <w:instrText xml:space="preserve"> PAGEREF _Toc353470547 \h </w:instrText>
      </w:r>
      <w:r w:rsidRPr="00653421">
        <w:fldChar w:fldCharType="separate"/>
      </w:r>
      <w:r w:rsidR="00CE7565">
        <w:t>17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POOL DE SISTEMAS</w:t>
      </w:r>
      <w:r w:rsidRPr="00653421">
        <w:tab/>
      </w:r>
      <w:r w:rsidRPr="00653421">
        <w:fldChar w:fldCharType="begin"/>
      </w:r>
      <w:r w:rsidRPr="00653421">
        <w:instrText xml:space="preserve"> PAGEREF _Toc353470548 \h </w:instrText>
      </w:r>
      <w:r w:rsidRPr="00653421">
        <w:fldChar w:fldCharType="separate"/>
      </w:r>
      <w:r w:rsidR="00CE7565">
        <w:t>18</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Microsoft Desktop Optimization Pack para Software Assurance</w:t>
      </w:r>
      <w:r w:rsidRPr="00653421">
        <w:tab/>
      </w:r>
      <w:r w:rsidRPr="00653421">
        <w:fldChar w:fldCharType="begin"/>
      </w:r>
      <w:r w:rsidRPr="00653421">
        <w:instrText xml:space="preserve"> PAGEREF _Toc353470549 \h </w:instrText>
      </w:r>
      <w:r w:rsidRPr="00653421">
        <w:fldChar w:fldCharType="separate"/>
      </w:r>
      <w:r w:rsidR="00CE7565">
        <w:t>18</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Licença de Assinatura do Windows Companion</w:t>
      </w:r>
      <w:r w:rsidRPr="00653421">
        <w:tab/>
      </w:r>
      <w:r w:rsidRPr="00653421">
        <w:fldChar w:fldCharType="begin"/>
      </w:r>
      <w:r w:rsidRPr="00653421">
        <w:instrText xml:space="preserve"> PAGEREF _Toc353470550 \h </w:instrText>
      </w:r>
      <w:r w:rsidRPr="00653421">
        <w:fldChar w:fldCharType="separate"/>
      </w:r>
      <w:r w:rsidR="00CE7565">
        <w:t>18</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Vista DVD Playback Pack</w:t>
      </w:r>
      <w:r w:rsidRPr="00653421">
        <w:tab/>
      </w:r>
      <w:r w:rsidRPr="00653421">
        <w:fldChar w:fldCharType="begin"/>
      </w:r>
      <w:r w:rsidRPr="00653421">
        <w:instrText xml:space="preserve"> PAGEREF _Toc353470551 \h </w:instrText>
      </w:r>
      <w:r w:rsidRPr="00653421">
        <w:fldChar w:fldCharType="separate"/>
      </w:r>
      <w:r w:rsidR="00CE7565">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Direitos de Locação para Windows</w:t>
      </w:r>
      <w:r w:rsidRPr="00734B50">
        <w:rPr>
          <w:lang w:val="pt-BR"/>
        </w:rPr>
        <w:tab/>
      </w:r>
      <w:r w:rsidRPr="00653421">
        <w:fldChar w:fldCharType="begin"/>
      </w:r>
      <w:r w:rsidRPr="00734B50">
        <w:rPr>
          <w:lang w:val="pt-BR"/>
        </w:rPr>
        <w:instrText xml:space="preserve"> PAGEREF _Toc353470552 \h </w:instrText>
      </w:r>
      <w:r w:rsidRPr="00653421">
        <w:fldChar w:fldCharType="separate"/>
      </w:r>
      <w:r w:rsidR="00CE7565">
        <w:rPr>
          <w:lang w:val="pt-BR"/>
        </w:rPr>
        <w:t>18</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8 Enterprise Sideloading (Pacote com 100)</w:t>
      </w:r>
      <w:r w:rsidRPr="00653421">
        <w:tab/>
      </w:r>
      <w:r w:rsidRPr="00653421">
        <w:fldChar w:fldCharType="begin"/>
      </w:r>
      <w:r w:rsidRPr="00653421">
        <w:instrText xml:space="preserve"> PAGEREF _Toc353470553 \h </w:instrText>
      </w:r>
      <w:r w:rsidRPr="00653421">
        <w:fldChar w:fldCharType="separate"/>
      </w:r>
      <w:r w:rsidR="00CE7565">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Parceiros na Aprendizagem do Windows</w:t>
      </w:r>
      <w:r w:rsidRPr="00734B50">
        <w:rPr>
          <w:rFonts w:cs="Tahoma"/>
          <w:vertAlign w:val="superscript"/>
          <w:lang w:val="pt-BR"/>
        </w:rPr>
        <w:t>®</w:t>
      </w:r>
      <w:r w:rsidRPr="00734B50">
        <w:rPr>
          <w:rFonts w:cs="Tahoma"/>
          <w:lang w:val="pt-BR"/>
        </w:rPr>
        <w:t xml:space="preserve"> 7</w:t>
      </w:r>
      <w:r w:rsidRPr="00734B50">
        <w:rPr>
          <w:lang w:val="pt-BR"/>
        </w:rPr>
        <w:tab/>
      </w:r>
      <w:r w:rsidRPr="00653421">
        <w:fldChar w:fldCharType="begin"/>
      </w:r>
      <w:r w:rsidRPr="00734B50">
        <w:rPr>
          <w:lang w:val="pt-BR"/>
        </w:rPr>
        <w:instrText xml:space="preserve"> PAGEREF _Toc353470554 \h </w:instrText>
      </w:r>
      <w:r w:rsidRPr="00653421">
        <w:fldChar w:fldCharType="separate"/>
      </w:r>
      <w:r w:rsidR="00CE7565">
        <w:rPr>
          <w:lang w:val="pt-BR"/>
        </w:rPr>
        <w:t>18</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w:t>
      </w:r>
      <w:r w:rsidRPr="00653421">
        <w:rPr>
          <w:rFonts w:cs="Tahoma"/>
          <w:vertAlign w:val="superscript"/>
        </w:rPr>
        <w:t>®</w:t>
      </w:r>
      <w:r w:rsidRPr="00653421">
        <w:rPr>
          <w:rFonts w:cs="Tahoma"/>
        </w:rPr>
        <w:t xml:space="preserve"> 8 Pro</w:t>
      </w:r>
      <w:r w:rsidRPr="00653421">
        <w:tab/>
      </w:r>
      <w:r w:rsidRPr="00653421">
        <w:fldChar w:fldCharType="begin"/>
      </w:r>
      <w:r w:rsidRPr="00653421">
        <w:instrText xml:space="preserve"> PAGEREF _Toc353470555 \h </w:instrText>
      </w:r>
      <w:r w:rsidRPr="00653421">
        <w:fldChar w:fldCharType="separate"/>
      </w:r>
      <w:r w:rsidR="00CE7565">
        <w:t>18</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w:t>
      </w:r>
      <w:r w:rsidRPr="00653421">
        <w:rPr>
          <w:rFonts w:cs="Tahoma"/>
          <w:vertAlign w:val="superscript"/>
        </w:rPr>
        <w:t>®</w:t>
      </w:r>
      <w:r w:rsidRPr="00653421">
        <w:rPr>
          <w:rFonts w:cs="Tahoma"/>
        </w:rPr>
        <w:t xml:space="preserve"> 8 Pro com MDOP</w:t>
      </w:r>
      <w:r w:rsidRPr="00653421">
        <w:tab/>
      </w:r>
      <w:r w:rsidRPr="00653421">
        <w:fldChar w:fldCharType="begin"/>
      </w:r>
      <w:r w:rsidRPr="00653421">
        <w:instrText xml:space="preserve"> PAGEREF _Toc353470556 \h </w:instrText>
      </w:r>
      <w:r w:rsidRPr="00653421">
        <w:fldChar w:fldCharType="separate"/>
      </w:r>
      <w:r w:rsidR="00CE7565">
        <w:t>18</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Virtual Desktop Access (VDA)</w:t>
      </w:r>
      <w:r w:rsidRPr="00653421">
        <w:tab/>
      </w:r>
      <w:r w:rsidRPr="00653421">
        <w:fldChar w:fldCharType="begin"/>
      </w:r>
      <w:r w:rsidRPr="00653421">
        <w:instrText xml:space="preserve"> PAGEREF _Toc353470557 \h </w:instrText>
      </w:r>
      <w:r w:rsidRPr="00653421">
        <w:fldChar w:fldCharType="separate"/>
      </w:r>
      <w:r w:rsidR="00CE7565">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Windows Intune (Por Dispositivo)</w:t>
      </w:r>
      <w:r w:rsidRPr="00734B50">
        <w:rPr>
          <w:lang w:val="pt-BR"/>
        </w:rPr>
        <w:tab/>
      </w:r>
      <w:r w:rsidRPr="00653421">
        <w:fldChar w:fldCharType="begin"/>
      </w:r>
      <w:r w:rsidRPr="00734B50">
        <w:rPr>
          <w:lang w:val="pt-BR"/>
        </w:rPr>
        <w:instrText xml:space="preserve"> PAGEREF _Toc353470558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Complemento do Windows Intune (Por Dispositivo)</w:t>
      </w:r>
      <w:r w:rsidRPr="00734B50">
        <w:rPr>
          <w:lang w:val="pt-BR"/>
        </w:rPr>
        <w:tab/>
      </w:r>
      <w:r w:rsidRPr="00653421">
        <w:fldChar w:fldCharType="begin"/>
      </w:r>
      <w:r w:rsidRPr="00734B50">
        <w:rPr>
          <w:lang w:val="pt-BR"/>
        </w:rPr>
        <w:instrText xml:space="preserve"> PAGEREF _Toc353470559 \h </w:instrText>
      </w:r>
      <w:r w:rsidRPr="00653421">
        <w:fldChar w:fldCharType="separate"/>
      </w:r>
      <w:r w:rsidR="00CE7565">
        <w:rPr>
          <w:lang w:val="pt-BR"/>
        </w:rPr>
        <w:t>18</w:t>
      </w:r>
      <w:r w:rsidRPr="00653421">
        <w:fldChar w:fldCharType="end"/>
      </w:r>
    </w:p>
    <w:p w:rsidR="00554623" w:rsidRPr="00734B50" w:rsidRDefault="00554623" w:rsidP="0095190D">
      <w:pPr>
        <w:pStyle w:val="TOC3"/>
        <w:rPr>
          <w:rFonts w:asciiTheme="minorHAnsi" w:eastAsiaTheme="minorEastAsia" w:hAnsiTheme="minorHAnsi" w:cstheme="minorBidi"/>
          <w:sz w:val="22"/>
          <w:szCs w:val="22"/>
          <w:lang w:val="pt-BR"/>
        </w:rPr>
      </w:pPr>
      <w:r w:rsidRPr="00734B50">
        <w:rPr>
          <w:lang w:val="pt-BR"/>
        </w:rPr>
        <w:t>POOL DE SERVIDORES</w:t>
      </w:r>
      <w:r w:rsidRPr="00734B50">
        <w:rPr>
          <w:lang w:val="pt-BR"/>
        </w:rPr>
        <w:tab/>
      </w:r>
      <w:r w:rsidRPr="00653421">
        <w:fldChar w:fldCharType="begin"/>
      </w:r>
      <w:r w:rsidRPr="00734B50">
        <w:rPr>
          <w:lang w:val="pt-BR"/>
        </w:rPr>
        <w:instrText xml:space="preserve"> PAGEREF _Toc353470560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Bing Maps Consumer Controlado por Assinatura Mensal de Ativos</w:t>
      </w:r>
      <w:r w:rsidRPr="00734B50">
        <w:rPr>
          <w:lang w:val="pt-BR"/>
        </w:rPr>
        <w:tab/>
      </w:r>
      <w:r w:rsidRPr="00653421">
        <w:fldChar w:fldCharType="begin"/>
      </w:r>
      <w:r w:rsidRPr="00734B50">
        <w:rPr>
          <w:lang w:val="pt-BR"/>
        </w:rPr>
        <w:instrText xml:space="preserve"> PAGEREF _Toc353470561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Bing Maps para Assinatura Mensal de Tarifa por Plataforma Enterprise</w:t>
      </w:r>
      <w:r w:rsidRPr="00734B50">
        <w:rPr>
          <w:lang w:val="pt-BR"/>
        </w:rPr>
        <w:tab/>
      </w:r>
      <w:r w:rsidRPr="00653421">
        <w:fldChar w:fldCharType="begin"/>
      </w:r>
      <w:r w:rsidRPr="00734B50">
        <w:rPr>
          <w:lang w:val="pt-BR"/>
        </w:rPr>
        <w:instrText xml:space="preserve"> PAGEREF _Toc353470562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100 Mil Transações de Uso de Site Público do Bing Maps</w:t>
      </w:r>
      <w:r w:rsidRPr="00734B50">
        <w:rPr>
          <w:lang w:val="pt-BR"/>
        </w:rPr>
        <w:tab/>
      </w:r>
      <w:r w:rsidRPr="00653421">
        <w:fldChar w:fldCharType="begin"/>
      </w:r>
      <w:r w:rsidRPr="00734B50">
        <w:rPr>
          <w:lang w:val="pt-BR"/>
        </w:rPr>
        <w:instrText xml:space="preserve"> PAGEREF _Toc353470563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100 Mil Transações de Uso de Site Público do Bing Maps</w:t>
      </w:r>
      <w:r w:rsidRPr="00734B50">
        <w:rPr>
          <w:lang w:val="pt-BR"/>
        </w:rPr>
        <w:tab/>
      </w:r>
      <w:r w:rsidRPr="00653421">
        <w:fldChar w:fldCharType="begin"/>
      </w:r>
      <w:r w:rsidRPr="00734B50">
        <w:rPr>
          <w:lang w:val="pt-BR"/>
        </w:rPr>
        <w:instrText xml:space="preserve"> PAGEREF _Toc353470564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100 Mil Transações de Uso de Site Público do Bing Maps</w:t>
      </w:r>
      <w:r w:rsidRPr="00734B50">
        <w:rPr>
          <w:lang w:val="pt-BR"/>
        </w:rPr>
        <w:tab/>
      </w:r>
      <w:r w:rsidRPr="00653421">
        <w:fldChar w:fldCharType="begin"/>
      </w:r>
      <w:r w:rsidRPr="00734B50">
        <w:rPr>
          <w:lang w:val="pt-BR"/>
        </w:rPr>
        <w:instrText xml:space="preserve"> PAGEREF _Toc353470565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100 Mil Transações de Uso de Site Público do Bing Maps</w:t>
      </w:r>
      <w:r w:rsidRPr="00734B50">
        <w:rPr>
          <w:lang w:val="pt-BR"/>
        </w:rPr>
        <w:tab/>
      </w:r>
      <w:r w:rsidRPr="00653421">
        <w:fldChar w:fldCharType="begin"/>
      </w:r>
      <w:r w:rsidRPr="00734B50">
        <w:rPr>
          <w:lang w:val="pt-BR"/>
        </w:rPr>
        <w:instrText xml:space="preserve"> PAGEREF _Toc353470566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2,5 Milhões de Transações de Uso de Site Público do Bing Maps</w:t>
      </w:r>
      <w:r w:rsidRPr="00734B50">
        <w:rPr>
          <w:lang w:val="pt-BR"/>
        </w:rPr>
        <w:tab/>
      </w:r>
      <w:r w:rsidRPr="00653421">
        <w:fldChar w:fldCharType="begin"/>
      </w:r>
      <w:r w:rsidRPr="00734B50">
        <w:rPr>
          <w:lang w:val="pt-BR"/>
        </w:rPr>
        <w:instrText xml:space="preserve"> PAGEREF _Toc353470567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4,2 Milhões Transações de Uso de Site Público do Bing Maps</w:t>
      </w:r>
      <w:r w:rsidRPr="00734B50">
        <w:rPr>
          <w:lang w:val="pt-BR"/>
        </w:rPr>
        <w:tab/>
      </w:r>
      <w:r w:rsidRPr="00653421">
        <w:fldChar w:fldCharType="begin"/>
      </w:r>
      <w:r w:rsidRPr="00734B50">
        <w:rPr>
          <w:lang w:val="pt-BR"/>
        </w:rPr>
        <w:instrText xml:space="preserve"> PAGEREF _Toc353470568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8,4 Milhões de Transações de Uso de Site Público do Bing Maps</w:t>
      </w:r>
      <w:r w:rsidRPr="00734B50">
        <w:rPr>
          <w:lang w:val="pt-BR"/>
        </w:rPr>
        <w:tab/>
      </w:r>
      <w:r w:rsidRPr="00653421">
        <w:fldChar w:fldCharType="begin"/>
      </w:r>
      <w:r w:rsidRPr="00734B50">
        <w:rPr>
          <w:lang w:val="pt-BR"/>
        </w:rPr>
        <w:instrText xml:space="preserve"> PAGEREF _Toc353470569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Transações Ilimitadas de Uso de Site Público do Bing Maps</w:t>
      </w:r>
      <w:r w:rsidRPr="00734B50">
        <w:rPr>
          <w:lang w:val="pt-BR"/>
        </w:rPr>
        <w:tab/>
      </w:r>
      <w:r w:rsidRPr="00653421">
        <w:fldChar w:fldCharType="begin"/>
      </w:r>
      <w:r w:rsidRPr="00734B50">
        <w:rPr>
          <w:lang w:val="pt-BR"/>
        </w:rPr>
        <w:instrText xml:space="preserve"> PAGEREF _Toc353470570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100 Mil Transações de Uso de Site Interno do Bing Maps</w:t>
      </w:r>
      <w:r w:rsidRPr="00734B50">
        <w:rPr>
          <w:lang w:val="pt-BR"/>
        </w:rPr>
        <w:tab/>
      </w:r>
      <w:r w:rsidRPr="00653421">
        <w:fldChar w:fldCharType="begin"/>
      </w:r>
      <w:r w:rsidRPr="00734B50">
        <w:rPr>
          <w:lang w:val="pt-BR"/>
        </w:rPr>
        <w:instrText xml:space="preserve"> PAGEREF _Toc353470571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100 Mil Transações de Uso de Site Interno do Bing Maps</w:t>
      </w:r>
      <w:r w:rsidRPr="00734B50">
        <w:rPr>
          <w:lang w:val="pt-BR"/>
        </w:rPr>
        <w:tab/>
      </w:r>
      <w:r w:rsidRPr="00653421">
        <w:fldChar w:fldCharType="begin"/>
      </w:r>
      <w:r w:rsidRPr="00734B50">
        <w:rPr>
          <w:lang w:val="pt-BR"/>
        </w:rPr>
        <w:instrText xml:space="preserve"> PAGEREF _Toc353470572 \h </w:instrText>
      </w:r>
      <w:r w:rsidRPr="00653421">
        <w:fldChar w:fldCharType="separate"/>
      </w:r>
      <w:r w:rsidR="00CE7565">
        <w:rPr>
          <w:lang w:val="pt-BR"/>
        </w:rPr>
        <w:t>18</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100 Mil Transações de Uso de Site Interno do Bing Maps</w:t>
      </w:r>
      <w:r w:rsidRPr="00734B50">
        <w:rPr>
          <w:lang w:val="pt-BR"/>
        </w:rPr>
        <w:tab/>
      </w:r>
      <w:r w:rsidRPr="00653421">
        <w:fldChar w:fldCharType="begin"/>
      </w:r>
      <w:r w:rsidRPr="00734B50">
        <w:rPr>
          <w:lang w:val="pt-BR"/>
        </w:rPr>
        <w:instrText xml:space="preserve"> PAGEREF _Toc353470573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1,5 Milhões de Transações de Uso de Site Interno do Bing Maps</w:t>
      </w:r>
      <w:r w:rsidRPr="00734B50">
        <w:rPr>
          <w:lang w:val="pt-BR"/>
        </w:rPr>
        <w:tab/>
      </w:r>
      <w:r w:rsidRPr="00653421">
        <w:fldChar w:fldCharType="begin"/>
      </w:r>
      <w:r w:rsidRPr="00734B50">
        <w:rPr>
          <w:lang w:val="pt-BR"/>
        </w:rPr>
        <w:instrText xml:space="preserve"> PAGEREF _Toc353470574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2,1 Milhões de Transações de Uso de Site Interno do Bing Maps</w:t>
      </w:r>
      <w:r w:rsidRPr="00734B50">
        <w:rPr>
          <w:lang w:val="pt-BR"/>
        </w:rPr>
        <w:tab/>
      </w:r>
      <w:r w:rsidRPr="00653421">
        <w:fldChar w:fldCharType="begin"/>
      </w:r>
      <w:r w:rsidRPr="00734B50">
        <w:rPr>
          <w:lang w:val="pt-BR"/>
        </w:rPr>
        <w:instrText xml:space="preserve"> PAGEREF _Toc353470575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Transações Ilimitadas de Uso de Site Interno do Bing Maps</w:t>
      </w:r>
      <w:r w:rsidRPr="00734B50">
        <w:rPr>
          <w:lang w:val="pt-BR"/>
        </w:rPr>
        <w:tab/>
      </w:r>
      <w:r w:rsidRPr="00653421">
        <w:fldChar w:fldCharType="begin"/>
      </w:r>
      <w:r w:rsidRPr="00734B50">
        <w:rPr>
          <w:lang w:val="pt-BR"/>
        </w:rPr>
        <w:instrText xml:space="preserve"> PAGEREF _Toc353470576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Bing Maps por Assinatura Mensal de Usuários Conhecidos</w:t>
      </w:r>
      <w:r w:rsidRPr="00734B50">
        <w:rPr>
          <w:lang w:val="pt-BR"/>
        </w:rPr>
        <w:tab/>
      </w:r>
      <w:r w:rsidRPr="00653421">
        <w:fldChar w:fldCharType="begin"/>
      </w:r>
      <w:r w:rsidRPr="00734B50">
        <w:rPr>
          <w:lang w:val="pt-BR"/>
        </w:rPr>
        <w:instrText xml:space="preserve"> PAGEREF _Toc353470577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Bing Maps por Assinatura Mensal de Pacote de 5 Mil Usuários Conhecidos</w:t>
      </w:r>
      <w:r w:rsidRPr="00734B50">
        <w:rPr>
          <w:lang w:val="pt-BR"/>
        </w:rPr>
        <w:tab/>
      </w:r>
      <w:r w:rsidRPr="00653421">
        <w:fldChar w:fldCharType="begin"/>
      </w:r>
      <w:r w:rsidRPr="00734B50">
        <w:rPr>
          <w:lang w:val="pt-BR"/>
        </w:rPr>
        <w:instrText xml:space="preserve"> PAGEREF _Toc353470578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Bing Maps Light Conhecido por Assinatura Mensal de Usuários</w:t>
      </w:r>
      <w:r w:rsidRPr="00734B50">
        <w:rPr>
          <w:lang w:val="pt-BR"/>
        </w:rPr>
        <w:tab/>
      </w:r>
      <w:r w:rsidRPr="00653421">
        <w:fldChar w:fldCharType="begin"/>
      </w:r>
      <w:r w:rsidRPr="00734B50">
        <w:rPr>
          <w:lang w:val="pt-BR"/>
        </w:rPr>
        <w:instrText xml:space="preserve"> PAGEREF _Toc353470579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Bing Maps Light Conhecido por Assinatura Mensal de Pacote de 5 Mil Usuários</w:t>
      </w:r>
      <w:r w:rsidRPr="00734B50">
        <w:rPr>
          <w:lang w:val="pt-BR"/>
        </w:rPr>
        <w:tab/>
      </w:r>
      <w:r w:rsidRPr="00653421">
        <w:fldChar w:fldCharType="begin"/>
      </w:r>
      <w:r w:rsidRPr="00734B50">
        <w:rPr>
          <w:lang w:val="pt-BR"/>
        </w:rPr>
        <w:instrText xml:space="preserve"> PAGEREF _Toc353470580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Assinatura Mensal de Tarifa por Plataforma de Gerenciamento de Ativos Móveis do Bing Maps</w:t>
      </w:r>
      <w:r w:rsidRPr="00734B50">
        <w:rPr>
          <w:lang w:val="pt-BR"/>
        </w:rPr>
        <w:tab/>
      </w:r>
      <w:r w:rsidRPr="00653421">
        <w:fldChar w:fldCharType="begin"/>
      </w:r>
      <w:r w:rsidRPr="00734B50">
        <w:rPr>
          <w:lang w:val="pt-BR"/>
        </w:rPr>
        <w:instrText xml:space="preserve"> PAGEREF _Toc353470581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 xml:space="preserve">Gerenciamento de Ativos Móveis do Bing Maps (América do Norte) com roteamento por </w:t>
      </w:r>
      <w:r w:rsidRPr="00734B50">
        <w:rPr>
          <w:rFonts w:cs="Tahoma"/>
          <w:lang w:val="pt-BR"/>
        </w:rPr>
        <w:br/>
        <w:t>Assinatura Mensal de Ativos</w:t>
      </w:r>
      <w:r w:rsidRPr="00734B50">
        <w:rPr>
          <w:lang w:val="pt-BR"/>
        </w:rPr>
        <w:tab/>
      </w:r>
      <w:r w:rsidRPr="00653421">
        <w:fldChar w:fldCharType="begin"/>
      </w:r>
      <w:r w:rsidRPr="00734B50">
        <w:rPr>
          <w:lang w:val="pt-BR"/>
        </w:rPr>
        <w:instrText xml:space="preserve"> PAGEREF _Toc353470582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 xml:space="preserve">Gerenciamento de Ativos Móveis do Bing Maps (América do Norte) sem roteamento por </w:t>
      </w:r>
      <w:r w:rsidRPr="00734B50">
        <w:rPr>
          <w:rFonts w:cs="Tahoma"/>
          <w:lang w:val="pt-BR"/>
        </w:rPr>
        <w:br/>
        <w:t>Assinatura Mensal de Ativos</w:t>
      </w:r>
      <w:r w:rsidRPr="00734B50">
        <w:rPr>
          <w:lang w:val="pt-BR"/>
        </w:rPr>
        <w:tab/>
      </w:r>
      <w:r w:rsidRPr="00653421">
        <w:fldChar w:fldCharType="begin"/>
      </w:r>
      <w:r w:rsidRPr="00734B50">
        <w:rPr>
          <w:lang w:val="pt-BR"/>
        </w:rPr>
        <w:instrText xml:space="preserve"> PAGEREF _Toc353470583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Gerenciamento de Ativos Móveis do Bing Maps (Europa) com roteamento por Assinatura Mensal de Ativos</w:t>
      </w:r>
      <w:r w:rsidRPr="00734B50">
        <w:rPr>
          <w:lang w:val="pt-BR"/>
        </w:rPr>
        <w:tab/>
      </w:r>
      <w:r w:rsidRPr="00653421">
        <w:fldChar w:fldCharType="begin"/>
      </w:r>
      <w:r w:rsidRPr="00734B50">
        <w:rPr>
          <w:lang w:val="pt-BR"/>
        </w:rPr>
        <w:instrText xml:space="preserve"> PAGEREF _Toc353470584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Gerenciamento de Ativos Móveis do Bing Maps (Europa) sem roteamento por Assinatura Mensal de Ativos</w:t>
      </w:r>
      <w:r w:rsidRPr="00734B50">
        <w:rPr>
          <w:lang w:val="pt-BR"/>
        </w:rPr>
        <w:tab/>
      </w:r>
      <w:r w:rsidRPr="00653421">
        <w:fldChar w:fldCharType="begin"/>
      </w:r>
      <w:r w:rsidRPr="00734B50">
        <w:rPr>
          <w:lang w:val="pt-BR"/>
        </w:rPr>
        <w:instrText xml:space="preserve"> PAGEREF _Toc353470585 \h </w:instrText>
      </w:r>
      <w:r w:rsidRPr="00653421">
        <w:fldChar w:fldCharType="separate"/>
      </w:r>
      <w:r w:rsidR="00CE7565">
        <w:rPr>
          <w:lang w:val="pt-BR"/>
        </w:rPr>
        <w:t>19</w:t>
      </w:r>
      <w:r w:rsidRPr="00653421">
        <w:fldChar w:fldCharType="end"/>
      </w:r>
    </w:p>
    <w:p w:rsidR="00554623" w:rsidRPr="00734B50" w:rsidRDefault="00554623">
      <w:pPr>
        <w:pStyle w:val="TOC2"/>
        <w:rPr>
          <w:rFonts w:asciiTheme="minorHAnsi" w:eastAsiaTheme="minorEastAsia" w:hAnsiTheme="minorHAnsi" w:cstheme="minorBidi"/>
          <w:sz w:val="22"/>
          <w:szCs w:val="22"/>
          <w:lang w:val="pt-BR"/>
        </w:rPr>
      </w:pPr>
      <w:r w:rsidRPr="00734B50">
        <w:rPr>
          <w:rFonts w:cs="Tahoma"/>
          <w:lang w:val="pt-BR"/>
        </w:rPr>
        <w:t>CAL do Bing Maps Server</w:t>
      </w:r>
      <w:r w:rsidRPr="00734B50">
        <w:rPr>
          <w:lang w:val="pt-BR"/>
        </w:rPr>
        <w:tab/>
      </w:r>
      <w:r w:rsidRPr="00653421">
        <w:fldChar w:fldCharType="begin"/>
      </w:r>
      <w:r w:rsidRPr="00734B50">
        <w:rPr>
          <w:lang w:val="pt-BR"/>
        </w:rPr>
        <w:instrText xml:space="preserve"> PAGEREF _Toc353470586 \h </w:instrText>
      </w:r>
      <w:r w:rsidRPr="00653421">
        <w:fldChar w:fldCharType="separate"/>
      </w:r>
      <w:r w:rsidR="00CE7565">
        <w:rPr>
          <w:lang w:val="pt-BR"/>
        </w:rPr>
        <w:t>19</w:t>
      </w:r>
      <w:r w:rsidRPr="00653421">
        <w:fldChar w:fldCharType="end"/>
      </w:r>
    </w:p>
    <w:p w:rsidR="00554623" w:rsidRPr="00734B50" w:rsidRDefault="00554623" w:rsidP="0095190D">
      <w:pPr>
        <w:pStyle w:val="TOC3"/>
        <w:rPr>
          <w:rFonts w:asciiTheme="minorHAnsi" w:eastAsiaTheme="minorEastAsia" w:hAnsiTheme="minorHAnsi" w:cstheme="minorBidi"/>
          <w:sz w:val="22"/>
          <w:szCs w:val="22"/>
          <w:lang w:val="pt-BR"/>
        </w:rPr>
      </w:pPr>
      <w:r w:rsidRPr="00734B50">
        <w:rPr>
          <w:lang w:val="pt-BR"/>
        </w:rPr>
        <w:t>CAL do Bing Maps Server com Pacote de Conteúdo Aprimorado</w:t>
      </w:r>
      <w:r w:rsidRPr="00734B50">
        <w:rPr>
          <w:lang w:val="pt-BR"/>
        </w:rPr>
        <w:tab/>
      </w:r>
      <w:r w:rsidRPr="00653421">
        <w:fldChar w:fldCharType="begin"/>
      </w:r>
      <w:r w:rsidRPr="00734B50">
        <w:rPr>
          <w:lang w:val="pt-BR"/>
        </w:rPr>
        <w:instrText xml:space="preserve"> PAGEREF _Toc353470587 \h </w:instrText>
      </w:r>
      <w:r w:rsidRPr="00653421">
        <w:fldChar w:fldCharType="separate"/>
      </w:r>
      <w:r w:rsidR="00CE7565">
        <w:rPr>
          <w:lang w:val="pt-BR"/>
        </w:rPr>
        <w:t>19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lang w:val="pt-BR"/>
        </w:rPr>
        <w:t>Bing Maps Standard (SL de Usuário)</w:t>
      </w:r>
      <w:r w:rsidRPr="00CE7565">
        <w:rPr>
          <w:lang w:val="pt-BR"/>
        </w:rPr>
        <w:tab/>
      </w:r>
      <w:r w:rsidRPr="00653421">
        <w:fldChar w:fldCharType="begin"/>
      </w:r>
      <w:r w:rsidRPr="00CE7565">
        <w:rPr>
          <w:lang w:val="pt-BR"/>
        </w:rPr>
        <w:instrText xml:space="preserve"> PAGEREF _Toc353470588 \h </w:instrText>
      </w:r>
      <w:r w:rsidRPr="00653421">
        <w:fldChar w:fldCharType="separate"/>
      </w:r>
      <w:r w:rsidR="00CE7565" w:rsidRPr="00CE7565">
        <w:rPr>
          <w:lang w:val="pt-BR"/>
        </w:rPr>
        <w:t>19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lang w:val="pt-BR"/>
        </w:rPr>
        <w:t>Bing Maps Standard (SL de Serviços)</w:t>
      </w:r>
      <w:r w:rsidRPr="00CE7565">
        <w:rPr>
          <w:lang w:val="pt-BR"/>
        </w:rPr>
        <w:tab/>
      </w:r>
      <w:r w:rsidRPr="00653421">
        <w:fldChar w:fldCharType="begin"/>
      </w:r>
      <w:r w:rsidRPr="00CE7565">
        <w:rPr>
          <w:lang w:val="pt-BR"/>
        </w:rPr>
        <w:instrText xml:space="preserve"> PAGEREF _Toc353470589 \h </w:instrText>
      </w:r>
      <w:r w:rsidRPr="00653421">
        <w:fldChar w:fldCharType="separate"/>
      </w:r>
      <w:r w:rsidR="00CE7565" w:rsidRPr="00CE7565">
        <w:rPr>
          <w:lang w:val="pt-BR"/>
        </w:rPr>
        <w:t>19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BizTalk</w:t>
      </w:r>
      <w:r w:rsidRPr="00CE7565">
        <w:rPr>
          <w:rFonts w:cs="Tahoma"/>
          <w:vertAlign w:val="superscript"/>
          <w:lang w:val="pt-BR"/>
        </w:rPr>
        <w:t>®</w:t>
      </w:r>
      <w:r w:rsidRPr="00CE7565">
        <w:rPr>
          <w:rFonts w:cs="Tahoma"/>
          <w:lang w:val="pt-BR"/>
        </w:rPr>
        <w:t xml:space="preserve"> Server 2013 Branch Edition</w:t>
      </w:r>
      <w:r w:rsidRPr="00CE7565">
        <w:rPr>
          <w:lang w:val="pt-BR"/>
        </w:rPr>
        <w:tab/>
      </w:r>
      <w:r w:rsidRPr="00653421">
        <w:fldChar w:fldCharType="begin"/>
      </w:r>
      <w:r w:rsidRPr="00CE7565">
        <w:rPr>
          <w:lang w:val="pt-BR"/>
        </w:rPr>
        <w:instrText xml:space="preserve"> PAGEREF _Toc353470590 \h </w:instrText>
      </w:r>
      <w:r w:rsidRPr="00653421">
        <w:fldChar w:fldCharType="separate"/>
      </w:r>
      <w:r w:rsidR="00CE7565" w:rsidRPr="00CE7565">
        <w:rPr>
          <w:lang w:val="pt-BR"/>
        </w:rPr>
        <w:t>19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BizTalk</w:t>
      </w:r>
      <w:r w:rsidRPr="00CE7565">
        <w:rPr>
          <w:rFonts w:cs="Tahoma"/>
          <w:vertAlign w:val="superscript"/>
          <w:lang w:val="pt-BR"/>
        </w:rPr>
        <w:t>®</w:t>
      </w:r>
      <w:r w:rsidRPr="00CE7565">
        <w:rPr>
          <w:rFonts w:cs="Tahoma"/>
          <w:lang w:val="pt-BR"/>
        </w:rPr>
        <w:t xml:space="preserve"> Server 2013 Enterprise Edition</w:t>
      </w:r>
      <w:r w:rsidRPr="00CE7565">
        <w:rPr>
          <w:lang w:val="pt-BR"/>
        </w:rPr>
        <w:tab/>
      </w:r>
      <w:r w:rsidRPr="00653421">
        <w:fldChar w:fldCharType="begin"/>
      </w:r>
      <w:r w:rsidRPr="00CE7565">
        <w:rPr>
          <w:lang w:val="pt-BR"/>
        </w:rPr>
        <w:instrText xml:space="preserve"> PAGEREF _Toc353470591 \h </w:instrText>
      </w:r>
      <w:r w:rsidRPr="00653421">
        <w:fldChar w:fldCharType="separate"/>
      </w:r>
      <w:r w:rsidR="00CE7565" w:rsidRPr="00CE7565">
        <w:rPr>
          <w:lang w:val="pt-BR"/>
        </w:rPr>
        <w:t>19</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BizTalk</w:t>
      </w:r>
      <w:r w:rsidRPr="00653421">
        <w:rPr>
          <w:rFonts w:cs="Tahoma"/>
          <w:vertAlign w:val="superscript"/>
        </w:rPr>
        <w:t>®</w:t>
      </w:r>
      <w:r w:rsidRPr="00653421">
        <w:rPr>
          <w:rFonts w:cs="Tahoma"/>
        </w:rPr>
        <w:t xml:space="preserve"> Server 2013 Branch IDC</w:t>
      </w:r>
      <w:r w:rsidRPr="00653421">
        <w:tab/>
      </w:r>
      <w:r w:rsidRPr="00653421">
        <w:fldChar w:fldCharType="begin"/>
      </w:r>
      <w:r w:rsidRPr="00653421">
        <w:instrText xml:space="preserve"> PAGEREF _Toc353470592 \h </w:instrText>
      </w:r>
      <w:r w:rsidRPr="00653421">
        <w:fldChar w:fldCharType="separate"/>
      </w:r>
      <w:r w:rsidR="00CE7565">
        <w:t>19</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BizTalk</w:t>
      </w:r>
      <w:r w:rsidRPr="00653421">
        <w:rPr>
          <w:rFonts w:cs="Tahoma"/>
          <w:vertAlign w:val="superscript"/>
        </w:rPr>
        <w:t>®</w:t>
      </w:r>
      <w:r w:rsidRPr="00653421">
        <w:rPr>
          <w:rFonts w:cs="Tahoma"/>
        </w:rPr>
        <w:t xml:space="preserve"> Server 2013 Standard Edition</w:t>
      </w:r>
      <w:r w:rsidRPr="00653421">
        <w:tab/>
      </w:r>
      <w:r w:rsidRPr="00653421">
        <w:fldChar w:fldCharType="begin"/>
      </w:r>
      <w:r w:rsidRPr="00653421">
        <w:instrText xml:space="preserve"> PAGEREF _Toc353470593 \h </w:instrText>
      </w:r>
      <w:r w:rsidRPr="00653421">
        <w:fldChar w:fldCharType="separate"/>
      </w:r>
      <w:r w:rsidR="00CE7565">
        <w:t>19</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BizTalk</w:t>
      </w:r>
      <w:r w:rsidRPr="00653421">
        <w:rPr>
          <w:rFonts w:cs="Tahoma"/>
          <w:vertAlign w:val="superscript"/>
        </w:rPr>
        <w:t>®</w:t>
      </w:r>
      <w:r w:rsidRPr="00653421">
        <w:rPr>
          <w:rFonts w:cs="Tahoma"/>
        </w:rPr>
        <w:t xml:space="preserve"> Server 2013 Standard Edition IDC</w:t>
      </w:r>
      <w:r w:rsidRPr="00653421">
        <w:tab/>
      </w:r>
      <w:r w:rsidRPr="00653421">
        <w:fldChar w:fldCharType="begin"/>
      </w:r>
      <w:r w:rsidRPr="00653421">
        <w:instrText xml:space="preserve"> PAGEREF _Toc353470594 \h </w:instrText>
      </w:r>
      <w:r w:rsidRPr="00653421">
        <w:fldChar w:fldCharType="separate"/>
      </w:r>
      <w:r w:rsidR="00CE7565">
        <w:t>19</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Business Intelligence Appliance 2012</w:t>
      </w:r>
      <w:r w:rsidRPr="00653421">
        <w:tab/>
      </w:r>
      <w:r w:rsidRPr="00653421">
        <w:fldChar w:fldCharType="begin"/>
      </w:r>
      <w:r w:rsidRPr="00653421">
        <w:instrText xml:space="preserve"> PAGEREF _Toc353470595 \h </w:instrText>
      </w:r>
      <w:r w:rsidRPr="00653421">
        <w:fldChar w:fldCharType="separate"/>
      </w:r>
      <w:r w:rsidR="00CE7565">
        <w:t>19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Bridge do Pacote de CALs Principais para Office 365 (Usuário e Dispositivo)</w:t>
      </w:r>
      <w:r w:rsidRPr="00CE7565">
        <w:rPr>
          <w:lang w:val="pt-BR"/>
        </w:rPr>
        <w:tab/>
      </w:r>
      <w:r w:rsidRPr="00653421">
        <w:fldChar w:fldCharType="begin"/>
      </w:r>
      <w:r w:rsidRPr="00CE7565">
        <w:rPr>
          <w:lang w:val="pt-BR"/>
        </w:rPr>
        <w:instrText xml:space="preserve"> PAGEREF _Toc353470596 \h </w:instrText>
      </w:r>
      <w:r w:rsidRPr="00653421">
        <w:fldChar w:fldCharType="separate"/>
      </w:r>
      <w:r w:rsidR="00CE7565" w:rsidRPr="00CE7565">
        <w:rPr>
          <w:lang w:val="pt-BR"/>
        </w:rPr>
        <w:t>19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Bridge do Pacote de CALs Principais para Office 365 e Windows</w:t>
      </w:r>
      <w:r w:rsidRPr="00CE7565">
        <w:rPr>
          <w:rFonts w:cs="Tahoma"/>
          <w:vertAlign w:val="superscript"/>
          <w:lang w:val="pt-BR"/>
        </w:rPr>
        <w:t>®</w:t>
      </w:r>
      <w:r w:rsidRPr="00CE7565">
        <w:rPr>
          <w:rFonts w:cs="Tahoma"/>
          <w:lang w:val="pt-BR"/>
        </w:rPr>
        <w:t xml:space="preserve"> Intune (Usuário e Dispositivo)</w:t>
      </w:r>
      <w:r w:rsidRPr="00CE7565">
        <w:rPr>
          <w:lang w:val="pt-BR"/>
        </w:rPr>
        <w:tab/>
      </w:r>
      <w:r w:rsidRPr="00653421">
        <w:fldChar w:fldCharType="begin"/>
      </w:r>
      <w:r w:rsidRPr="00CE7565">
        <w:rPr>
          <w:lang w:val="pt-BR"/>
        </w:rPr>
        <w:instrText xml:space="preserve"> PAGEREF _Toc353470597 \h </w:instrText>
      </w:r>
      <w:r w:rsidRPr="00653421">
        <w:fldChar w:fldCharType="separate"/>
      </w:r>
      <w:r w:rsidR="00CE7565" w:rsidRPr="00CE7565">
        <w:rPr>
          <w:lang w:val="pt-BR"/>
        </w:rPr>
        <w:t>19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Bridge do Pacote de CALs Principais para Windows</w:t>
      </w:r>
      <w:r w:rsidRPr="00CE7565">
        <w:rPr>
          <w:rFonts w:cs="Tahoma"/>
          <w:vertAlign w:val="superscript"/>
          <w:lang w:val="pt-BR"/>
        </w:rPr>
        <w:t>®</w:t>
      </w:r>
      <w:r w:rsidRPr="00CE7565">
        <w:rPr>
          <w:rFonts w:cs="Tahoma"/>
          <w:lang w:val="pt-BR"/>
        </w:rPr>
        <w:t xml:space="preserve"> Intune (Usuário e Dispositivo)</w:t>
      </w:r>
      <w:r w:rsidRPr="00CE7565">
        <w:rPr>
          <w:lang w:val="pt-BR"/>
        </w:rPr>
        <w:tab/>
      </w:r>
      <w:r w:rsidRPr="00653421">
        <w:fldChar w:fldCharType="begin"/>
      </w:r>
      <w:r w:rsidRPr="00CE7565">
        <w:rPr>
          <w:lang w:val="pt-BR"/>
        </w:rPr>
        <w:instrText xml:space="preserve"> PAGEREF _Toc353470598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Core CAL Suite (Usuário e Dispositivo)</w:t>
      </w:r>
      <w:r w:rsidRPr="00CE7565">
        <w:rPr>
          <w:lang w:val="fr-FR"/>
        </w:rPr>
        <w:tab/>
      </w:r>
      <w:r w:rsidRPr="00653421">
        <w:fldChar w:fldCharType="begin"/>
      </w:r>
      <w:r w:rsidRPr="00CE7565">
        <w:rPr>
          <w:lang w:val="fr-FR"/>
        </w:rPr>
        <w:instrText xml:space="preserve"> PAGEREF _Toc353470599 \h </w:instrText>
      </w:r>
      <w:r w:rsidRPr="00653421">
        <w:fldChar w:fldCharType="separate"/>
      </w:r>
      <w:r w:rsidR="00CE7565" w:rsidRPr="00CE7565">
        <w:rPr>
          <w:lang w:val="fr-F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lastRenderedPageBreak/>
        <w:t>Core Infrastructure Server Suite Standard</w:t>
      </w:r>
      <w:r w:rsidRPr="00CE7565">
        <w:rPr>
          <w:lang w:val="fr-FR"/>
        </w:rPr>
        <w:tab/>
      </w:r>
      <w:r w:rsidRPr="00653421">
        <w:fldChar w:fldCharType="begin"/>
      </w:r>
      <w:r w:rsidRPr="00CE7565">
        <w:rPr>
          <w:lang w:val="fr-FR"/>
        </w:rPr>
        <w:instrText xml:space="preserve"> PAGEREF _Toc353470600 \h </w:instrText>
      </w:r>
      <w:r w:rsidRPr="00653421">
        <w:fldChar w:fldCharType="separate"/>
      </w:r>
      <w:r w:rsidR="00CE7565" w:rsidRPr="00CE7565">
        <w:rPr>
          <w:lang w:val="fr-F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Core Infrastructure Server Suite Enterprise</w:t>
      </w:r>
      <w:r w:rsidRPr="00CE7565">
        <w:rPr>
          <w:lang w:val="fr-FR"/>
        </w:rPr>
        <w:tab/>
      </w:r>
      <w:r w:rsidRPr="00653421">
        <w:fldChar w:fldCharType="begin"/>
      </w:r>
      <w:r w:rsidRPr="00CE7565">
        <w:rPr>
          <w:lang w:val="fr-FR"/>
        </w:rPr>
        <w:instrText xml:space="preserve"> PAGEREF _Toc353470601 \h </w:instrText>
      </w:r>
      <w:r w:rsidRPr="00653421">
        <w:fldChar w:fldCharType="separate"/>
      </w:r>
      <w:r w:rsidR="00CE7565" w:rsidRPr="00CE7565">
        <w:rPr>
          <w:lang w:val="fr-F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Core Infrastructure Server Suite Datacenter</w:t>
      </w:r>
      <w:r w:rsidRPr="00CE7565">
        <w:rPr>
          <w:lang w:val="fr-FR"/>
        </w:rPr>
        <w:tab/>
      </w:r>
      <w:r w:rsidRPr="00653421">
        <w:fldChar w:fldCharType="begin"/>
      </w:r>
      <w:r w:rsidRPr="00CE7565">
        <w:rPr>
          <w:lang w:val="fr-FR"/>
        </w:rPr>
        <w:instrText xml:space="preserve"> PAGEREF _Toc353470602 \h </w:instrText>
      </w:r>
      <w:r w:rsidRPr="00653421">
        <w:fldChar w:fldCharType="separate"/>
      </w:r>
      <w:r w:rsidR="00CE7565" w:rsidRPr="00CE7565">
        <w:rPr>
          <w:lang w:val="fr-F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Duet Enterprise 2.0</w:t>
      </w:r>
      <w:r w:rsidRPr="00CE7565">
        <w:rPr>
          <w:lang w:val="fr-FR"/>
        </w:rPr>
        <w:tab/>
      </w:r>
      <w:r w:rsidRPr="00653421">
        <w:fldChar w:fldCharType="begin"/>
      </w:r>
      <w:r w:rsidRPr="00CE7565">
        <w:rPr>
          <w:lang w:val="fr-FR"/>
        </w:rPr>
        <w:instrText xml:space="preserve"> PAGEREF _Toc353470603 \h </w:instrText>
      </w:r>
      <w:r w:rsidRPr="00653421">
        <w:fldChar w:fldCharType="separate"/>
      </w:r>
      <w:r w:rsidR="00CE7565" w:rsidRPr="00CE7565">
        <w:rPr>
          <w:lang w:val="fr-F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Dynamics CRM Online Extra Storage</w:t>
      </w:r>
      <w:r w:rsidRPr="00CE7565">
        <w:rPr>
          <w:lang w:val="fr-FR"/>
        </w:rPr>
        <w:tab/>
      </w:r>
      <w:r w:rsidRPr="00653421">
        <w:fldChar w:fldCharType="begin"/>
      </w:r>
      <w:r w:rsidRPr="00CE7565">
        <w:rPr>
          <w:lang w:val="fr-FR"/>
        </w:rPr>
        <w:instrText xml:space="preserve"> PAGEREF _Toc353470604 \h </w:instrText>
      </w:r>
      <w:r w:rsidRPr="00653421">
        <w:fldChar w:fldCharType="separate"/>
      </w:r>
      <w:r w:rsidR="00CE7565" w:rsidRPr="00CE7565">
        <w:rPr>
          <w:lang w:val="fr-F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Dynamics CRM Online por Usuário</w:t>
      </w:r>
      <w:r w:rsidRPr="00CE7565">
        <w:rPr>
          <w:lang w:val="fr-FR"/>
        </w:rPr>
        <w:tab/>
      </w:r>
      <w:r w:rsidRPr="00653421">
        <w:fldChar w:fldCharType="begin"/>
      </w:r>
      <w:r w:rsidRPr="00CE7565">
        <w:rPr>
          <w:lang w:val="fr-FR"/>
        </w:rPr>
        <w:instrText xml:space="preserve"> PAGEREF _Toc353470605 \h </w:instrText>
      </w:r>
      <w:r w:rsidRPr="00653421">
        <w:fldChar w:fldCharType="separate"/>
      </w:r>
      <w:r w:rsidR="00CE7565" w:rsidRPr="00CE7565">
        <w:rPr>
          <w:lang w:val="fr-F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Dynamics CRM Online para SA</w:t>
      </w:r>
      <w:r w:rsidRPr="00CE7565">
        <w:rPr>
          <w:lang w:val="pt-BR"/>
        </w:rPr>
        <w:tab/>
      </w:r>
      <w:r w:rsidRPr="00653421">
        <w:fldChar w:fldCharType="begin"/>
      </w:r>
      <w:r w:rsidRPr="00CE7565">
        <w:rPr>
          <w:lang w:val="pt-BR"/>
        </w:rPr>
        <w:instrText xml:space="preserve"> PAGEREF _Toc353470606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Bridge do Pacote de CALs Empresariais para Office 365 (Usuário e Dispositivo)</w:t>
      </w:r>
      <w:r w:rsidRPr="00CE7565">
        <w:rPr>
          <w:lang w:val="pt-BR"/>
        </w:rPr>
        <w:tab/>
      </w:r>
      <w:r w:rsidRPr="00653421">
        <w:fldChar w:fldCharType="begin"/>
      </w:r>
      <w:r w:rsidRPr="00CE7565">
        <w:rPr>
          <w:lang w:val="pt-BR"/>
        </w:rPr>
        <w:instrText xml:space="preserve"> PAGEREF _Toc353470607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Bridge do Pacote de CALs Empresariais para Office 365 e Windows</w:t>
      </w:r>
      <w:r w:rsidRPr="00CE7565">
        <w:rPr>
          <w:rFonts w:cs="Tahoma"/>
          <w:vertAlign w:val="superscript"/>
          <w:lang w:val="pt-BR"/>
        </w:rPr>
        <w:t>®</w:t>
      </w:r>
      <w:r w:rsidRPr="00CE7565">
        <w:rPr>
          <w:rFonts w:cs="Tahoma"/>
          <w:lang w:val="pt-BR"/>
        </w:rPr>
        <w:t xml:space="preserve"> Intune (Usuário e Dispositivo)</w:t>
      </w:r>
      <w:r w:rsidRPr="00CE7565">
        <w:rPr>
          <w:lang w:val="pt-BR"/>
        </w:rPr>
        <w:tab/>
      </w:r>
      <w:r w:rsidRPr="00653421">
        <w:fldChar w:fldCharType="begin"/>
      </w:r>
      <w:r w:rsidRPr="00CE7565">
        <w:rPr>
          <w:lang w:val="pt-BR"/>
        </w:rPr>
        <w:instrText xml:space="preserve"> PAGEREF _Toc353470608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Bridge do Pacote de CALs Empresariais para Windows</w:t>
      </w:r>
      <w:r w:rsidRPr="00CE7565">
        <w:rPr>
          <w:rFonts w:cs="Tahoma"/>
          <w:vertAlign w:val="superscript"/>
          <w:lang w:val="pt-BR"/>
        </w:rPr>
        <w:t>®</w:t>
      </w:r>
      <w:r w:rsidRPr="00CE7565">
        <w:rPr>
          <w:rFonts w:cs="Tahoma"/>
          <w:lang w:val="pt-BR"/>
        </w:rPr>
        <w:t xml:space="preserve"> Intune (Usuário e Dispositivo)</w:t>
      </w:r>
      <w:r w:rsidRPr="00CE7565">
        <w:rPr>
          <w:lang w:val="pt-BR"/>
        </w:rPr>
        <w:tab/>
      </w:r>
      <w:r w:rsidRPr="00653421">
        <w:fldChar w:fldCharType="begin"/>
      </w:r>
      <w:r w:rsidRPr="00CE7565">
        <w:rPr>
          <w:lang w:val="pt-BR"/>
        </w:rPr>
        <w:instrText xml:space="preserve"> PAGEREF _Toc353470609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Pacote de CALs Empresariais (Usuário e Dispositivo)</w:t>
      </w:r>
      <w:r w:rsidRPr="00CE7565">
        <w:rPr>
          <w:lang w:val="pt-BR"/>
        </w:rPr>
        <w:tab/>
      </w:r>
      <w:r w:rsidRPr="00653421">
        <w:fldChar w:fldCharType="begin"/>
      </w:r>
      <w:r w:rsidRPr="00CE7565">
        <w:rPr>
          <w:lang w:val="pt-BR"/>
        </w:rPr>
        <w:instrText xml:space="preserve"> PAGEREF _Toc353470610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Empresarial do Exchange com Serviços 2013</w:t>
      </w:r>
      <w:r w:rsidRPr="00CE7565">
        <w:rPr>
          <w:lang w:val="pt-BR"/>
        </w:rPr>
        <w:tab/>
      </w:r>
      <w:r w:rsidRPr="00653421">
        <w:fldChar w:fldCharType="begin"/>
      </w:r>
      <w:r w:rsidRPr="00CE7565">
        <w:rPr>
          <w:lang w:val="pt-BR"/>
        </w:rPr>
        <w:instrText xml:space="preserve"> PAGEREF _Toc353470611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Empresarial do Exchange sem Serviços 2013</w:t>
      </w:r>
      <w:r w:rsidRPr="00CE7565">
        <w:rPr>
          <w:lang w:val="pt-BR"/>
        </w:rPr>
        <w:tab/>
      </w:r>
      <w:r w:rsidRPr="00653421">
        <w:fldChar w:fldCharType="begin"/>
      </w:r>
      <w:r w:rsidRPr="00CE7565">
        <w:rPr>
          <w:lang w:val="pt-BR"/>
        </w:rPr>
        <w:instrText xml:space="preserve"> PAGEREF _Toc353470612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Exchange Online Archiving para Exchange Server (SL de Usuário)</w:t>
      </w:r>
      <w:r w:rsidRPr="00CE7565">
        <w:rPr>
          <w:lang w:val="pt-BR"/>
        </w:rPr>
        <w:tab/>
      </w:r>
      <w:r w:rsidRPr="00653421">
        <w:fldChar w:fldCharType="begin"/>
      </w:r>
      <w:r w:rsidRPr="00CE7565">
        <w:rPr>
          <w:lang w:val="pt-BR"/>
        </w:rPr>
        <w:instrText xml:space="preserve"> PAGEREF _Toc353470613 \h </w:instrText>
      </w:r>
      <w:r w:rsidRPr="00653421">
        <w:fldChar w:fldCharType="separate"/>
      </w:r>
      <w:r w:rsidR="00CE7565" w:rsidRPr="00CE7565">
        <w:rPr>
          <w:lang w:val="pt-BR"/>
        </w:rPr>
        <w:t>20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Servidor A (SL de Usuário)</w:t>
      </w:r>
      <w:r w:rsidRPr="00CE7565">
        <w:rPr>
          <w:lang w:val="pt-BR"/>
        </w:rPr>
        <w:tab/>
      </w:r>
      <w:r w:rsidRPr="00653421">
        <w:fldChar w:fldCharType="begin"/>
      </w:r>
      <w:r w:rsidRPr="00CE7565">
        <w:rPr>
          <w:lang w:val="pt-BR"/>
        </w:rPr>
        <w:instrText xml:space="preserve"> PAGEREF _Toc353470614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Exchange Hosted Archive (SL de Usuário)</w:t>
      </w:r>
      <w:r w:rsidRPr="00CE7565">
        <w:rPr>
          <w:lang w:val="pt-BR"/>
        </w:rPr>
        <w:tab/>
      </w:r>
      <w:r w:rsidRPr="00653421">
        <w:fldChar w:fldCharType="begin"/>
      </w:r>
      <w:r w:rsidRPr="00CE7565">
        <w:rPr>
          <w:lang w:val="pt-BR"/>
        </w:rPr>
        <w:instrText xml:space="preserve"> PAGEREF _Toc353470615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Exchange Hosted Archive Extra Storage (SL de Usuário)</w:t>
      </w:r>
      <w:r w:rsidRPr="00CE7565">
        <w:rPr>
          <w:lang w:val="pt-BR"/>
        </w:rPr>
        <w:tab/>
      </w:r>
      <w:r w:rsidRPr="00653421">
        <w:fldChar w:fldCharType="begin"/>
      </w:r>
      <w:r w:rsidRPr="00CE7565">
        <w:rPr>
          <w:lang w:val="pt-BR"/>
        </w:rPr>
        <w:instrText xml:space="preserve"> PAGEREF _Toc353470616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Exchange Hosted Encryption (SL de Usuário)</w:t>
      </w:r>
      <w:r w:rsidRPr="00CE7565">
        <w:rPr>
          <w:lang w:val="pt-BR"/>
        </w:rPr>
        <w:tab/>
      </w:r>
      <w:r w:rsidRPr="00653421">
        <w:fldChar w:fldCharType="begin"/>
      </w:r>
      <w:r w:rsidRPr="00CE7565">
        <w:rPr>
          <w:lang w:val="pt-BR"/>
        </w:rPr>
        <w:instrText xml:space="preserve"> PAGEREF _Toc353470617 \h </w:instrText>
      </w:r>
      <w:r w:rsidRPr="00653421">
        <w:fldChar w:fldCharType="separate"/>
      </w:r>
      <w:r w:rsidR="00CE7565" w:rsidRPr="00CE7565">
        <w:rPr>
          <w:lang w:val="pt-BR"/>
        </w:rPr>
        <w:t>20</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Exchange Online Archiving para Exchange Online A</w:t>
      </w:r>
      <w:r w:rsidRPr="00653421">
        <w:tab/>
      </w:r>
      <w:r w:rsidRPr="00653421">
        <w:fldChar w:fldCharType="begin"/>
      </w:r>
      <w:r w:rsidRPr="00653421">
        <w:instrText xml:space="preserve"> PAGEREF _Toc353470618 \h </w:instrText>
      </w:r>
      <w:r w:rsidRPr="00653421">
        <w:fldChar w:fldCharType="separate"/>
      </w:r>
      <w:r w:rsidR="00CE7565">
        <w:t>20</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Exchange Online Archiving para Exchange Online</w:t>
      </w:r>
      <w:r w:rsidRPr="00653421">
        <w:tab/>
      </w:r>
      <w:r w:rsidRPr="00653421">
        <w:fldChar w:fldCharType="begin"/>
      </w:r>
      <w:r w:rsidRPr="00653421">
        <w:instrText xml:space="preserve"> PAGEREF _Toc353470619 \h </w:instrText>
      </w:r>
      <w:r w:rsidRPr="00653421">
        <w:fldChar w:fldCharType="separate"/>
      </w:r>
      <w:r w:rsidR="00CE7565">
        <w:t>20</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Quiosque do Exchange Online (SL de Usuário)</w:t>
      </w:r>
      <w:r w:rsidRPr="00653421">
        <w:tab/>
      </w:r>
      <w:r w:rsidRPr="00653421">
        <w:fldChar w:fldCharType="begin"/>
      </w:r>
      <w:r w:rsidRPr="00653421">
        <w:instrText xml:space="preserve"> PAGEREF _Toc353470620 \h </w:instrText>
      </w:r>
      <w:r w:rsidRPr="00653421">
        <w:fldChar w:fldCharType="separate"/>
      </w:r>
      <w:r w:rsidR="00CE7565">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Exchange Online Plano 1 (SL de Usuário)</w:t>
      </w:r>
      <w:r w:rsidRPr="00CE7565">
        <w:rPr>
          <w:lang w:val="pt-BR"/>
        </w:rPr>
        <w:tab/>
      </w:r>
      <w:r w:rsidRPr="00653421">
        <w:fldChar w:fldCharType="begin"/>
      </w:r>
      <w:r w:rsidRPr="00CE7565">
        <w:rPr>
          <w:lang w:val="pt-BR"/>
        </w:rPr>
        <w:instrText xml:space="preserve"> PAGEREF _Toc353470621 \h </w:instrText>
      </w:r>
      <w:r w:rsidRPr="00653421">
        <w:fldChar w:fldCharType="separate"/>
      </w:r>
      <w:r w:rsidR="00CE7565" w:rsidRPr="00CE7565">
        <w:rPr>
          <w:lang w:val="pt-BR"/>
        </w:rPr>
        <w:t>20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Exchange Online Plano 2 (SL de Usuário)</w:t>
      </w:r>
      <w:r w:rsidRPr="00CE7565">
        <w:rPr>
          <w:lang w:val="pt-BR"/>
        </w:rPr>
        <w:tab/>
      </w:r>
      <w:r w:rsidRPr="00653421">
        <w:fldChar w:fldCharType="begin"/>
      </w:r>
      <w:r w:rsidRPr="00CE7565">
        <w:rPr>
          <w:lang w:val="pt-BR"/>
        </w:rPr>
        <w:instrText xml:space="preserve"> PAGEREF _Toc353470622 \h </w:instrText>
      </w:r>
      <w:r w:rsidRPr="00653421">
        <w:fldChar w:fldCharType="separate"/>
      </w:r>
      <w:r w:rsidR="00CE7565" w:rsidRPr="00CE7565">
        <w:rPr>
          <w:lang w:val="pt-BR"/>
        </w:rPr>
        <w:t>20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Exchange Online Plan</w:t>
      </w:r>
      <w:r w:rsidR="00395AC3" w:rsidRPr="00CE7565">
        <w:rPr>
          <w:lang w:val="pt-BR"/>
        </w:rPr>
        <w:t>o</w:t>
      </w:r>
      <w:r w:rsidRPr="00CE7565">
        <w:rPr>
          <w:lang w:val="pt-BR"/>
        </w:rPr>
        <w:t xml:space="preserve"> 1A para Alunos (SL do Usuário)</w:t>
      </w:r>
      <w:r w:rsidRPr="00CE7565">
        <w:rPr>
          <w:lang w:val="pt-BR"/>
        </w:rPr>
        <w:tab/>
      </w:r>
      <w:r w:rsidRPr="00653421">
        <w:fldChar w:fldCharType="begin"/>
      </w:r>
      <w:r w:rsidRPr="00CE7565">
        <w:rPr>
          <w:lang w:val="pt-BR"/>
        </w:rPr>
        <w:instrText xml:space="preserve"> PAGEREF _Toc353470623 \h </w:instrText>
      </w:r>
      <w:r w:rsidRPr="00653421">
        <w:fldChar w:fldCharType="separate"/>
      </w:r>
      <w:r w:rsidR="00CE7565" w:rsidRPr="00CE7565">
        <w:rPr>
          <w:lang w:val="pt-BR"/>
        </w:rPr>
        <w:t>20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Exchange Online Plano 2A (SL de Usuário)</w:t>
      </w:r>
      <w:r w:rsidRPr="00CE7565">
        <w:rPr>
          <w:lang w:val="pt-BR"/>
        </w:rPr>
        <w:tab/>
      </w:r>
      <w:r w:rsidRPr="00653421">
        <w:fldChar w:fldCharType="begin"/>
      </w:r>
      <w:r w:rsidRPr="00CE7565">
        <w:rPr>
          <w:lang w:val="pt-BR"/>
        </w:rPr>
        <w:instrText xml:space="preserve"> PAGEREF _Toc353470624 \h </w:instrText>
      </w:r>
      <w:r w:rsidRPr="00653421">
        <w:fldChar w:fldCharType="separate"/>
      </w:r>
      <w:r w:rsidR="00CE7565" w:rsidRPr="00CE7565">
        <w:rPr>
          <w:lang w:val="pt-BR"/>
        </w:rPr>
        <w:t>20</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Exchange Online Protection (SL de Usuário)</w:t>
      </w:r>
      <w:r w:rsidRPr="00653421">
        <w:tab/>
      </w:r>
      <w:r w:rsidRPr="00653421">
        <w:fldChar w:fldCharType="begin"/>
      </w:r>
      <w:r w:rsidRPr="00653421">
        <w:instrText xml:space="preserve"> PAGEREF _Toc353470625 \h </w:instrText>
      </w:r>
      <w:r w:rsidRPr="00653421">
        <w:fldChar w:fldCharType="separate"/>
      </w:r>
      <w:r w:rsidR="00CE7565">
        <w:t>20</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Exchange Server Enterprise 2013</w:t>
      </w:r>
      <w:r w:rsidRPr="00653421">
        <w:tab/>
      </w:r>
      <w:r w:rsidRPr="00653421">
        <w:fldChar w:fldCharType="begin"/>
      </w:r>
      <w:r w:rsidRPr="00653421">
        <w:instrText xml:space="preserve"> PAGEREF _Toc353470626 \h </w:instrText>
      </w:r>
      <w:r w:rsidRPr="00653421">
        <w:fldChar w:fldCharType="separate"/>
      </w:r>
      <w:r w:rsidR="00CE7565">
        <w:t>20</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Exchange Server Standard 2013</w:t>
      </w:r>
      <w:r w:rsidRPr="00653421">
        <w:tab/>
      </w:r>
      <w:r w:rsidRPr="00653421">
        <w:fldChar w:fldCharType="begin"/>
      </w:r>
      <w:r w:rsidRPr="00653421">
        <w:instrText xml:space="preserve"> PAGEREF _Toc353470627 \h </w:instrText>
      </w:r>
      <w:r w:rsidRPr="00653421">
        <w:fldChar w:fldCharType="separate"/>
      </w:r>
      <w:r w:rsidR="00CE7565">
        <w:t>20</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Exchange Server 2007 Standard for Small Business</w:t>
      </w:r>
      <w:r w:rsidRPr="00653421">
        <w:tab/>
      </w:r>
      <w:r w:rsidRPr="00653421">
        <w:fldChar w:fldCharType="begin"/>
      </w:r>
      <w:r w:rsidRPr="00653421">
        <w:instrText xml:space="preserve"> PAGEREF _Toc353470628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CAL do Exchange Server 2007 Standard for Small Business</w:t>
      </w:r>
      <w:r w:rsidRPr="00653421">
        <w:tab/>
      </w:r>
      <w:r w:rsidRPr="00653421">
        <w:fldChar w:fldCharType="begin"/>
      </w:r>
      <w:r w:rsidRPr="00653421">
        <w:instrText xml:space="preserve"> PAGEREF _Toc353470629 \h </w:instrText>
      </w:r>
      <w:r w:rsidRPr="00653421">
        <w:fldChar w:fldCharType="separate"/>
      </w:r>
      <w:r w:rsidR="00CE7565">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Exchange Server 2010 Standard (Dispositivo e Usuário)</w:t>
      </w:r>
      <w:r w:rsidRPr="00CE7565">
        <w:rPr>
          <w:lang w:val="pt-BR"/>
        </w:rPr>
        <w:tab/>
      </w:r>
      <w:r w:rsidRPr="00653421">
        <w:fldChar w:fldCharType="begin"/>
      </w:r>
      <w:r w:rsidRPr="00CE7565">
        <w:rPr>
          <w:lang w:val="pt-BR"/>
        </w:rPr>
        <w:instrText xml:space="preserve"> PAGEREF _Toc353470630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Forefront Endpoint Protection</w:t>
      </w:r>
      <w:r w:rsidRPr="00CE7565">
        <w:rPr>
          <w:lang w:val="pt-BR"/>
        </w:rPr>
        <w:tab/>
      </w:r>
      <w:r w:rsidRPr="00653421">
        <w:fldChar w:fldCharType="begin"/>
      </w:r>
      <w:r w:rsidRPr="00CE7565">
        <w:rPr>
          <w:lang w:val="pt-BR"/>
        </w:rPr>
        <w:instrText xml:space="preserve"> PAGEREF _Toc353470631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Forefront Identity Manager 2010 R2 (Somente usuário)</w:t>
      </w:r>
      <w:r w:rsidRPr="00CE7565">
        <w:rPr>
          <w:lang w:val="pt-BR"/>
        </w:rPr>
        <w:tab/>
      </w:r>
      <w:r w:rsidRPr="00653421">
        <w:fldChar w:fldCharType="begin"/>
      </w:r>
      <w:r w:rsidRPr="00CE7565">
        <w:rPr>
          <w:lang w:val="pt-BR"/>
        </w:rPr>
        <w:instrText xml:space="preserve"> PAGEREF _Toc353470632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Forefront Identity Manager 2010 R2 External Connector</w:t>
      </w:r>
      <w:r w:rsidRPr="00CE7565">
        <w:rPr>
          <w:lang w:val="pt-BR"/>
        </w:rPr>
        <w:tab/>
      </w:r>
      <w:r w:rsidRPr="00653421">
        <w:fldChar w:fldCharType="begin"/>
      </w:r>
      <w:r w:rsidRPr="00CE7565">
        <w:rPr>
          <w:lang w:val="pt-BR"/>
        </w:rPr>
        <w:instrText xml:space="preserve"> PAGEREF _Toc353470633 \h </w:instrText>
      </w:r>
      <w:r w:rsidRPr="00653421">
        <w:fldChar w:fldCharType="separate"/>
      </w:r>
      <w:r w:rsidR="00CE7565" w:rsidRPr="00CE7565">
        <w:rPr>
          <w:lang w:val="pt-BR"/>
        </w:rPr>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Forefront Identity Manager 2010 R2 Server</w:t>
      </w:r>
      <w:r w:rsidRPr="00653421">
        <w:tab/>
      </w:r>
      <w:r w:rsidRPr="00653421">
        <w:fldChar w:fldCharType="begin"/>
      </w:r>
      <w:r w:rsidRPr="00653421">
        <w:instrText xml:space="preserve"> PAGEREF _Toc353470634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Forefront Identity Manager 2010 R2 – Windows Live Edition</w:t>
      </w:r>
      <w:r w:rsidRPr="00653421">
        <w:tab/>
      </w:r>
      <w:r w:rsidRPr="00653421">
        <w:fldChar w:fldCharType="begin"/>
      </w:r>
      <w:r w:rsidRPr="00653421">
        <w:instrText xml:space="preserve"> PAGEREF _Toc353470635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Forefront Protection 2010 for Exchange Server (SL de Dispositivo e Usuário)</w:t>
      </w:r>
      <w:r w:rsidRPr="00653421">
        <w:tab/>
      </w:r>
      <w:r w:rsidRPr="00653421">
        <w:fldChar w:fldCharType="begin"/>
      </w:r>
      <w:r w:rsidRPr="00653421">
        <w:instrText xml:space="preserve"> PAGEREF _Toc353470636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Forefront Protection Suite (SL de Dispositivo e Usuário)</w:t>
      </w:r>
      <w:r w:rsidRPr="00653421">
        <w:tab/>
      </w:r>
      <w:r w:rsidRPr="00653421">
        <w:fldChar w:fldCharType="begin"/>
      </w:r>
      <w:r w:rsidRPr="00653421">
        <w:instrText xml:space="preserve"> PAGEREF _Toc353470637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Forefront Security for Office Communications Server (SL de Dispositivo e Usuário)</w:t>
      </w:r>
      <w:r w:rsidRPr="00653421">
        <w:tab/>
      </w:r>
      <w:r w:rsidRPr="00653421">
        <w:fldChar w:fldCharType="begin"/>
      </w:r>
      <w:r w:rsidRPr="00653421">
        <w:instrText xml:space="preserve"> PAGEREF _Toc353470638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Forefront Protection 2010 for SharePoint (SL de Dispositivo e Usuário)</w:t>
      </w:r>
      <w:r w:rsidRPr="00653421">
        <w:tab/>
      </w:r>
      <w:r w:rsidRPr="00653421">
        <w:fldChar w:fldCharType="begin"/>
      </w:r>
      <w:r w:rsidRPr="00653421">
        <w:instrText xml:space="preserve"> PAGEREF _Toc353470639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Forefront Protection 2010 for SharePoint for Internet Sites (SL Complementar)</w:t>
      </w:r>
      <w:r w:rsidRPr="00653421">
        <w:tab/>
      </w:r>
      <w:r w:rsidRPr="00653421">
        <w:fldChar w:fldCharType="begin"/>
      </w:r>
      <w:r w:rsidRPr="00653421">
        <w:instrText xml:space="preserve"> PAGEREF _Toc353470640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Forefront Threat Management Gateway Web Protection Services</w:t>
      </w:r>
      <w:r w:rsidRPr="00653421">
        <w:tab/>
      </w:r>
      <w:r w:rsidRPr="00653421">
        <w:fldChar w:fldCharType="begin"/>
      </w:r>
      <w:r w:rsidRPr="00653421">
        <w:instrText xml:space="preserve"> PAGEREF _Toc353470641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Forefront Unified Access Gateway Server 2010</w:t>
      </w:r>
      <w:r w:rsidRPr="00653421">
        <w:tab/>
      </w:r>
      <w:r w:rsidRPr="00653421">
        <w:fldChar w:fldCharType="begin"/>
      </w:r>
      <w:r w:rsidRPr="00653421">
        <w:instrText xml:space="preserve"> PAGEREF _Toc353470642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External Connector do Forefront Unified Access Gateway 2010</w:t>
      </w:r>
      <w:r w:rsidRPr="00653421">
        <w:tab/>
      </w:r>
      <w:r w:rsidRPr="00653421">
        <w:fldChar w:fldCharType="begin"/>
      </w:r>
      <w:r w:rsidRPr="00653421">
        <w:instrText xml:space="preserve"> PAGEREF _Toc353470643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CAL do Forefront Unified Access Gateway 2010</w:t>
      </w:r>
      <w:r w:rsidRPr="00653421">
        <w:tab/>
      </w:r>
      <w:r w:rsidRPr="00653421">
        <w:fldChar w:fldCharType="begin"/>
      </w:r>
      <w:r w:rsidRPr="00653421">
        <w:instrText xml:space="preserve"> PAGEREF _Toc353470644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Pacote CAL do Forefront Unified Access Gateway 2010 10K</w:t>
      </w:r>
      <w:r w:rsidRPr="00653421">
        <w:tab/>
      </w:r>
      <w:r w:rsidRPr="00653421">
        <w:fldChar w:fldCharType="begin"/>
      </w:r>
      <w:r w:rsidRPr="00653421">
        <w:instrText xml:space="preserve"> PAGEREF _Toc353470645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GeoSynth Server</w:t>
      </w:r>
      <w:r w:rsidRPr="00653421">
        <w:tab/>
      </w:r>
      <w:r w:rsidRPr="00653421">
        <w:fldChar w:fldCharType="begin"/>
      </w:r>
      <w:r w:rsidRPr="00653421">
        <w:instrText xml:space="preserve"> PAGEREF _Toc353470646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HPC Pack 2008 R2 Enterprise</w:t>
      </w:r>
      <w:r w:rsidRPr="00653421">
        <w:tab/>
      </w:r>
      <w:r w:rsidRPr="00653421">
        <w:fldChar w:fldCharType="begin"/>
      </w:r>
      <w:r w:rsidRPr="00653421">
        <w:instrText xml:space="preserve"> PAGEREF _Toc353470647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HPC Pack 2008 R2 para Workstation</w:t>
      </w:r>
      <w:r w:rsidRPr="00653421">
        <w:tab/>
      </w:r>
      <w:r w:rsidRPr="00653421">
        <w:fldChar w:fldCharType="begin"/>
      </w:r>
      <w:r w:rsidRPr="00653421">
        <w:instrText xml:space="preserve"> PAGEREF _Toc353470648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Learning Solutions Combination</w:t>
      </w:r>
      <w:r w:rsidR="00CC6362" w:rsidRPr="00653421">
        <w:rPr>
          <w:rFonts w:cs="Tahoma"/>
        </w:rPr>
        <w:t xml:space="preserve"> </w:t>
      </w:r>
      <w:r w:rsidRPr="00653421">
        <w:rPr>
          <w:rFonts w:cs="Tahoma"/>
        </w:rPr>
        <w:t>E-Reference Library (SL de Usuário)</w:t>
      </w:r>
      <w:r w:rsidRPr="00653421">
        <w:tab/>
      </w:r>
      <w:r w:rsidRPr="00653421">
        <w:fldChar w:fldCharType="begin"/>
      </w:r>
      <w:r w:rsidRPr="00653421">
        <w:instrText xml:space="preserve"> PAGEREF _Toc353470649 \h </w:instrText>
      </w:r>
      <w:r w:rsidRPr="00653421">
        <w:fldChar w:fldCharType="separate"/>
      </w:r>
      <w:r w:rsidR="00CE7565">
        <w:t>21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Learning Solutions IT Academy (SL de Serviços)</w:t>
      </w:r>
      <w:r w:rsidRPr="00653421">
        <w:tab/>
      </w:r>
      <w:r w:rsidRPr="00653421">
        <w:fldChar w:fldCharType="begin"/>
      </w:r>
      <w:r w:rsidRPr="00653421">
        <w:instrText xml:space="preserve"> PAGEREF _Toc353470650 \h </w:instrText>
      </w:r>
      <w:r w:rsidRPr="00653421">
        <w:fldChar w:fldCharType="separate"/>
      </w:r>
      <w:r w:rsidR="00CE7565">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Cupons de Exame do Learning Solutions MCP 1 (SL de Serviços)</w:t>
      </w:r>
      <w:r w:rsidRPr="00CE7565">
        <w:rPr>
          <w:lang w:val="pt-BR"/>
        </w:rPr>
        <w:tab/>
      </w:r>
      <w:r w:rsidRPr="00653421">
        <w:fldChar w:fldCharType="begin"/>
      </w:r>
      <w:r w:rsidRPr="00CE7565">
        <w:rPr>
          <w:lang w:val="pt-BR"/>
        </w:rPr>
        <w:instrText xml:space="preserve"> PAGEREF _Toc353470651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30 Cupons de Exame do Learning Solutions MCP (SL de Usuário)</w:t>
      </w:r>
      <w:r w:rsidRPr="00CE7565">
        <w:rPr>
          <w:lang w:val="pt-BR"/>
        </w:rPr>
        <w:tab/>
      </w:r>
      <w:r w:rsidRPr="00653421">
        <w:fldChar w:fldCharType="begin"/>
      </w:r>
      <w:r w:rsidRPr="00CE7565">
        <w:rPr>
          <w:lang w:val="pt-BR"/>
        </w:rPr>
        <w:instrText xml:space="preserve"> PAGEREF _Toc353470652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do Site de Exame do Learning Solutions MOS 500 (SL de Serviços)</w:t>
      </w:r>
      <w:r w:rsidRPr="00CE7565">
        <w:rPr>
          <w:lang w:val="pt-BR"/>
        </w:rPr>
        <w:tab/>
      </w:r>
      <w:r w:rsidRPr="00653421">
        <w:fldChar w:fldCharType="begin"/>
      </w:r>
      <w:r w:rsidRPr="00CE7565">
        <w:rPr>
          <w:lang w:val="pt-BR"/>
        </w:rPr>
        <w:instrText xml:space="preserve"> PAGEREF _Toc353470653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do Site de Exame do Learning Solutions MTA 250 (SL de Serviços)</w:t>
      </w:r>
      <w:r w:rsidRPr="00CE7565">
        <w:rPr>
          <w:lang w:val="pt-BR"/>
        </w:rPr>
        <w:tab/>
      </w:r>
      <w:r w:rsidRPr="00653421">
        <w:fldChar w:fldCharType="begin"/>
      </w:r>
      <w:r w:rsidRPr="00CE7565">
        <w:rPr>
          <w:lang w:val="pt-BR"/>
        </w:rPr>
        <w:instrText xml:space="preserve"> PAGEREF _Toc353470654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Lync Online Plano 1 (SL de Usuário)</w:t>
      </w:r>
      <w:r w:rsidRPr="00CE7565">
        <w:rPr>
          <w:lang w:val="pt-BR"/>
        </w:rPr>
        <w:tab/>
      </w:r>
      <w:r w:rsidRPr="00653421">
        <w:fldChar w:fldCharType="begin"/>
      </w:r>
      <w:r w:rsidRPr="00CE7565">
        <w:rPr>
          <w:lang w:val="pt-BR"/>
        </w:rPr>
        <w:instrText xml:space="preserve"> PAGEREF _Toc353470655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Lync Online Plano 2 (SL de Usuário)</w:t>
      </w:r>
      <w:r w:rsidRPr="00CE7565">
        <w:rPr>
          <w:lang w:val="pt-BR"/>
        </w:rPr>
        <w:tab/>
      </w:r>
      <w:r w:rsidRPr="00653421">
        <w:fldChar w:fldCharType="begin"/>
      </w:r>
      <w:r w:rsidRPr="00CE7565">
        <w:rPr>
          <w:lang w:val="pt-BR"/>
        </w:rPr>
        <w:instrText xml:space="preserve"> PAGEREF _Toc353470656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Lync Online Plano 3 (SL de Usuário)</w:t>
      </w:r>
      <w:r w:rsidRPr="00CE7565">
        <w:rPr>
          <w:lang w:val="pt-BR"/>
        </w:rPr>
        <w:tab/>
      </w:r>
      <w:r w:rsidRPr="00653421">
        <w:fldChar w:fldCharType="begin"/>
      </w:r>
      <w:r w:rsidRPr="00CE7565">
        <w:rPr>
          <w:lang w:val="pt-BR"/>
        </w:rPr>
        <w:instrText xml:space="preserve"> PAGEREF _Toc353470657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Lync Online Plano 3A (SL de Usuário)</w:t>
      </w:r>
      <w:r w:rsidRPr="00CE7565">
        <w:rPr>
          <w:lang w:val="pt-BR"/>
        </w:rPr>
        <w:tab/>
      </w:r>
      <w:r w:rsidRPr="00653421">
        <w:fldChar w:fldCharType="begin"/>
      </w:r>
      <w:r w:rsidRPr="00CE7565">
        <w:rPr>
          <w:lang w:val="pt-BR"/>
        </w:rPr>
        <w:instrText xml:space="preserve"> PAGEREF _Toc353470658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lastRenderedPageBreak/>
        <w:t>Lync Server 2013</w:t>
      </w:r>
      <w:r w:rsidRPr="00CE7565">
        <w:rPr>
          <w:lang w:val="pt-BR"/>
        </w:rPr>
        <w:tab/>
      </w:r>
      <w:r w:rsidRPr="00653421">
        <w:fldChar w:fldCharType="begin"/>
      </w:r>
      <w:r w:rsidRPr="00CE7565">
        <w:rPr>
          <w:lang w:val="pt-BR"/>
        </w:rPr>
        <w:instrText xml:space="preserve"> PAGEREF _Toc353470659 \h </w:instrText>
      </w:r>
      <w:r w:rsidRPr="00653421">
        <w:fldChar w:fldCharType="separate"/>
      </w:r>
      <w:r w:rsidR="00CE7565" w:rsidRPr="00CE7565">
        <w:rPr>
          <w:lang w:val="pt-BR"/>
        </w:rPr>
        <w:t>21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Empresarial do Lync Server 2013</w:t>
      </w:r>
      <w:r w:rsidRPr="00CE7565">
        <w:rPr>
          <w:lang w:val="pt-BR"/>
        </w:rPr>
        <w:tab/>
      </w:r>
      <w:r w:rsidRPr="00653421">
        <w:fldChar w:fldCharType="begin"/>
      </w:r>
      <w:r w:rsidRPr="00CE7565">
        <w:rPr>
          <w:lang w:val="pt-BR"/>
        </w:rPr>
        <w:instrText xml:space="preserve"> PAGEREF _Toc353470660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Lync Server Plus 2013</w:t>
      </w:r>
      <w:r w:rsidRPr="00CE7565">
        <w:rPr>
          <w:lang w:val="pt-BR"/>
        </w:rPr>
        <w:tab/>
      </w:r>
      <w:r w:rsidRPr="00653421">
        <w:fldChar w:fldCharType="begin"/>
      </w:r>
      <w:r w:rsidRPr="00CE7565">
        <w:rPr>
          <w:lang w:val="pt-BR"/>
        </w:rPr>
        <w:instrText xml:space="preserve"> PAGEREF _Toc353470661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Padrão do Lync Server 2013</w:t>
      </w:r>
      <w:r w:rsidRPr="00CE7565">
        <w:rPr>
          <w:lang w:val="pt-BR"/>
        </w:rPr>
        <w:tab/>
      </w:r>
      <w:r w:rsidRPr="00653421">
        <w:fldChar w:fldCharType="begin"/>
      </w:r>
      <w:r w:rsidRPr="00CE7565">
        <w:rPr>
          <w:lang w:val="pt-BR"/>
        </w:rPr>
        <w:instrText xml:space="preserve"> PAGEREF _Toc353470662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Empresarial Aditiva do Microsoft Dynamics AX 2012 R2 (Usuário e Dispositivo)</w:t>
      </w:r>
      <w:r w:rsidRPr="00CE7565">
        <w:rPr>
          <w:lang w:val="pt-BR"/>
        </w:rPr>
        <w:tab/>
      </w:r>
      <w:r w:rsidRPr="00653421">
        <w:fldChar w:fldCharType="begin"/>
      </w:r>
      <w:r w:rsidRPr="00CE7565">
        <w:rPr>
          <w:lang w:val="pt-BR"/>
        </w:rPr>
        <w:instrText xml:space="preserve"> PAGEREF _Toc353470663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Empresarial do Microsoft Dynamics AX 2012 R2 (Usuário e Dispositivo)</w:t>
      </w:r>
      <w:r w:rsidRPr="00CE7565">
        <w:rPr>
          <w:lang w:val="pt-BR"/>
        </w:rPr>
        <w:tab/>
      </w:r>
      <w:r w:rsidRPr="00653421">
        <w:fldChar w:fldCharType="begin"/>
      </w:r>
      <w:r w:rsidRPr="00CE7565">
        <w:rPr>
          <w:lang w:val="pt-BR"/>
        </w:rPr>
        <w:instrText xml:space="preserve"> PAGEREF _Toc353470664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Aditiva do Microsoft Dynamics AX 2012 R2 Funcional (Usuário e Dispositivo)</w:t>
      </w:r>
      <w:r w:rsidRPr="00CE7565">
        <w:rPr>
          <w:lang w:val="pt-BR"/>
        </w:rPr>
        <w:tab/>
      </w:r>
      <w:r w:rsidRPr="00653421">
        <w:fldChar w:fldCharType="begin"/>
      </w:r>
      <w:r w:rsidRPr="00CE7565">
        <w:rPr>
          <w:lang w:val="pt-BR"/>
        </w:rPr>
        <w:instrText xml:space="preserve"> PAGEREF _Toc353470665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Funcional do Microsoft Dynamics AX 2012 R2 (Usuário e Dispositivo)</w:t>
      </w:r>
      <w:r w:rsidRPr="00CE7565">
        <w:rPr>
          <w:lang w:val="pt-BR"/>
        </w:rPr>
        <w:tab/>
      </w:r>
      <w:r w:rsidRPr="00653421">
        <w:fldChar w:fldCharType="begin"/>
      </w:r>
      <w:r w:rsidRPr="00CE7565">
        <w:rPr>
          <w:lang w:val="pt-BR"/>
        </w:rPr>
        <w:instrText xml:space="preserve"> PAGEREF _Toc353470666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de Autoatendimento do Microsoft Dynamics AX 2012 R2 (Usuário e Dispositivo)</w:t>
      </w:r>
      <w:r w:rsidRPr="00CE7565">
        <w:rPr>
          <w:lang w:val="pt-BR"/>
        </w:rPr>
        <w:tab/>
      </w:r>
      <w:r w:rsidRPr="00653421">
        <w:fldChar w:fldCharType="begin"/>
      </w:r>
      <w:r w:rsidRPr="00CE7565">
        <w:rPr>
          <w:lang w:val="pt-BR"/>
        </w:rPr>
        <w:instrText xml:space="preserve"> PAGEREF _Toc353470667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Microsoft Dynamics AX 2012 R2 Server</w:t>
      </w:r>
      <w:r w:rsidRPr="00CE7565">
        <w:rPr>
          <w:lang w:val="pt-BR"/>
        </w:rPr>
        <w:tab/>
      </w:r>
      <w:r w:rsidRPr="00653421">
        <w:fldChar w:fldCharType="begin"/>
      </w:r>
      <w:r w:rsidRPr="00CE7565">
        <w:rPr>
          <w:lang w:val="pt-BR"/>
        </w:rPr>
        <w:instrText xml:space="preserve"> PAGEREF _Toc353470668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Aditiva de Tarefa do Microsoft Dynamics AX 2012 R2 (Usuário e Dispositivo)</w:t>
      </w:r>
      <w:r w:rsidRPr="00CE7565">
        <w:rPr>
          <w:lang w:val="pt-BR"/>
        </w:rPr>
        <w:tab/>
      </w:r>
      <w:r w:rsidRPr="00653421">
        <w:fldChar w:fldCharType="begin"/>
      </w:r>
      <w:r w:rsidRPr="00CE7565">
        <w:rPr>
          <w:lang w:val="pt-BR"/>
        </w:rPr>
        <w:instrText xml:space="preserve"> PAGEREF _Toc353470669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de Tarefa do Microsoft Dynamics AX 2012 R2 (Usuário e Dispositivo)</w:t>
      </w:r>
      <w:r w:rsidRPr="00CE7565">
        <w:rPr>
          <w:lang w:val="pt-BR"/>
        </w:rPr>
        <w:tab/>
      </w:r>
      <w:r w:rsidRPr="00653421">
        <w:fldChar w:fldCharType="begin"/>
      </w:r>
      <w:r w:rsidRPr="00CE7565">
        <w:rPr>
          <w:lang w:val="pt-BR"/>
        </w:rPr>
        <w:instrText xml:space="preserve"> PAGEREF _Toc353470670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Microsoft Dynamics CRM 2011 (Usuário e Dispositivo)</w:t>
      </w:r>
      <w:r w:rsidRPr="00CE7565">
        <w:rPr>
          <w:lang w:val="pt-BR"/>
        </w:rPr>
        <w:tab/>
      </w:r>
      <w:r w:rsidRPr="00653421">
        <w:fldChar w:fldCharType="begin"/>
      </w:r>
      <w:r w:rsidRPr="00CE7565">
        <w:rPr>
          <w:lang w:val="pt-BR"/>
        </w:rPr>
        <w:instrText xml:space="preserve"> PAGEREF _Toc353470671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Microsoft Dynamics CRM 2011 Employee Self Service (Usuário e Dispositivo)</w:t>
      </w:r>
      <w:r w:rsidRPr="00CE7565">
        <w:rPr>
          <w:lang w:val="pt-BR"/>
        </w:rPr>
        <w:tab/>
      </w:r>
      <w:r w:rsidRPr="00653421">
        <w:fldChar w:fldCharType="begin"/>
      </w:r>
      <w:r w:rsidRPr="00CE7565">
        <w:rPr>
          <w:lang w:val="pt-BR"/>
        </w:rPr>
        <w:instrText xml:space="preserve"> PAGEREF _Toc353470672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Conector Externo para Microsoft Dynamics CRM 2011</w:t>
      </w:r>
      <w:r w:rsidRPr="00CE7565">
        <w:rPr>
          <w:lang w:val="pt-BR"/>
        </w:rPr>
        <w:tab/>
      </w:r>
      <w:r w:rsidRPr="00653421">
        <w:fldChar w:fldCharType="begin"/>
      </w:r>
      <w:r w:rsidRPr="00CE7565">
        <w:rPr>
          <w:lang w:val="pt-BR"/>
        </w:rPr>
        <w:instrText xml:space="preserve"> PAGEREF _Toc353470673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Adicional de Uso Completo do Microsoft Dynamics CRM 2011 (Usuário e Dispositivo)</w:t>
      </w:r>
      <w:r w:rsidRPr="00CE7565">
        <w:rPr>
          <w:lang w:val="pt-BR"/>
        </w:rPr>
        <w:tab/>
      </w:r>
      <w:r w:rsidRPr="00653421">
        <w:fldChar w:fldCharType="begin"/>
      </w:r>
      <w:r w:rsidRPr="00CE7565">
        <w:rPr>
          <w:lang w:val="pt-BR"/>
        </w:rPr>
        <w:instrText xml:space="preserve"> PAGEREF _Toc353470674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Limitada para Microsoft Dynamics CRM 2011 (Usuários e Dispositivo)</w:t>
      </w:r>
      <w:r w:rsidRPr="00CE7565">
        <w:rPr>
          <w:lang w:val="pt-BR"/>
        </w:rPr>
        <w:tab/>
      </w:r>
      <w:r w:rsidRPr="00653421">
        <w:fldChar w:fldCharType="begin"/>
      </w:r>
      <w:r w:rsidRPr="00CE7565">
        <w:rPr>
          <w:lang w:val="pt-BR"/>
        </w:rPr>
        <w:instrText xml:space="preserve"> PAGEREF _Toc353470675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Adicional de Uso Limitado do Microsoft Dynamics CRM 2011 (Usuário e Dispositivo)</w:t>
      </w:r>
      <w:r w:rsidRPr="00CE7565">
        <w:rPr>
          <w:lang w:val="pt-BR"/>
        </w:rPr>
        <w:tab/>
      </w:r>
      <w:r w:rsidRPr="00653421">
        <w:fldChar w:fldCharType="begin"/>
      </w:r>
      <w:r w:rsidRPr="00CE7565">
        <w:rPr>
          <w:lang w:val="pt-BR"/>
        </w:rPr>
        <w:instrText xml:space="preserve"> PAGEREF _Toc353470676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Microsoft Dynamics CRM Server 2011</w:t>
      </w:r>
      <w:r w:rsidRPr="00CE7565">
        <w:rPr>
          <w:lang w:val="pt-BR"/>
        </w:rPr>
        <w:tab/>
      </w:r>
      <w:r w:rsidRPr="00653421">
        <w:fldChar w:fldCharType="begin"/>
      </w:r>
      <w:r w:rsidRPr="00CE7565">
        <w:rPr>
          <w:lang w:val="pt-BR"/>
        </w:rPr>
        <w:instrText xml:space="preserve"> PAGEREF _Toc353470677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Microsoft Dynamics CRM Workgroup Server 2011</w:t>
      </w:r>
      <w:r w:rsidRPr="00CE7565">
        <w:rPr>
          <w:lang w:val="pt-BR"/>
        </w:rPr>
        <w:tab/>
      </w:r>
      <w:r w:rsidRPr="00653421">
        <w:fldChar w:fldCharType="begin"/>
      </w:r>
      <w:r w:rsidRPr="00CE7565">
        <w:rPr>
          <w:lang w:val="pt-BR"/>
        </w:rPr>
        <w:instrText xml:space="preserve"> PAGEREF _Toc353470678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API do Tradutor da Microsoft</w:t>
      </w:r>
      <w:r w:rsidRPr="00CE7565">
        <w:rPr>
          <w:lang w:val="pt-BR"/>
        </w:rPr>
        <w:tab/>
      </w:r>
      <w:r w:rsidRPr="00653421">
        <w:fldChar w:fldCharType="begin"/>
      </w:r>
      <w:r w:rsidRPr="00CE7565">
        <w:rPr>
          <w:lang w:val="pt-BR"/>
        </w:rPr>
        <w:instrText xml:space="preserve"> PAGEREF _Toc353470679 \h </w:instrText>
      </w:r>
      <w:r w:rsidRPr="00653421">
        <w:fldChar w:fldCharType="separate"/>
      </w:r>
      <w:r w:rsidR="00CE7565" w:rsidRPr="00CE7565">
        <w:rPr>
          <w:lang w:val="pt-BR"/>
        </w:rPr>
        <w:t>22</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Office 365 Midsize Business (SL de Usuário)</w:t>
      </w:r>
      <w:r w:rsidRPr="00653421">
        <w:tab/>
      </w:r>
      <w:r w:rsidRPr="00653421">
        <w:fldChar w:fldCharType="begin"/>
      </w:r>
      <w:r w:rsidRPr="00653421">
        <w:instrText xml:space="preserve"> PAGEREF _Toc353470680 \h </w:instrText>
      </w:r>
      <w:r w:rsidRPr="00653421">
        <w:fldChar w:fldCharType="separate"/>
      </w:r>
      <w:r w:rsidR="00CE7565">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Office 365 Education A2 (SL de Usuário)</w:t>
      </w:r>
      <w:r w:rsidRPr="00CE7565">
        <w:rPr>
          <w:lang w:val="pt-BR"/>
        </w:rPr>
        <w:tab/>
      </w:r>
      <w:r w:rsidRPr="00653421">
        <w:fldChar w:fldCharType="begin"/>
      </w:r>
      <w:r w:rsidRPr="00CE7565">
        <w:rPr>
          <w:lang w:val="pt-BR"/>
        </w:rPr>
        <w:instrText xml:space="preserve"> PAGEREF _Toc353470681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Office 365 Education A3 (SL de Usuário)</w:t>
      </w:r>
      <w:r w:rsidRPr="00CE7565">
        <w:rPr>
          <w:lang w:val="pt-BR"/>
        </w:rPr>
        <w:tab/>
      </w:r>
      <w:r w:rsidRPr="00653421">
        <w:fldChar w:fldCharType="begin"/>
      </w:r>
      <w:r w:rsidRPr="00CE7565">
        <w:rPr>
          <w:lang w:val="pt-BR"/>
        </w:rPr>
        <w:instrText xml:space="preserve"> PAGEREF _Toc353470682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Office 365 Education A4 (SL de Usuário)</w:t>
      </w:r>
      <w:r w:rsidRPr="00CE7565">
        <w:rPr>
          <w:lang w:val="pt-BR"/>
        </w:rPr>
        <w:tab/>
      </w:r>
      <w:r w:rsidRPr="00653421">
        <w:fldChar w:fldCharType="begin"/>
      </w:r>
      <w:r w:rsidRPr="00CE7565">
        <w:rPr>
          <w:lang w:val="pt-BR"/>
        </w:rPr>
        <w:instrText xml:space="preserve"> PAGEREF _Toc353470683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Office 365 Enterprise E1 (SL de Usuário)</w:t>
      </w:r>
      <w:r w:rsidRPr="00CE7565">
        <w:rPr>
          <w:lang w:val="pt-BR"/>
        </w:rPr>
        <w:tab/>
      </w:r>
      <w:r w:rsidRPr="00653421">
        <w:fldChar w:fldCharType="begin"/>
      </w:r>
      <w:r w:rsidRPr="00CE7565">
        <w:rPr>
          <w:lang w:val="pt-BR"/>
        </w:rPr>
        <w:instrText xml:space="preserve"> PAGEREF _Toc353470684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Office 365 Enterprise E2 - E4 (SL de Usuário)</w:t>
      </w:r>
      <w:r w:rsidRPr="00CE7565">
        <w:rPr>
          <w:lang w:val="pt-BR"/>
        </w:rPr>
        <w:tab/>
      </w:r>
      <w:r w:rsidRPr="00653421">
        <w:fldChar w:fldCharType="begin"/>
      </w:r>
      <w:r w:rsidRPr="00CE7565">
        <w:rPr>
          <w:lang w:val="pt-BR"/>
        </w:rPr>
        <w:instrText xml:space="preserve"> PAGEREF _Toc353470685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Office 365 Enterprise K1 (SL de Usuário)</w:t>
      </w:r>
      <w:r w:rsidRPr="00CE7565">
        <w:rPr>
          <w:lang w:val="pt-BR"/>
        </w:rPr>
        <w:tab/>
      </w:r>
      <w:r w:rsidRPr="00653421">
        <w:fldChar w:fldCharType="begin"/>
      </w:r>
      <w:r w:rsidRPr="00CE7565">
        <w:rPr>
          <w:lang w:val="pt-BR"/>
        </w:rPr>
        <w:instrText xml:space="preserve"> PAGEREF _Toc353470686 \h </w:instrText>
      </w:r>
      <w:r w:rsidRPr="00653421">
        <w:fldChar w:fldCharType="separate"/>
      </w:r>
      <w:r w:rsidR="00CE7565" w:rsidRPr="00CE7565">
        <w:rPr>
          <w:lang w:val="pt-BR"/>
        </w:rPr>
        <w:t>22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Office 365 Enterprise K2 (SL de Usuário)</w:t>
      </w:r>
      <w:r w:rsidRPr="00CE7565">
        <w:rPr>
          <w:lang w:val="pt-BR"/>
        </w:rPr>
        <w:tab/>
      </w:r>
      <w:r w:rsidRPr="00653421">
        <w:fldChar w:fldCharType="begin"/>
      </w:r>
      <w:r w:rsidRPr="00CE7565">
        <w:rPr>
          <w:lang w:val="pt-BR"/>
        </w:rPr>
        <w:instrText xml:space="preserve"> PAGEREF _Toc353470687 \h </w:instrText>
      </w:r>
      <w:r w:rsidRPr="00653421">
        <w:fldChar w:fldCharType="separate"/>
      </w:r>
      <w:r w:rsidR="00CE7565" w:rsidRPr="00CE7565">
        <w:rPr>
          <w:lang w:val="pt-BR"/>
        </w:rPr>
        <w:t>22</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Office 365 Government G1 - G4 (SL de Usuário)</w:t>
      </w:r>
      <w:r w:rsidRPr="00653421">
        <w:tab/>
      </w:r>
      <w:r w:rsidRPr="00653421">
        <w:fldChar w:fldCharType="begin"/>
      </w:r>
      <w:r w:rsidRPr="00653421">
        <w:instrText xml:space="preserve"> PAGEREF _Toc353470688 \h </w:instrText>
      </w:r>
      <w:r w:rsidRPr="00653421">
        <w:fldChar w:fldCharType="separate"/>
      </w:r>
      <w:r w:rsidR="00CE7565">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Aplicativos da Web do Office com SharePoint Plano 2A (SL do Usuário)</w:t>
      </w:r>
      <w:r w:rsidRPr="00CE7565">
        <w:rPr>
          <w:lang w:val="pt-BR"/>
        </w:rPr>
        <w:tab/>
      </w:r>
      <w:r w:rsidRPr="00653421">
        <w:fldChar w:fldCharType="begin"/>
      </w:r>
      <w:r w:rsidRPr="00CE7565">
        <w:rPr>
          <w:lang w:val="pt-BR"/>
        </w:rPr>
        <w:instrText xml:space="preserve"> PAGEREF _Toc353470689 \h </w:instrText>
      </w:r>
      <w:r w:rsidRPr="00653421">
        <w:fldChar w:fldCharType="separate"/>
      </w:r>
      <w:r w:rsidR="00CE7565" w:rsidRPr="00CE7565">
        <w:rPr>
          <w:lang w:val="pt-BR"/>
        </w:rPr>
        <w:t>23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Project Online</w:t>
      </w:r>
      <w:r w:rsidRPr="00653421">
        <w:tab/>
      </w:r>
      <w:r w:rsidRPr="00653421">
        <w:fldChar w:fldCharType="begin"/>
      </w:r>
      <w:r w:rsidRPr="00653421">
        <w:instrText xml:space="preserve"> PAGEREF _Toc353470690 \h </w:instrText>
      </w:r>
      <w:r w:rsidRPr="00653421">
        <w:fldChar w:fldCharType="separate"/>
      </w:r>
      <w:r w:rsidR="00CE7565">
        <w:t>23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Project Online A</w:t>
      </w:r>
      <w:r w:rsidRPr="00653421">
        <w:tab/>
      </w:r>
      <w:r w:rsidRPr="00653421">
        <w:fldChar w:fldCharType="begin"/>
      </w:r>
      <w:r w:rsidRPr="00653421">
        <w:instrText xml:space="preserve"> PAGEREF _Toc353470691 \h </w:instrText>
      </w:r>
      <w:r w:rsidRPr="00653421">
        <w:fldChar w:fldCharType="separate"/>
      </w:r>
      <w:r w:rsidR="00CE7565">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Project Server 2013</w:t>
      </w:r>
      <w:r w:rsidRPr="00CE7565">
        <w:rPr>
          <w:lang w:val="pt-BR"/>
        </w:rPr>
        <w:tab/>
      </w:r>
      <w:r w:rsidRPr="00653421">
        <w:fldChar w:fldCharType="begin"/>
      </w:r>
      <w:r w:rsidRPr="00CE7565">
        <w:rPr>
          <w:lang w:val="pt-BR"/>
        </w:rPr>
        <w:instrText xml:space="preserve"> PAGEREF _Toc353470692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Project Server 2013</w:t>
      </w:r>
      <w:r w:rsidRPr="00CE7565">
        <w:rPr>
          <w:lang w:val="pt-BR"/>
        </w:rPr>
        <w:tab/>
      </w:r>
      <w:r w:rsidRPr="00653421">
        <w:fldChar w:fldCharType="begin"/>
      </w:r>
      <w:r w:rsidRPr="00CE7565">
        <w:rPr>
          <w:lang w:val="pt-BR"/>
        </w:rPr>
        <w:instrText xml:space="preserve"> PAGEREF _Toc353470693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Armazenamento Extra do SharePoint™ Online de 1 GB (SL Complementar)</w:t>
      </w:r>
      <w:r w:rsidRPr="00CE7565">
        <w:rPr>
          <w:lang w:val="pt-BR"/>
        </w:rPr>
        <w:tab/>
      </w:r>
      <w:r w:rsidRPr="00653421">
        <w:fldChar w:fldCharType="begin"/>
      </w:r>
      <w:r w:rsidRPr="00CE7565">
        <w:rPr>
          <w:lang w:val="pt-BR"/>
        </w:rPr>
        <w:instrText xml:space="preserve"> PAGEREF _Toc353470694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Armazenamento Extra do SharePoint™ Online de A 1 GB (SL Complementar)</w:t>
      </w:r>
      <w:r w:rsidRPr="00CE7565">
        <w:rPr>
          <w:lang w:val="pt-BR"/>
        </w:rPr>
        <w:tab/>
      </w:r>
      <w:r w:rsidRPr="00653421">
        <w:fldChar w:fldCharType="begin"/>
      </w:r>
      <w:r w:rsidRPr="00CE7565">
        <w:rPr>
          <w:lang w:val="pt-BR"/>
        </w:rPr>
        <w:instrText xml:space="preserve"> PAGEREF _Toc353470695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SharePoint™ Online Plano 1 (SL de Usuário)</w:t>
      </w:r>
      <w:r w:rsidRPr="00CE7565">
        <w:rPr>
          <w:lang w:val="pt-BR"/>
        </w:rPr>
        <w:tab/>
      </w:r>
      <w:r w:rsidRPr="00653421">
        <w:fldChar w:fldCharType="begin"/>
      </w:r>
      <w:r w:rsidRPr="00CE7565">
        <w:rPr>
          <w:lang w:val="pt-BR"/>
        </w:rPr>
        <w:instrText xml:space="preserve"> PAGEREF _Toc353470696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SharePoint™ Online Plano 2 (SL de Usuário)</w:t>
      </w:r>
      <w:r w:rsidRPr="00CE7565">
        <w:rPr>
          <w:lang w:val="pt-BR"/>
        </w:rPr>
        <w:tab/>
      </w:r>
      <w:r w:rsidRPr="00653421">
        <w:fldChar w:fldCharType="begin"/>
      </w:r>
      <w:r w:rsidRPr="00CE7565">
        <w:rPr>
          <w:lang w:val="pt-BR"/>
        </w:rPr>
        <w:instrText xml:space="preserve"> PAGEREF _Toc353470697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SharePoint™ Server 2013</w:t>
      </w:r>
      <w:r w:rsidRPr="00CE7565">
        <w:rPr>
          <w:lang w:val="pt-BR"/>
        </w:rPr>
        <w:tab/>
      </w:r>
      <w:r w:rsidRPr="00653421">
        <w:fldChar w:fldCharType="begin"/>
      </w:r>
      <w:r w:rsidRPr="00CE7565">
        <w:rPr>
          <w:lang w:val="pt-BR"/>
        </w:rPr>
        <w:instrText xml:space="preserve"> PAGEREF _Toc353470698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Empresarial do SharePoint™ Server 2013</w:t>
      </w:r>
      <w:r w:rsidRPr="00CE7565">
        <w:rPr>
          <w:lang w:val="pt-BR"/>
        </w:rPr>
        <w:tab/>
      </w:r>
      <w:r w:rsidRPr="00653421">
        <w:fldChar w:fldCharType="begin"/>
      </w:r>
      <w:r w:rsidRPr="00CE7565">
        <w:rPr>
          <w:lang w:val="pt-BR"/>
        </w:rPr>
        <w:instrText xml:space="preserve"> PAGEREF _Toc353470699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Padrão do SharePoint™ Server 2013</w:t>
      </w:r>
      <w:r w:rsidRPr="00CE7565">
        <w:rPr>
          <w:lang w:val="pt-BR"/>
        </w:rPr>
        <w:tab/>
      </w:r>
      <w:r w:rsidRPr="00653421">
        <w:fldChar w:fldCharType="begin"/>
      </w:r>
      <w:r w:rsidRPr="00CE7565">
        <w:rPr>
          <w:lang w:val="pt-BR"/>
        </w:rPr>
        <w:instrText xml:space="preserve"> PAGEREF _Toc353470700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para um processador do SQL Server</w:t>
      </w:r>
      <w:r w:rsidRPr="00CE7565">
        <w:rPr>
          <w:rFonts w:eastAsia="Times New Roman" w:cs="Tahoma"/>
          <w:vertAlign w:val="superscript"/>
          <w:lang w:val="pt-BR"/>
        </w:rPr>
        <w:t>®</w:t>
      </w:r>
      <w:r w:rsidRPr="00CE7565">
        <w:rPr>
          <w:rFonts w:cs="Tahoma"/>
          <w:lang w:val="pt-BR"/>
        </w:rPr>
        <w:t xml:space="preserve"> 2008 R2 Datacenter</w:t>
      </w:r>
      <w:r w:rsidRPr="00CE7565">
        <w:rPr>
          <w:lang w:val="pt-BR"/>
        </w:rPr>
        <w:tab/>
      </w:r>
      <w:r w:rsidRPr="00653421">
        <w:fldChar w:fldCharType="begin"/>
      </w:r>
      <w:r w:rsidRPr="00CE7565">
        <w:rPr>
          <w:lang w:val="pt-BR"/>
        </w:rPr>
        <w:instrText xml:space="preserve"> PAGEREF _Toc353470701 \h </w:instrText>
      </w:r>
      <w:r w:rsidRPr="00653421">
        <w:fldChar w:fldCharType="separate"/>
      </w:r>
      <w:r w:rsidR="00CE7565" w:rsidRPr="00CE7565">
        <w:rPr>
          <w:lang w:val="pt-BR"/>
        </w:rPr>
        <w:t>23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SQL Server</w:t>
      </w:r>
      <w:r w:rsidRPr="00653421">
        <w:rPr>
          <w:rFonts w:eastAsia="Times New Roman" w:cs="Tahoma"/>
          <w:vertAlign w:val="superscript"/>
        </w:rPr>
        <w:t>®</w:t>
      </w:r>
      <w:r w:rsidRPr="00653421">
        <w:rPr>
          <w:rFonts w:cs="Tahoma"/>
        </w:rPr>
        <w:t xml:space="preserve"> 2008 R2 Small Business</w:t>
      </w:r>
      <w:r w:rsidRPr="00653421">
        <w:tab/>
      </w:r>
      <w:r w:rsidRPr="00653421">
        <w:fldChar w:fldCharType="begin"/>
      </w:r>
      <w:r w:rsidRPr="00653421">
        <w:instrText xml:space="preserve"> PAGEREF _Toc353470702 \h </w:instrText>
      </w:r>
      <w:r w:rsidRPr="00653421">
        <w:fldChar w:fldCharType="separate"/>
      </w:r>
      <w:r w:rsidR="00CE7565">
        <w:t>23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CAL do SQL Server</w:t>
      </w:r>
      <w:r w:rsidRPr="00653421">
        <w:rPr>
          <w:rFonts w:eastAsia="Times New Roman" w:cs="Tahoma"/>
          <w:vertAlign w:val="superscript"/>
        </w:rPr>
        <w:t>®</w:t>
      </w:r>
      <w:r w:rsidRPr="00653421">
        <w:rPr>
          <w:rFonts w:cs="Tahoma"/>
        </w:rPr>
        <w:t xml:space="preserve"> 2008 R2 Small Business</w:t>
      </w:r>
      <w:r w:rsidRPr="00653421">
        <w:tab/>
      </w:r>
      <w:r w:rsidRPr="00653421">
        <w:fldChar w:fldCharType="begin"/>
      </w:r>
      <w:r w:rsidRPr="00653421">
        <w:instrText xml:space="preserve"> PAGEREF _Toc353470703 \h </w:instrText>
      </w:r>
      <w:r w:rsidRPr="00653421">
        <w:fldChar w:fldCharType="separate"/>
      </w:r>
      <w:r w:rsidR="00CE7565">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SQL Server</w:t>
      </w:r>
      <w:r w:rsidRPr="00CE7565">
        <w:rPr>
          <w:rFonts w:eastAsia="Times New Roman" w:cs="Tahoma"/>
          <w:vertAlign w:val="superscript"/>
          <w:lang w:val="pt-BR"/>
        </w:rPr>
        <w:t>®</w:t>
      </w:r>
      <w:r w:rsidRPr="00CE7565">
        <w:rPr>
          <w:rFonts w:cs="Tahoma"/>
          <w:lang w:val="pt-BR"/>
        </w:rPr>
        <w:t xml:space="preserve"> 2008 R2 Web por Processador</w:t>
      </w:r>
      <w:r w:rsidRPr="00CE7565">
        <w:rPr>
          <w:lang w:val="pt-BR"/>
        </w:rPr>
        <w:tab/>
      </w:r>
      <w:r w:rsidRPr="00653421">
        <w:fldChar w:fldCharType="begin"/>
      </w:r>
      <w:r w:rsidRPr="00CE7565">
        <w:rPr>
          <w:lang w:val="pt-BR"/>
        </w:rPr>
        <w:instrText xml:space="preserve"> PAGEREF _Toc353470704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SQL Server</w:t>
      </w:r>
      <w:r w:rsidRPr="00CE7565">
        <w:rPr>
          <w:rFonts w:eastAsia="Times New Roman" w:cs="Tahoma"/>
          <w:vertAlign w:val="superscript"/>
          <w:lang w:val="pt-BR"/>
        </w:rPr>
        <w:t>®</w:t>
      </w:r>
      <w:r w:rsidRPr="00CE7565">
        <w:rPr>
          <w:rFonts w:cs="Tahoma"/>
          <w:lang w:val="pt-BR"/>
        </w:rPr>
        <w:t xml:space="preserve"> 2008 R2 Workgroup</w:t>
      </w:r>
      <w:r w:rsidRPr="00CE7565">
        <w:rPr>
          <w:lang w:val="pt-BR"/>
        </w:rPr>
        <w:tab/>
      </w:r>
      <w:r w:rsidRPr="00653421">
        <w:fldChar w:fldCharType="begin"/>
      </w:r>
      <w:r w:rsidRPr="00CE7565">
        <w:rPr>
          <w:lang w:val="pt-BR"/>
        </w:rPr>
        <w:instrText xml:space="preserve"> PAGEREF _Toc353470705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SQL Server</w:t>
      </w:r>
      <w:r w:rsidRPr="00CE7565">
        <w:rPr>
          <w:rFonts w:eastAsia="Times New Roman" w:cs="Tahoma"/>
          <w:vertAlign w:val="superscript"/>
          <w:lang w:val="pt-BR"/>
        </w:rPr>
        <w:t>®</w:t>
      </w:r>
      <w:r w:rsidRPr="00CE7565">
        <w:rPr>
          <w:rFonts w:cs="Tahoma"/>
          <w:lang w:val="pt-BR"/>
        </w:rPr>
        <w:t xml:space="preserve"> 2008 R2 Workgroup (Complementar para 5 Clientes)</w:t>
      </w:r>
      <w:r w:rsidRPr="00CE7565">
        <w:rPr>
          <w:lang w:val="pt-BR"/>
        </w:rPr>
        <w:tab/>
      </w:r>
      <w:r w:rsidRPr="00653421">
        <w:fldChar w:fldCharType="begin"/>
      </w:r>
      <w:r w:rsidRPr="00CE7565">
        <w:rPr>
          <w:lang w:val="pt-BR"/>
        </w:rPr>
        <w:instrText xml:space="preserve"> PAGEREF _Toc353470706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para um Processador do SQL Server</w:t>
      </w:r>
      <w:r w:rsidRPr="00CE7565">
        <w:rPr>
          <w:rFonts w:eastAsia="Times New Roman" w:cs="Tahoma"/>
          <w:vertAlign w:val="superscript"/>
          <w:lang w:val="pt-BR"/>
        </w:rPr>
        <w:t>®</w:t>
      </w:r>
      <w:r w:rsidRPr="00CE7565">
        <w:rPr>
          <w:rFonts w:cs="Tahoma"/>
          <w:lang w:val="pt-BR"/>
        </w:rPr>
        <w:t xml:space="preserve"> 2008 R2 Workgroup</w:t>
      </w:r>
      <w:r w:rsidRPr="00CE7565">
        <w:rPr>
          <w:lang w:val="pt-BR"/>
        </w:rPr>
        <w:tab/>
      </w:r>
      <w:r w:rsidRPr="00653421">
        <w:fldChar w:fldCharType="begin"/>
      </w:r>
      <w:r w:rsidRPr="00CE7565">
        <w:rPr>
          <w:lang w:val="pt-BR"/>
        </w:rPr>
        <w:instrText xml:space="preserve"> PAGEREF _Toc353470707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SQL Server</w:t>
      </w:r>
      <w:r w:rsidRPr="00CE7565">
        <w:rPr>
          <w:rFonts w:eastAsia="Times New Roman" w:cs="Tahoma"/>
          <w:vertAlign w:val="superscript"/>
          <w:lang w:val="pt-BR"/>
        </w:rPr>
        <w:t>®</w:t>
      </w:r>
      <w:r w:rsidRPr="00CE7565">
        <w:rPr>
          <w:rFonts w:cs="Tahoma"/>
          <w:lang w:val="pt-BR"/>
        </w:rPr>
        <w:t xml:space="preserve"> 2012 Business Intelligence</w:t>
      </w:r>
      <w:r w:rsidRPr="00CE7565">
        <w:rPr>
          <w:lang w:val="pt-BR"/>
        </w:rPr>
        <w:tab/>
      </w:r>
      <w:r w:rsidRPr="00653421">
        <w:fldChar w:fldCharType="begin"/>
      </w:r>
      <w:r w:rsidRPr="00CE7565">
        <w:rPr>
          <w:lang w:val="pt-BR"/>
        </w:rPr>
        <w:instrText xml:space="preserve"> PAGEREF _Toc353470708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SQL Server</w:t>
      </w:r>
      <w:r w:rsidRPr="00CE7565">
        <w:rPr>
          <w:rFonts w:eastAsia="Times New Roman" w:cs="Tahoma"/>
          <w:vertAlign w:val="superscript"/>
          <w:lang w:val="pt-BR"/>
        </w:rPr>
        <w:t>®</w:t>
      </w:r>
      <w:r w:rsidRPr="00CE7565">
        <w:rPr>
          <w:rFonts w:cs="Tahoma"/>
          <w:lang w:val="pt-BR"/>
        </w:rPr>
        <w:t xml:space="preserve"> 2012 (SL de Usuário e Dispositivo)</w:t>
      </w:r>
      <w:r w:rsidRPr="00CE7565">
        <w:rPr>
          <w:lang w:val="pt-BR"/>
        </w:rPr>
        <w:tab/>
      </w:r>
      <w:r w:rsidRPr="00653421">
        <w:fldChar w:fldCharType="begin"/>
      </w:r>
      <w:r w:rsidRPr="00CE7565">
        <w:rPr>
          <w:lang w:val="pt-BR"/>
        </w:rPr>
        <w:instrText xml:space="preserve"> PAGEREF _Toc353470709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SQL Server</w:t>
      </w:r>
      <w:r w:rsidRPr="00CE7565">
        <w:rPr>
          <w:rFonts w:eastAsia="Times New Roman" w:cs="Tahoma"/>
          <w:vertAlign w:val="superscript"/>
          <w:lang w:val="pt-BR"/>
        </w:rPr>
        <w:t>®</w:t>
      </w:r>
      <w:r w:rsidRPr="00CE7565">
        <w:rPr>
          <w:rFonts w:cs="Tahoma"/>
          <w:lang w:val="pt-BR"/>
        </w:rPr>
        <w:t xml:space="preserve"> 2012 Developer</w:t>
      </w:r>
      <w:r w:rsidRPr="00CE7565">
        <w:rPr>
          <w:lang w:val="pt-BR"/>
        </w:rPr>
        <w:tab/>
      </w:r>
      <w:r w:rsidRPr="00653421">
        <w:fldChar w:fldCharType="begin"/>
      </w:r>
      <w:r w:rsidRPr="00CE7565">
        <w:rPr>
          <w:lang w:val="pt-BR"/>
        </w:rPr>
        <w:instrText xml:space="preserve"> PAGEREF _Toc353470710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SQL Server</w:t>
      </w:r>
      <w:r w:rsidRPr="00CE7565">
        <w:rPr>
          <w:rFonts w:eastAsia="Times New Roman" w:cs="Tahoma"/>
          <w:vertAlign w:val="superscript"/>
          <w:lang w:val="pt-BR"/>
        </w:rPr>
        <w:t>®</w:t>
      </w:r>
      <w:r w:rsidRPr="00CE7565">
        <w:rPr>
          <w:rFonts w:cs="Tahoma"/>
          <w:lang w:val="pt-BR"/>
        </w:rPr>
        <w:t xml:space="preserve"> 2012 Enterprise</w:t>
      </w:r>
      <w:r w:rsidRPr="00CE7565">
        <w:rPr>
          <w:lang w:val="pt-BR"/>
        </w:rPr>
        <w:tab/>
      </w:r>
      <w:r w:rsidRPr="00653421">
        <w:fldChar w:fldCharType="begin"/>
      </w:r>
      <w:r w:rsidRPr="00CE7565">
        <w:rPr>
          <w:lang w:val="pt-BR"/>
        </w:rPr>
        <w:instrText xml:space="preserve"> PAGEREF _Toc353470711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SQL Server</w:t>
      </w:r>
      <w:r w:rsidRPr="00CE7565">
        <w:rPr>
          <w:rFonts w:eastAsia="Times New Roman" w:cs="Tahoma"/>
          <w:vertAlign w:val="superscript"/>
          <w:lang w:val="pt-BR"/>
        </w:rPr>
        <w:t>®</w:t>
      </w:r>
      <w:r w:rsidRPr="00CE7565">
        <w:rPr>
          <w:rFonts w:cs="Tahoma"/>
          <w:lang w:val="pt-BR"/>
        </w:rPr>
        <w:t xml:space="preserve"> 2012 Enterprise Core (duas Licenças Principais de pacote)</w:t>
      </w:r>
      <w:r w:rsidRPr="00CE7565">
        <w:rPr>
          <w:lang w:val="pt-BR"/>
        </w:rPr>
        <w:tab/>
      </w:r>
      <w:r w:rsidRPr="00653421">
        <w:fldChar w:fldCharType="begin"/>
      </w:r>
      <w:r w:rsidRPr="00CE7565">
        <w:rPr>
          <w:lang w:val="pt-BR"/>
        </w:rPr>
        <w:instrText xml:space="preserve"> PAGEREF _Toc353470712 \h </w:instrText>
      </w:r>
      <w:r w:rsidRPr="00653421">
        <w:fldChar w:fldCharType="separate"/>
      </w:r>
      <w:r w:rsidR="00CE7565" w:rsidRPr="00CE7565">
        <w:rPr>
          <w:lang w:val="pt-BR"/>
        </w:rPr>
        <w:t>23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SQL Server</w:t>
      </w:r>
      <w:r w:rsidRPr="00653421">
        <w:rPr>
          <w:rFonts w:eastAsia="Times New Roman" w:cs="Tahoma"/>
          <w:vertAlign w:val="superscript"/>
        </w:rPr>
        <w:t>®</w:t>
      </w:r>
      <w:r w:rsidRPr="00653421">
        <w:rPr>
          <w:rFonts w:cs="Tahoma"/>
        </w:rPr>
        <w:t xml:space="preserve"> 2012 Parallel Data Warehouse</w:t>
      </w:r>
      <w:r w:rsidRPr="00653421">
        <w:tab/>
      </w:r>
      <w:r w:rsidRPr="00653421">
        <w:fldChar w:fldCharType="begin"/>
      </w:r>
      <w:r w:rsidRPr="00653421">
        <w:instrText xml:space="preserve"> PAGEREF _Toc353470713 \h </w:instrText>
      </w:r>
      <w:r w:rsidRPr="00653421">
        <w:fldChar w:fldCharType="separate"/>
      </w:r>
      <w:r w:rsidR="00CE7565">
        <w:t>23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SQL Server</w:t>
      </w:r>
      <w:r w:rsidRPr="00653421">
        <w:rPr>
          <w:rFonts w:eastAsia="Times New Roman" w:cs="Tahoma"/>
          <w:vertAlign w:val="superscript"/>
        </w:rPr>
        <w:t>®</w:t>
      </w:r>
      <w:r w:rsidRPr="00653421">
        <w:rPr>
          <w:rFonts w:cs="Tahoma"/>
        </w:rPr>
        <w:t xml:space="preserve"> 2012 Parallel Data Warehouse Developer</w:t>
      </w:r>
      <w:r w:rsidRPr="00653421">
        <w:tab/>
      </w:r>
      <w:r w:rsidRPr="00653421">
        <w:fldChar w:fldCharType="begin"/>
      </w:r>
      <w:r w:rsidRPr="00653421">
        <w:instrText xml:space="preserve"> PAGEREF _Toc353470714 \h </w:instrText>
      </w:r>
      <w:r w:rsidRPr="00653421">
        <w:fldChar w:fldCharType="separate"/>
      </w:r>
      <w:r w:rsidR="00CE7565">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SQL Server</w:t>
      </w:r>
      <w:r w:rsidRPr="00CE7565">
        <w:rPr>
          <w:rFonts w:eastAsia="Times New Roman" w:cs="Tahoma"/>
          <w:vertAlign w:val="superscript"/>
          <w:lang w:val="pt-BR"/>
        </w:rPr>
        <w:t>®</w:t>
      </w:r>
      <w:r w:rsidRPr="00CE7565">
        <w:rPr>
          <w:rFonts w:cs="Tahoma"/>
          <w:lang w:val="pt-BR"/>
        </w:rPr>
        <w:t xml:space="preserve"> 2012 Standard</w:t>
      </w:r>
      <w:r w:rsidRPr="00CE7565">
        <w:rPr>
          <w:lang w:val="pt-BR"/>
        </w:rPr>
        <w:tab/>
      </w:r>
      <w:r w:rsidRPr="00653421">
        <w:fldChar w:fldCharType="begin"/>
      </w:r>
      <w:r w:rsidRPr="00CE7565">
        <w:rPr>
          <w:lang w:val="pt-BR"/>
        </w:rPr>
        <w:instrText xml:space="preserve"> PAGEREF _Toc353470715 \h </w:instrText>
      </w:r>
      <w:r w:rsidRPr="00653421">
        <w:fldChar w:fldCharType="separate"/>
      </w:r>
      <w:r w:rsidR="00CE7565" w:rsidRPr="00CE7565">
        <w:rPr>
          <w:lang w:val="pt-BR"/>
        </w:rPr>
        <w:t>23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SQL Server</w:t>
      </w:r>
      <w:r w:rsidRPr="00CE7565">
        <w:rPr>
          <w:rFonts w:eastAsia="Times New Roman" w:cs="Tahoma"/>
          <w:vertAlign w:val="superscript"/>
          <w:lang w:val="pt-BR"/>
        </w:rPr>
        <w:t>®</w:t>
      </w:r>
      <w:r w:rsidRPr="00CE7565">
        <w:rPr>
          <w:rFonts w:cs="Tahoma"/>
          <w:lang w:val="pt-BR"/>
        </w:rPr>
        <w:t xml:space="preserve"> 2012 Standard Core (duas Licenças Principais de pacote)</w:t>
      </w:r>
      <w:r w:rsidRPr="00CE7565">
        <w:rPr>
          <w:lang w:val="pt-BR"/>
        </w:rPr>
        <w:tab/>
      </w:r>
      <w:r w:rsidRPr="00653421">
        <w:fldChar w:fldCharType="begin"/>
      </w:r>
      <w:r w:rsidRPr="00CE7565">
        <w:rPr>
          <w:lang w:val="pt-BR"/>
        </w:rPr>
        <w:instrText xml:space="preserve"> PAGEREF _Toc353470716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Servidor do System Center Configuration Manager 2007 R3 Enterprise</w:t>
      </w:r>
      <w:r w:rsidRPr="00CE7565">
        <w:rPr>
          <w:lang w:val="pt-BR"/>
        </w:rPr>
        <w:tab/>
      </w:r>
      <w:r w:rsidRPr="00653421">
        <w:fldChar w:fldCharType="begin"/>
      </w:r>
      <w:r w:rsidRPr="00CE7565">
        <w:rPr>
          <w:lang w:val="pt-BR"/>
        </w:rPr>
        <w:instrText xml:space="preserve"> PAGEREF _Toc353470717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lastRenderedPageBreak/>
        <w:t xml:space="preserve">Licença de Gerenciamento de Servidor Standard (ML de Servidor Standard) do System Center </w:t>
      </w:r>
      <w:r w:rsidRPr="00CE7565">
        <w:rPr>
          <w:rFonts w:cs="Tahoma"/>
          <w:lang w:val="pt-BR"/>
        </w:rPr>
        <w:br/>
        <w:t>Configuration Manager 2007 R3</w:t>
      </w:r>
      <w:r w:rsidRPr="00CE7565">
        <w:rPr>
          <w:lang w:val="pt-BR"/>
        </w:rPr>
        <w:tab/>
      </w:r>
      <w:r w:rsidRPr="00653421">
        <w:fldChar w:fldCharType="begin"/>
      </w:r>
      <w:r w:rsidRPr="00CE7565">
        <w:rPr>
          <w:lang w:val="pt-BR"/>
        </w:rPr>
        <w:instrText xml:space="preserve"> PAGEREF _Toc353470718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Servidor Enterprise do System Center Data Protection Manager 2010</w:t>
      </w:r>
      <w:r w:rsidRPr="00CE7565">
        <w:rPr>
          <w:lang w:val="pt-BR"/>
        </w:rPr>
        <w:tab/>
      </w:r>
      <w:r w:rsidRPr="00653421">
        <w:fldChar w:fldCharType="begin"/>
      </w:r>
      <w:r w:rsidRPr="00CE7565">
        <w:rPr>
          <w:lang w:val="pt-BR"/>
        </w:rPr>
        <w:instrText xml:space="preserve"> PAGEREF _Toc353470719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Servidor Standard do System Center Data Protection Manager 2010</w:t>
      </w:r>
      <w:r w:rsidRPr="00CE7565">
        <w:rPr>
          <w:lang w:val="pt-BR"/>
        </w:rPr>
        <w:tab/>
      </w:r>
      <w:r w:rsidRPr="00653421">
        <w:fldChar w:fldCharType="begin"/>
      </w:r>
      <w:r w:rsidRPr="00CE7565">
        <w:rPr>
          <w:lang w:val="pt-BR"/>
        </w:rPr>
        <w:instrText xml:space="preserve"> PAGEREF _Toc353470720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System Center Essentials 2010</w:t>
      </w:r>
      <w:r w:rsidRPr="00CE7565">
        <w:rPr>
          <w:lang w:val="pt-BR"/>
        </w:rPr>
        <w:tab/>
      </w:r>
      <w:r w:rsidRPr="00653421">
        <w:fldChar w:fldCharType="begin"/>
      </w:r>
      <w:r w:rsidRPr="00CE7565">
        <w:rPr>
          <w:lang w:val="pt-BR"/>
        </w:rPr>
        <w:instrText xml:space="preserve"> PAGEREF _Toc353470721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ML de Cliente do System Center Essentials 2010</w:t>
      </w:r>
      <w:r w:rsidRPr="00CE7565">
        <w:rPr>
          <w:lang w:val="pt-BR"/>
        </w:rPr>
        <w:tab/>
      </w:r>
      <w:r w:rsidRPr="00653421">
        <w:fldChar w:fldCharType="begin"/>
      </w:r>
      <w:r w:rsidRPr="00CE7565">
        <w:rPr>
          <w:lang w:val="pt-BR"/>
        </w:rPr>
        <w:instrText xml:space="preserve"> PAGEREF _Toc353470722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ML de Servidor do System Center Essentials 2010</w:t>
      </w:r>
      <w:r w:rsidRPr="00CE7565">
        <w:rPr>
          <w:lang w:val="pt-BR"/>
        </w:rPr>
        <w:tab/>
      </w:r>
      <w:r w:rsidRPr="00653421">
        <w:fldChar w:fldCharType="begin"/>
      </w:r>
      <w:r w:rsidRPr="00CE7565">
        <w:rPr>
          <w:lang w:val="pt-BR"/>
        </w:rPr>
        <w:instrText xml:space="preserve"> PAGEREF _Toc353470723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System Center Essentials 2010 com Tecnologia SQL Server 2008</w:t>
      </w:r>
      <w:r w:rsidRPr="00CE7565">
        <w:rPr>
          <w:lang w:val="pt-BR"/>
        </w:rPr>
        <w:tab/>
      </w:r>
      <w:r w:rsidRPr="00653421">
        <w:fldChar w:fldCharType="begin"/>
      </w:r>
      <w:r w:rsidRPr="00CE7565">
        <w:rPr>
          <w:lang w:val="pt-BR"/>
        </w:rPr>
        <w:instrText xml:space="preserve"> PAGEREF _Toc353470724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Management License Suite do System Center Essentials Plus 2010 Client</w:t>
      </w:r>
      <w:r w:rsidRPr="00CE7565">
        <w:rPr>
          <w:lang w:val="fr-FR"/>
        </w:rPr>
        <w:tab/>
      </w:r>
      <w:r w:rsidRPr="00653421">
        <w:fldChar w:fldCharType="begin"/>
      </w:r>
      <w:r w:rsidRPr="00CE7565">
        <w:rPr>
          <w:lang w:val="fr-FR"/>
        </w:rPr>
        <w:instrText xml:space="preserve"> PAGEREF _Toc353470725 \h </w:instrText>
      </w:r>
      <w:r w:rsidRPr="00653421">
        <w:fldChar w:fldCharType="separate"/>
      </w:r>
      <w:r w:rsidR="00CE7565" w:rsidRPr="00CE7565">
        <w:rPr>
          <w:lang w:val="fr-F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Servidor Standard do System Center Operations Manager 2007 R2</w:t>
      </w:r>
      <w:r w:rsidRPr="00CE7565">
        <w:rPr>
          <w:lang w:val="pt-BR"/>
        </w:rPr>
        <w:tab/>
      </w:r>
      <w:r w:rsidRPr="00653421">
        <w:fldChar w:fldCharType="begin"/>
      </w:r>
      <w:r w:rsidRPr="00CE7565">
        <w:rPr>
          <w:lang w:val="pt-BR"/>
        </w:rPr>
        <w:instrText xml:space="preserve"> PAGEREF _Toc353470726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Servidor Enterprise do System Center Operations Manager 2007 R2</w:t>
      </w:r>
      <w:r w:rsidRPr="00CE7565">
        <w:rPr>
          <w:lang w:val="pt-BR"/>
        </w:rPr>
        <w:tab/>
      </w:r>
      <w:r w:rsidRPr="00653421">
        <w:fldChar w:fldCharType="begin"/>
      </w:r>
      <w:r w:rsidRPr="00CE7565">
        <w:rPr>
          <w:lang w:val="pt-BR"/>
        </w:rPr>
        <w:instrText xml:space="preserve"> PAGEREF _Toc353470727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do System Center Operations Manager 2007 R2 por OSE</w:t>
      </w:r>
      <w:r w:rsidRPr="00CE7565">
        <w:rPr>
          <w:lang w:val="pt-BR"/>
        </w:rPr>
        <w:tab/>
      </w:r>
      <w:r w:rsidRPr="00653421">
        <w:fldChar w:fldCharType="begin"/>
      </w:r>
      <w:r w:rsidRPr="00CE7565">
        <w:rPr>
          <w:lang w:val="pt-BR"/>
        </w:rPr>
        <w:instrText xml:space="preserve"> PAGEREF _Toc353470728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do System Center Operations Manager 2007 R2 por Usuário</w:t>
      </w:r>
      <w:r w:rsidRPr="00CE7565">
        <w:rPr>
          <w:lang w:val="pt-BR"/>
        </w:rPr>
        <w:tab/>
      </w:r>
      <w:r w:rsidRPr="00653421">
        <w:fldChar w:fldCharType="begin"/>
      </w:r>
      <w:r w:rsidRPr="00CE7565">
        <w:rPr>
          <w:lang w:val="pt-BR"/>
        </w:rPr>
        <w:instrText xml:space="preserve"> PAGEREF _Toc353470729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System Center Reporting Manager 2006</w:t>
      </w:r>
      <w:r w:rsidRPr="00CE7565">
        <w:rPr>
          <w:lang w:val="pt-BR"/>
        </w:rPr>
        <w:tab/>
      </w:r>
      <w:r w:rsidRPr="00653421">
        <w:fldChar w:fldCharType="begin"/>
      </w:r>
      <w:r w:rsidRPr="00CE7565">
        <w:rPr>
          <w:lang w:val="pt-BR"/>
        </w:rPr>
        <w:instrText xml:space="preserve"> PAGEREF _Toc353470730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System Center Server Management Suite Enterprise</w:t>
      </w:r>
      <w:r w:rsidRPr="00CE7565">
        <w:rPr>
          <w:lang w:val="pt-BR"/>
        </w:rPr>
        <w:tab/>
      </w:r>
      <w:r w:rsidRPr="00653421">
        <w:fldChar w:fldCharType="begin"/>
      </w:r>
      <w:r w:rsidRPr="00CE7565">
        <w:rPr>
          <w:lang w:val="pt-BR"/>
        </w:rPr>
        <w:instrText xml:space="preserve"> PAGEREF _Toc353470731 \h </w:instrText>
      </w:r>
      <w:r w:rsidRPr="00653421">
        <w:fldChar w:fldCharType="separate"/>
      </w:r>
      <w:r w:rsidR="00CE7565" w:rsidRPr="00CE7565">
        <w:rPr>
          <w:lang w:val="pt-BR"/>
        </w:rPr>
        <w:t>24</w:t>
      </w:r>
      <w:r w:rsidRPr="00653421">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rFonts w:cs="Tahoma"/>
          <w:noProof/>
          <w:lang w:val="pt-BR"/>
        </w:rPr>
        <w:t>System Center Server Management Suite Datacenter</w:t>
      </w:r>
      <w:r w:rsidRPr="00CE7565">
        <w:rPr>
          <w:noProof/>
          <w:lang w:val="pt-BR"/>
        </w:rPr>
        <w:tab/>
      </w:r>
      <w:r w:rsidRPr="00653421">
        <w:rPr>
          <w:noProof/>
        </w:rPr>
        <w:fldChar w:fldCharType="begin"/>
      </w:r>
      <w:r w:rsidRPr="00CE7565">
        <w:rPr>
          <w:noProof/>
          <w:lang w:val="pt-BR"/>
        </w:rPr>
        <w:instrText xml:space="preserve"> PAGEREF _Toc353470732 \h </w:instrText>
      </w:r>
      <w:r w:rsidRPr="00653421">
        <w:rPr>
          <w:noProof/>
        </w:rPr>
      </w:r>
      <w:r w:rsidRPr="00653421">
        <w:rPr>
          <w:noProof/>
        </w:rPr>
        <w:fldChar w:fldCharType="separate"/>
      </w:r>
      <w:r w:rsidR="00CE7565" w:rsidRPr="00CE7565">
        <w:rPr>
          <w:noProof/>
          <w:lang w:val="pt-BR"/>
        </w:rPr>
        <w:t>24</w:t>
      </w:r>
      <w:r w:rsidRPr="00653421">
        <w:rPr>
          <w:noProof/>
        </w:rPr>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(ML de Cliente) do System Center Service Manager 2010 por OSE</w:t>
      </w:r>
      <w:r w:rsidRPr="00CE7565">
        <w:rPr>
          <w:lang w:val="pt-BR"/>
        </w:rPr>
        <w:tab/>
      </w:r>
      <w:r w:rsidRPr="00653421">
        <w:fldChar w:fldCharType="begin"/>
      </w:r>
      <w:r w:rsidRPr="00CE7565">
        <w:rPr>
          <w:lang w:val="pt-BR"/>
        </w:rPr>
        <w:instrText xml:space="preserve"> PAGEREF _Toc353470733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(ML de Cliente) do System Center Service Manager 2010 por Usuário</w:t>
      </w:r>
      <w:r w:rsidRPr="00CE7565">
        <w:rPr>
          <w:lang w:val="pt-BR"/>
        </w:rPr>
        <w:tab/>
      </w:r>
      <w:r w:rsidRPr="00653421">
        <w:fldChar w:fldCharType="begin"/>
      </w:r>
      <w:r w:rsidRPr="00CE7565">
        <w:rPr>
          <w:lang w:val="pt-BR"/>
        </w:rPr>
        <w:instrText xml:space="preserve"> PAGEREF _Toc353470734 \h </w:instrText>
      </w:r>
      <w:r w:rsidRPr="00653421">
        <w:fldChar w:fldCharType="separate"/>
      </w:r>
      <w:r w:rsidR="00CE7565" w:rsidRPr="00CE7565">
        <w:rPr>
          <w:lang w:val="pt-BR"/>
        </w:rPr>
        <w:t>24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Licença de Gerenciamento de Servidor (ML de Servidor) do System Center Service Manager 2010 por OSE</w:t>
      </w:r>
      <w:r w:rsidRPr="00CE7565">
        <w:rPr>
          <w:lang w:val="pt-BR"/>
        </w:rPr>
        <w:tab/>
      </w:r>
      <w:r w:rsidRPr="00653421">
        <w:fldChar w:fldCharType="begin"/>
      </w:r>
      <w:r w:rsidRPr="00CE7565">
        <w:rPr>
          <w:lang w:val="pt-BR"/>
        </w:rPr>
        <w:instrText xml:space="preserve"> PAGEREF _Toc353470735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do System Center Virtual Machine Manager 2008 R2 por OSE</w:t>
      </w:r>
      <w:r w:rsidRPr="00CE7565">
        <w:rPr>
          <w:lang w:val="pt-BR"/>
        </w:rPr>
        <w:tab/>
      </w:r>
      <w:r w:rsidRPr="00653421">
        <w:fldChar w:fldCharType="begin"/>
      </w:r>
      <w:r w:rsidRPr="00CE7565">
        <w:rPr>
          <w:lang w:val="pt-BR"/>
        </w:rPr>
        <w:instrText xml:space="preserve"> PAGEREF _Toc353470736 \h </w:instrText>
      </w:r>
      <w:r w:rsidRPr="00653421">
        <w:fldChar w:fldCharType="separate"/>
      </w:r>
      <w:r w:rsidR="00CE7565" w:rsidRPr="00CE7565">
        <w:rPr>
          <w:lang w:val="pt-BR"/>
        </w:rPr>
        <w:t>24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do System Center Virtual Machine Manager 2008 R2 por Usuário</w:t>
      </w:r>
      <w:r w:rsidRPr="00CE7565">
        <w:rPr>
          <w:lang w:val="pt-BR"/>
        </w:rPr>
        <w:tab/>
      </w:r>
      <w:r w:rsidRPr="00653421">
        <w:fldChar w:fldCharType="begin"/>
      </w:r>
      <w:r w:rsidRPr="00CE7565">
        <w:rPr>
          <w:lang w:val="pt-BR"/>
        </w:rPr>
        <w:instrText xml:space="preserve"> PAGEREF _Toc353470737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Servidor Enterprise do System Center Virtual Machine Manager 2008 R2</w:t>
      </w:r>
      <w:r w:rsidRPr="00CE7565">
        <w:rPr>
          <w:lang w:val="pt-BR"/>
        </w:rPr>
        <w:tab/>
      </w:r>
      <w:r w:rsidRPr="00653421">
        <w:fldChar w:fldCharType="begin"/>
      </w:r>
      <w:r w:rsidRPr="00CE7565">
        <w:rPr>
          <w:lang w:val="pt-BR"/>
        </w:rPr>
        <w:instrText xml:space="preserve"> PAGEREF _Toc353470738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System Center 2012 Client Management Suite (ML de Cliente) por OSE</w:t>
      </w:r>
      <w:r w:rsidRPr="00CE7565">
        <w:rPr>
          <w:lang w:val="fr-FR"/>
        </w:rPr>
        <w:tab/>
      </w:r>
      <w:r w:rsidRPr="00653421">
        <w:fldChar w:fldCharType="begin"/>
      </w:r>
      <w:r w:rsidRPr="00CE7565">
        <w:rPr>
          <w:lang w:val="fr-FR"/>
        </w:rPr>
        <w:instrText xml:space="preserve"> PAGEREF _Toc353470739 \h </w:instrText>
      </w:r>
      <w:r w:rsidRPr="00653421">
        <w:fldChar w:fldCharType="separate"/>
      </w:r>
      <w:r w:rsidR="00CE7565" w:rsidRPr="00CE7565">
        <w:rPr>
          <w:lang w:val="fr-F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System Center 2012 Client Management Suite (ML de Cliente) por Usuário</w:t>
      </w:r>
      <w:r w:rsidRPr="00CE7565">
        <w:rPr>
          <w:lang w:val="pt-BR"/>
        </w:rPr>
        <w:tab/>
      </w:r>
      <w:r w:rsidRPr="00653421">
        <w:fldChar w:fldCharType="begin"/>
      </w:r>
      <w:r w:rsidRPr="00CE7565">
        <w:rPr>
          <w:lang w:val="pt-BR"/>
        </w:rPr>
        <w:instrText xml:space="preserve"> PAGEREF _Toc353470740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 xml:space="preserve">Licença de Gerenciamento de Cliente (ML de Cliente) do System Center 2012 Configuration </w:t>
      </w:r>
      <w:r w:rsidRPr="00CE7565">
        <w:rPr>
          <w:rFonts w:cs="Tahoma"/>
          <w:lang w:val="pt-BR"/>
        </w:rPr>
        <w:br/>
        <w:t>Manager (Somente para Aluno)</w:t>
      </w:r>
      <w:r w:rsidRPr="00CE7565">
        <w:rPr>
          <w:lang w:val="pt-BR"/>
        </w:rPr>
        <w:tab/>
      </w:r>
      <w:r w:rsidRPr="00653421">
        <w:fldChar w:fldCharType="begin"/>
      </w:r>
      <w:r w:rsidRPr="00CE7565">
        <w:rPr>
          <w:lang w:val="pt-BR"/>
        </w:rPr>
        <w:instrText xml:space="preserve"> PAGEREF _Toc353470741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do System Center 2012 Configuration Manager por OSE</w:t>
      </w:r>
      <w:r w:rsidRPr="00CE7565">
        <w:rPr>
          <w:lang w:val="pt-BR"/>
        </w:rPr>
        <w:tab/>
      </w:r>
      <w:r w:rsidRPr="00653421">
        <w:fldChar w:fldCharType="begin"/>
      </w:r>
      <w:r w:rsidRPr="00CE7565">
        <w:rPr>
          <w:lang w:val="pt-BR"/>
        </w:rPr>
        <w:instrText xml:space="preserve"> PAGEREF _Toc353470742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do System Center 2012 Configuration Manager por Usuário</w:t>
      </w:r>
      <w:r w:rsidRPr="00CE7565">
        <w:rPr>
          <w:lang w:val="pt-BR"/>
        </w:rPr>
        <w:tab/>
      </w:r>
      <w:r w:rsidRPr="00653421">
        <w:fldChar w:fldCharType="begin"/>
      </w:r>
      <w:r w:rsidRPr="00CE7565">
        <w:rPr>
          <w:lang w:val="pt-BR"/>
        </w:rPr>
        <w:instrText xml:space="preserve"> PAGEREF _Toc353470743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do System Center 2012 Datacenter Server (2 processadores)</w:t>
      </w:r>
      <w:r w:rsidRPr="00CE7565">
        <w:rPr>
          <w:lang w:val="pt-BR"/>
        </w:rPr>
        <w:tab/>
      </w:r>
      <w:r w:rsidRPr="00653421">
        <w:fldChar w:fldCharType="begin"/>
      </w:r>
      <w:r w:rsidRPr="00CE7565">
        <w:rPr>
          <w:lang w:val="pt-BR"/>
        </w:rPr>
        <w:instrText xml:space="preserve"> PAGEREF _Toc353470744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System Center 2012 Endpoint Protection</w:t>
      </w:r>
      <w:r w:rsidRPr="00CE7565">
        <w:rPr>
          <w:lang w:val="pt-BR"/>
        </w:rPr>
        <w:tab/>
      </w:r>
      <w:r w:rsidRPr="00653421">
        <w:fldChar w:fldCharType="begin"/>
      </w:r>
      <w:r w:rsidRPr="00CE7565">
        <w:rPr>
          <w:lang w:val="pt-BR"/>
        </w:rPr>
        <w:instrText xml:space="preserve"> PAGEREF _Toc353470745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do System Center 2012 Standard Server (2 processadores)</w:t>
      </w:r>
      <w:r w:rsidRPr="00CE7565">
        <w:rPr>
          <w:lang w:val="pt-BR"/>
        </w:rPr>
        <w:tab/>
      </w:r>
      <w:r w:rsidRPr="00653421">
        <w:fldChar w:fldCharType="begin"/>
      </w:r>
      <w:r w:rsidRPr="00CE7565">
        <w:rPr>
          <w:lang w:val="pt-BR"/>
        </w:rPr>
        <w:instrText xml:space="preserve"> PAGEREF _Toc353470746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TechNet Plus Single User</w:t>
      </w:r>
      <w:r w:rsidRPr="00CE7565">
        <w:rPr>
          <w:lang w:val="fr-FR"/>
        </w:rPr>
        <w:tab/>
      </w:r>
      <w:r w:rsidRPr="00653421">
        <w:fldChar w:fldCharType="begin"/>
      </w:r>
      <w:r w:rsidRPr="00CE7565">
        <w:rPr>
          <w:lang w:val="fr-FR"/>
        </w:rPr>
        <w:instrText xml:space="preserve"> PAGEREF _Toc353470747 \h </w:instrText>
      </w:r>
      <w:r w:rsidRPr="00653421">
        <w:fldChar w:fldCharType="separate"/>
      </w:r>
      <w:r w:rsidR="00CE7565" w:rsidRPr="00CE7565">
        <w:rPr>
          <w:lang w:val="fr-F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VDI Suite</w:t>
      </w:r>
      <w:r w:rsidRPr="00CE7565">
        <w:rPr>
          <w:lang w:val="fr-FR"/>
        </w:rPr>
        <w:tab/>
      </w:r>
      <w:r w:rsidRPr="00653421">
        <w:fldChar w:fldCharType="begin"/>
      </w:r>
      <w:r w:rsidRPr="00CE7565">
        <w:rPr>
          <w:lang w:val="fr-FR"/>
        </w:rPr>
        <w:instrText xml:space="preserve"> PAGEREF _Toc353470748 \h </w:instrText>
      </w:r>
      <w:r w:rsidRPr="00653421">
        <w:fldChar w:fldCharType="separate"/>
      </w:r>
      <w:r w:rsidR="00CE7565" w:rsidRPr="00CE7565">
        <w:rPr>
          <w:lang w:val="fr-F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VDI Suite com MDOP</w:t>
      </w:r>
      <w:r w:rsidRPr="00CE7565">
        <w:rPr>
          <w:lang w:val="fr-FR"/>
        </w:rPr>
        <w:tab/>
      </w:r>
      <w:r w:rsidRPr="00653421">
        <w:fldChar w:fldCharType="begin"/>
      </w:r>
      <w:r w:rsidRPr="00CE7565">
        <w:rPr>
          <w:lang w:val="fr-FR"/>
        </w:rPr>
        <w:instrText xml:space="preserve"> PAGEREF _Toc353470749 \h </w:instrText>
      </w:r>
      <w:r w:rsidRPr="00653421">
        <w:fldChar w:fldCharType="separate"/>
      </w:r>
      <w:r w:rsidR="00CE7565" w:rsidRPr="00CE7565">
        <w:rPr>
          <w:lang w:val="fr-F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VDI Standard Suite</w:t>
      </w:r>
      <w:r w:rsidRPr="00CE7565">
        <w:rPr>
          <w:lang w:val="fr-FR"/>
        </w:rPr>
        <w:tab/>
      </w:r>
      <w:r w:rsidRPr="00653421">
        <w:fldChar w:fldCharType="begin"/>
      </w:r>
      <w:r w:rsidRPr="00CE7565">
        <w:rPr>
          <w:lang w:val="fr-FR"/>
        </w:rPr>
        <w:instrText xml:space="preserve"> PAGEREF _Toc353470750 \h </w:instrText>
      </w:r>
      <w:r w:rsidRPr="00653421">
        <w:fldChar w:fldCharType="separate"/>
      </w:r>
      <w:r w:rsidR="00CE7565" w:rsidRPr="00CE7565">
        <w:rPr>
          <w:lang w:val="fr-F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fr-FR"/>
        </w:rPr>
      </w:pPr>
      <w:r w:rsidRPr="00CE7565">
        <w:rPr>
          <w:rFonts w:cs="Tahoma"/>
          <w:lang w:val="fr-FR"/>
        </w:rPr>
        <w:t>VDI Standard Suite com MDOP</w:t>
      </w:r>
      <w:r w:rsidRPr="00CE7565">
        <w:rPr>
          <w:lang w:val="fr-FR"/>
        </w:rPr>
        <w:tab/>
      </w:r>
      <w:r w:rsidRPr="00653421">
        <w:fldChar w:fldCharType="begin"/>
      </w:r>
      <w:r w:rsidRPr="00CE7565">
        <w:rPr>
          <w:lang w:val="fr-FR"/>
        </w:rPr>
        <w:instrText xml:space="preserve"> PAGEREF _Toc353470751 \h </w:instrText>
      </w:r>
      <w:r w:rsidRPr="00653421">
        <w:fldChar w:fldCharType="separate"/>
      </w:r>
      <w:r w:rsidR="00CE7565" w:rsidRPr="00CE7565">
        <w:rPr>
          <w:lang w:val="fr-F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VDI Premium Suite</w:t>
      </w:r>
      <w:r w:rsidRPr="00CE7565">
        <w:rPr>
          <w:lang w:val="pt-BR"/>
        </w:rPr>
        <w:tab/>
      </w:r>
      <w:r w:rsidRPr="00653421">
        <w:fldChar w:fldCharType="begin"/>
      </w:r>
      <w:r w:rsidRPr="00CE7565">
        <w:rPr>
          <w:lang w:val="pt-BR"/>
        </w:rPr>
        <w:instrText xml:space="preserve"> PAGEREF _Toc353470752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VDI Premium Suite com MDOP</w:t>
      </w:r>
      <w:r w:rsidRPr="00CE7565">
        <w:rPr>
          <w:lang w:val="pt-BR"/>
        </w:rPr>
        <w:tab/>
      </w:r>
      <w:r w:rsidRPr="00653421">
        <w:fldChar w:fldCharType="begin"/>
      </w:r>
      <w:r w:rsidRPr="00CE7565">
        <w:rPr>
          <w:lang w:val="pt-BR"/>
        </w:rPr>
        <w:instrText xml:space="preserve"> PAGEREF _Toc353470753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Vexcel Server</w:t>
      </w:r>
      <w:r w:rsidRPr="00CE7565">
        <w:rPr>
          <w:lang w:val="pt-BR"/>
        </w:rPr>
        <w:tab/>
      </w:r>
      <w:r w:rsidRPr="00653421">
        <w:fldChar w:fldCharType="begin"/>
      </w:r>
      <w:r w:rsidRPr="00CE7565">
        <w:rPr>
          <w:lang w:val="pt-BR"/>
        </w:rPr>
        <w:instrText xml:space="preserve"> PAGEREF _Toc353470754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Vexcel Server com Pacote de Conteúdo Aprimorado</w:t>
      </w:r>
      <w:r w:rsidRPr="00CE7565">
        <w:rPr>
          <w:lang w:val="pt-BR"/>
        </w:rPr>
        <w:tab/>
      </w:r>
      <w:r w:rsidRPr="00653421">
        <w:fldChar w:fldCharType="begin"/>
      </w:r>
      <w:r w:rsidRPr="00CE7565">
        <w:rPr>
          <w:lang w:val="pt-BR"/>
        </w:rPr>
        <w:instrText xml:space="preserve"> PAGEREF _Toc353470755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Virtual Server 2005 R2 Enterprise Edition</w:t>
      </w:r>
      <w:r w:rsidRPr="00CE7565">
        <w:rPr>
          <w:lang w:val="pt-BR"/>
        </w:rPr>
        <w:tab/>
      </w:r>
      <w:r w:rsidRPr="00653421">
        <w:fldChar w:fldCharType="begin"/>
      </w:r>
      <w:r w:rsidRPr="00CE7565">
        <w:rPr>
          <w:lang w:val="pt-BR"/>
        </w:rPr>
        <w:instrText xml:space="preserve"> PAGEREF _Toc353470756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Visual Studio</w:t>
      </w:r>
      <w:r w:rsidRPr="00CE7565">
        <w:rPr>
          <w:rFonts w:eastAsia="Times New Roman" w:cs="Tahoma"/>
          <w:vertAlign w:val="superscript"/>
          <w:lang w:val="pt-BR"/>
        </w:rPr>
        <w:t>®</w:t>
      </w:r>
      <w:r w:rsidRPr="00CE7565">
        <w:rPr>
          <w:rFonts w:cs="Tahoma"/>
          <w:lang w:val="pt-BR"/>
        </w:rPr>
        <w:t xml:space="preserve"> Team Foundation Server 2012 com Tecnologia SQL Server 2012</w:t>
      </w:r>
      <w:r w:rsidRPr="00CE7565">
        <w:rPr>
          <w:lang w:val="pt-BR"/>
        </w:rPr>
        <w:tab/>
      </w:r>
      <w:r w:rsidRPr="00653421">
        <w:fldChar w:fldCharType="begin"/>
      </w:r>
      <w:r w:rsidRPr="00CE7565">
        <w:rPr>
          <w:lang w:val="pt-BR"/>
        </w:rPr>
        <w:instrText xml:space="preserve"> PAGEREF _Toc353470757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Dispositivo do Visual Studio</w:t>
      </w:r>
      <w:r w:rsidRPr="00CE7565">
        <w:rPr>
          <w:rFonts w:cs="Tahoma"/>
          <w:vertAlign w:val="superscript"/>
          <w:lang w:val="pt-BR"/>
        </w:rPr>
        <w:t>®</w:t>
      </w:r>
      <w:r w:rsidRPr="00CE7565">
        <w:rPr>
          <w:rFonts w:cs="Tahoma"/>
          <w:lang w:val="pt-BR"/>
        </w:rPr>
        <w:t xml:space="preserve"> Team Foundation Server 2012</w:t>
      </w:r>
      <w:r w:rsidRPr="00CE7565">
        <w:rPr>
          <w:lang w:val="pt-BR"/>
        </w:rPr>
        <w:tab/>
      </w:r>
      <w:r w:rsidRPr="00653421">
        <w:fldChar w:fldCharType="begin"/>
      </w:r>
      <w:r w:rsidRPr="00CE7565">
        <w:rPr>
          <w:lang w:val="pt-BR"/>
        </w:rPr>
        <w:instrText xml:space="preserve"> PAGEREF _Toc353470758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Usuário do Visual Studio</w:t>
      </w:r>
      <w:r w:rsidRPr="00CE7565">
        <w:rPr>
          <w:rFonts w:cs="Tahoma"/>
          <w:vertAlign w:val="superscript"/>
          <w:lang w:val="pt-BR"/>
        </w:rPr>
        <w:t>®</w:t>
      </w:r>
      <w:r w:rsidRPr="00CE7565">
        <w:rPr>
          <w:rFonts w:cs="Tahoma"/>
          <w:lang w:val="pt-BR"/>
        </w:rPr>
        <w:t xml:space="preserve"> Team Foundation Server 2012</w:t>
      </w:r>
      <w:r w:rsidRPr="00CE7565">
        <w:rPr>
          <w:lang w:val="pt-BR"/>
        </w:rPr>
        <w:tab/>
      </w:r>
      <w:r w:rsidRPr="00653421">
        <w:fldChar w:fldCharType="begin"/>
      </w:r>
      <w:r w:rsidRPr="00CE7565">
        <w:rPr>
          <w:lang w:val="pt-BR"/>
        </w:rPr>
        <w:instrText xml:space="preserve"> PAGEREF _Toc353470759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 xml:space="preserve">Assinatura do Web Antimalware para Forefront Threat Management Gateway Medium </w:t>
      </w:r>
      <w:r w:rsidRPr="00CE7565">
        <w:rPr>
          <w:rFonts w:cs="Tahoma"/>
          <w:lang w:val="pt-BR"/>
        </w:rPr>
        <w:br/>
        <w:t>Business Edition (Dispositivo e Usuário)</w:t>
      </w:r>
      <w:r w:rsidRPr="00CE7565">
        <w:rPr>
          <w:lang w:val="pt-BR"/>
        </w:rPr>
        <w:tab/>
      </w:r>
      <w:r w:rsidRPr="00653421">
        <w:fldChar w:fldCharType="begin"/>
      </w:r>
      <w:r w:rsidRPr="00CE7565">
        <w:rPr>
          <w:lang w:val="pt-BR"/>
        </w:rPr>
        <w:instrText xml:space="preserve"> PAGEREF _Toc353470760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Serviços do Windows Azure</w:t>
      </w:r>
      <w:r w:rsidRPr="00CE7565">
        <w:rPr>
          <w:lang w:val="pt-BR"/>
        </w:rPr>
        <w:tab/>
      </w:r>
      <w:r w:rsidRPr="00653421">
        <w:fldChar w:fldCharType="begin"/>
      </w:r>
      <w:r w:rsidRPr="00CE7565">
        <w:rPr>
          <w:lang w:val="pt-BR"/>
        </w:rPr>
        <w:instrText xml:space="preserve"> PAGEREF _Toc353470761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Windows</w:t>
      </w:r>
      <w:r w:rsidRPr="00CE7565">
        <w:rPr>
          <w:rFonts w:cs="Tahoma"/>
          <w:vertAlign w:val="superscript"/>
          <w:lang w:val="pt-BR"/>
        </w:rPr>
        <w:t>®</w:t>
      </w:r>
      <w:r w:rsidRPr="00CE7565">
        <w:rPr>
          <w:rFonts w:cs="Tahoma"/>
          <w:lang w:val="pt-BR"/>
        </w:rPr>
        <w:t xml:space="preserve"> Embedded Device Manager 2011</w:t>
      </w:r>
      <w:r w:rsidRPr="00CE7565">
        <w:rPr>
          <w:lang w:val="pt-BR"/>
        </w:rPr>
        <w:tab/>
      </w:r>
      <w:r w:rsidRPr="00653421">
        <w:fldChar w:fldCharType="begin"/>
      </w:r>
      <w:r w:rsidRPr="00CE7565">
        <w:rPr>
          <w:lang w:val="pt-BR"/>
        </w:rPr>
        <w:instrText xml:space="preserve"> PAGEREF _Toc353470762 \h </w:instrText>
      </w:r>
      <w:r w:rsidRPr="00653421">
        <w:fldChar w:fldCharType="separate"/>
      </w:r>
      <w:r w:rsidR="00CE7565" w:rsidRPr="00CE7565">
        <w:rPr>
          <w:lang w:val="pt-BR"/>
        </w:rPr>
        <w:t>25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do Windows</w:t>
      </w:r>
      <w:r w:rsidRPr="00CE7565">
        <w:rPr>
          <w:rFonts w:cs="Tahoma"/>
          <w:vertAlign w:val="superscript"/>
          <w:lang w:val="pt-BR"/>
        </w:rPr>
        <w:t>®</w:t>
      </w:r>
      <w:r w:rsidRPr="00CE7565">
        <w:rPr>
          <w:rFonts w:cs="Tahoma"/>
          <w:lang w:val="pt-BR"/>
        </w:rPr>
        <w:t xml:space="preserve"> Embedded Device Manager 2011 por OSE</w:t>
      </w:r>
      <w:r w:rsidRPr="00CE7565">
        <w:rPr>
          <w:lang w:val="pt-BR"/>
        </w:rPr>
        <w:tab/>
      </w:r>
      <w:r w:rsidRPr="00653421">
        <w:fldChar w:fldCharType="begin"/>
      </w:r>
      <w:r w:rsidRPr="00CE7565">
        <w:rPr>
          <w:lang w:val="pt-BR"/>
        </w:rPr>
        <w:instrText xml:space="preserve"> PAGEREF _Toc353470763 \h </w:instrText>
      </w:r>
      <w:r w:rsidRPr="00653421">
        <w:fldChar w:fldCharType="separate"/>
      </w:r>
      <w:r w:rsidR="00CE7565" w:rsidRPr="00CE7565">
        <w:rPr>
          <w:lang w:val="pt-BR"/>
        </w:rPr>
        <w:t>26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de Gerenciamento de Cliente do Windows</w:t>
      </w:r>
      <w:r w:rsidRPr="00CE7565">
        <w:rPr>
          <w:rFonts w:cs="Tahoma"/>
          <w:vertAlign w:val="superscript"/>
          <w:lang w:val="pt-BR"/>
        </w:rPr>
        <w:t>®</w:t>
      </w:r>
      <w:r w:rsidRPr="00CE7565">
        <w:rPr>
          <w:rFonts w:cs="Tahoma"/>
          <w:lang w:val="pt-BR"/>
        </w:rPr>
        <w:t xml:space="preserve"> Embedded Device Manager 2011 por Usuário</w:t>
      </w:r>
      <w:r w:rsidRPr="00CE7565">
        <w:rPr>
          <w:lang w:val="pt-BR"/>
        </w:rPr>
        <w:tab/>
      </w:r>
      <w:r w:rsidRPr="00653421">
        <w:fldChar w:fldCharType="begin"/>
      </w:r>
      <w:r w:rsidRPr="00CE7565">
        <w:rPr>
          <w:lang w:val="pt-BR"/>
        </w:rPr>
        <w:instrText xml:space="preserve"> PAGEREF _Toc353470764 \h </w:instrText>
      </w:r>
      <w:r w:rsidRPr="00653421">
        <w:fldChar w:fldCharType="separate"/>
      </w:r>
      <w:r w:rsidR="00CE7565" w:rsidRPr="00CE7565">
        <w:rPr>
          <w:lang w:val="pt-BR"/>
        </w:rPr>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w:t>
      </w:r>
      <w:r w:rsidRPr="00653421">
        <w:rPr>
          <w:rFonts w:cs="Tahoma"/>
          <w:vertAlign w:val="superscript"/>
        </w:rPr>
        <w:t>®</w:t>
      </w:r>
      <w:r w:rsidRPr="00653421">
        <w:rPr>
          <w:rFonts w:cs="Tahoma"/>
        </w:rPr>
        <w:t xml:space="preserve"> Embedded Device Manager 2011 com Tecnologia SQL Server</w:t>
      </w:r>
      <w:r w:rsidRPr="00653421">
        <w:rPr>
          <w:rFonts w:cs="Tahoma"/>
          <w:vertAlign w:val="superscript"/>
        </w:rPr>
        <w:t>®</w:t>
      </w:r>
      <w:r w:rsidRPr="00653421">
        <w:rPr>
          <w:rFonts w:cs="Tahoma"/>
        </w:rPr>
        <w:t xml:space="preserve"> 2008</w:t>
      </w:r>
      <w:r w:rsidRPr="00653421">
        <w:tab/>
      </w:r>
      <w:r w:rsidRPr="00653421">
        <w:fldChar w:fldCharType="begin"/>
      </w:r>
      <w:r w:rsidRPr="00653421">
        <w:instrText xml:space="preserve"> PAGEREF _Toc353470765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Essential Business Server 2008 Standard</w:t>
      </w:r>
      <w:r w:rsidRPr="00653421">
        <w:tab/>
      </w:r>
      <w:r w:rsidRPr="00653421">
        <w:fldChar w:fldCharType="begin"/>
      </w:r>
      <w:r w:rsidRPr="00653421">
        <w:instrText xml:space="preserve"> PAGEREF _Toc353470766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Essential Business Server 2008 CAL Suite</w:t>
      </w:r>
      <w:r w:rsidRPr="00653421">
        <w:tab/>
      </w:r>
      <w:r w:rsidRPr="00653421">
        <w:fldChar w:fldCharType="begin"/>
      </w:r>
      <w:r w:rsidRPr="00653421">
        <w:instrText xml:space="preserve"> PAGEREF _Toc353470767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Essential Business Server 2008 CAL Suite (5 clientes)</w:t>
      </w:r>
      <w:r w:rsidRPr="00653421">
        <w:tab/>
      </w:r>
      <w:r w:rsidRPr="00653421">
        <w:fldChar w:fldCharType="begin"/>
      </w:r>
      <w:r w:rsidRPr="00653421">
        <w:instrText xml:space="preserve"> PAGEREF _Toc353470768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Essential Business Server 2008 CAL Suite (20 clientes)</w:t>
      </w:r>
      <w:r w:rsidRPr="00653421">
        <w:tab/>
      </w:r>
      <w:r w:rsidRPr="00653421">
        <w:fldChar w:fldCharType="begin"/>
      </w:r>
      <w:r w:rsidRPr="00653421">
        <w:instrText xml:space="preserve"> PAGEREF _Toc353470769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Essential Business Server 2008 CAL Suite (50 clientes)</w:t>
      </w:r>
      <w:r w:rsidRPr="00653421">
        <w:tab/>
      </w:r>
      <w:r w:rsidRPr="00653421">
        <w:fldChar w:fldCharType="begin"/>
      </w:r>
      <w:r w:rsidRPr="00653421">
        <w:instrText xml:space="preserve"> PAGEREF _Toc353470770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Essential Business Server 2008 Premium</w:t>
      </w:r>
      <w:r w:rsidRPr="00653421">
        <w:tab/>
      </w:r>
      <w:r w:rsidRPr="00653421">
        <w:fldChar w:fldCharType="begin"/>
      </w:r>
      <w:r w:rsidRPr="00653421">
        <w:instrText xml:space="preserve"> PAGEREF _Toc353470771 \h </w:instrText>
      </w:r>
      <w:r w:rsidRPr="00653421">
        <w:fldChar w:fldCharType="separate"/>
      </w:r>
      <w:r w:rsidR="00CE7565">
        <w:t>26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Pacote de CALs do Windows Essential Business Server 2008 - Usuários ou Dispositivos</w:t>
      </w:r>
      <w:r w:rsidRPr="00CE7565">
        <w:rPr>
          <w:lang w:val="pt-BR"/>
        </w:rPr>
        <w:tab/>
      </w:r>
      <w:r w:rsidRPr="00653421">
        <w:fldChar w:fldCharType="begin"/>
      </w:r>
      <w:r w:rsidRPr="00CE7565">
        <w:rPr>
          <w:lang w:val="pt-BR"/>
        </w:rPr>
        <w:instrText xml:space="preserve"> PAGEREF _Toc353470772 \h </w:instrText>
      </w:r>
      <w:r w:rsidRPr="00653421">
        <w:fldChar w:fldCharType="separate"/>
      </w:r>
      <w:r w:rsidR="00CE7565" w:rsidRPr="00CE7565">
        <w:rPr>
          <w:lang w:val="pt-BR"/>
        </w:rPr>
        <w:t>26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Windows Essential Business Server 2008 CAL Suite para Usuários ou Dispositivos Premium (5 clientes)</w:t>
      </w:r>
      <w:r w:rsidRPr="00CE7565">
        <w:rPr>
          <w:lang w:val="pt-BR"/>
        </w:rPr>
        <w:tab/>
      </w:r>
      <w:r w:rsidRPr="00653421">
        <w:fldChar w:fldCharType="begin"/>
      </w:r>
      <w:r w:rsidRPr="00CE7565">
        <w:rPr>
          <w:lang w:val="pt-BR"/>
        </w:rPr>
        <w:instrText xml:space="preserve"> PAGEREF _Toc353470773 \h </w:instrText>
      </w:r>
      <w:r w:rsidRPr="00653421">
        <w:fldChar w:fldCharType="separate"/>
      </w:r>
      <w:r w:rsidR="00CE7565" w:rsidRPr="00CE7565">
        <w:rPr>
          <w:lang w:val="pt-BR"/>
        </w:rPr>
        <w:t>26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lastRenderedPageBreak/>
        <w:t>Windows Essential Business Server 2008 CAL Suite para Usuários ou Dispositivos Premium (20 clientes)</w:t>
      </w:r>
      <w:r w:rsidRPr="00CE7565">
        <w:rPr>
          <w:lang w:val="pt-BR"/>
        </w:rPr>
        <w:tab/>
      </w:r>
      <w:r w:rsidRPr="00653421">
        <w:fldChar w:fldCharType="begin"/>
      </w:r>
      <w:r w:rsidRPr="00CE7565">
        <w:rPr>
          <w:lang w:val="pt-BR"/>
        </w:rPr>
        <w:instrText xml:space="preserve"> PAGEREF _Toc353470774 \h </w:instrText>
      </w:r>
      <w:r w:rsidRPr="00653421">
        <w:fldChar w:fldCharType="separate"/>
      </w:r>
      <w:r w:rsidR="00CE7565" w:rsidRPr="00CE7565">
        <w:rPr>
          <w:lang w:val="pt-BR"/>
        </w:rPr>
        <w:t>26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Windows Essential Business Server 2008 CAL Suite para Usuários ou Dispositivos Premium (50 clientes)</w:t>
      </w:r>
      <w:r w:rsidRPr="00CE7565">
        <w:rPr>
          <w:lang w:val="pt-BR"/>
        </w:rPr>
        <w:tab/>
      </w:r>
      <w:r w:rsidRPr="00653421">
        <w:fldChar w:fldCharType="begin"/>
      </w:r>
      <w:r w:rsidRPr="00CE7565">
        <w:rPr>
          <w:lang w:val="pt-BR"/>
        </w:rPr>
        <w:instrText xml:space="preserve"> PAGEREF _Toc353470775 \h </w:instrText>
      </w:r>
      <w:r w:rsidRPr="00653421">
        <w:fldChar w:fldCharType="separate"/>
      </w:r>
      <w:r w:rsidR="00CE7565" w:rsidRPr="00CE7565">
        <w:rPr>
          <w:lang w:val="pt-BR"/>
        </w:rPr>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HPC Server 2008 R2 Suite</w:t>
      </w:r>
      <w:r w:rsidRPr="00653421">
        <w:tab/>
      </w:r>
      <w:r w:rsidRPr="00653421">
        <w:fldChar w:fldCharType="begin"/>
      </w:r>
      <w:r w:rsidRPr="00653421">
        <w:instrText xml:space="preserve"> PAGEREF _Toc353470776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 xml:space="preserve">Complemento do Windows Intune para System Center Configuration Manager e </w:t>
      </w:r>
      <w:r w:rsidR="00684C98" w:rsidRPr="00653421">
        <w:rPr>
          <w:rFonts w:cs="Tahoma"/>
        </w:rPr>
        <w:br/>
      </w:r>
      <w:r w:rsidRPr="00653421">
        <w:rPr>
          <w:rFonts w:cs="Tahoma"/>
        </w:rPr>
        <w:t>System Center Endppoint Protection (por usuário)</w:t>
      </w:r>
      <w:r w:rsidRPr="00653421">
        <w:tab/>
      </w:r>
      <w:r w:rsidRPr="00653421">
        <w:fldChar w:fldCharType="begin"/>
      </w:r>
      <w:r w:rsidRPr="00653421">
        <w:instrText xml:space="preserve"> PAGEREF _Toc353470777 \h </w:instrText>
      </w:r>
      <w:r w:rsidRPr="00653421">
        <w:fldChar w:fldCharType="separate"/>
      </w:r>
      <w:r w:rsidR="00CE7565">
        <w:t>26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Windows Intune (por usuário)</w:t>
      </w:r>
      <w:r w:rsidRPr="00CE7565">
        <w:rPr>
          <w:lang w:val="pt-BR"/>
        </w:rPr>
        <w:tab/>
      </w:r>
      <w:r w:rsidRPr="00653421">
        <w:fldChar w:fldCharType="begin"/>
      </w:r>
      <w:r w:rsidRPr="00CE7565">
        <w:rPr>
          <w:lang w:val="pt-BR"/>
        </w:rPr>
        <w:instrText xml:space="preserve"> PAGEREF _Toc353470778 \h </w:instrText>
      </w:r>
      <w:r w:rsidRPr="00653421">
        <w:fldChar w:fldCharType="separate"/>
      </w:r>
      <w:r w:rsidR="00CE7565" w:rsidRPr="00CE7565">
        <w:rPr>
          <w:lang w:val="pt-BR"/>
        </w:rPr>
        <w:t>26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Armazenamento Extra de 1 GB de SL Complementar do Usuário do Windows Intune</w:t>
      </w:r>
      <w:r w:rsidRPr="00CE7565">
        <w:rPr>
          <w:lang w:val="pt-BR"/>
        </w:rPr>
        <w:tab/>
      </w:r>
      <w:r w:rsidRPr="00653421">
        <w:fldChar w:fldCharType="begin"/>
      </w:r>
      <w:r w:rsidRPr="00CE7565">
        <w:rPr>
          <w:lang w:val="pt-BR"/>
        </w:rPr>
        <w:instrText xml:space="preserve"> PAGEREF _Toc353470779 \h </w:instrText>
      </w:r>
      <w:r w:rsidRPr="00653421">
        <w:fldChar w:fldCharType="separate"/>
      </w:r>
      <w:r w:rsidR="00CE7565" w:rsidRPr="00CE7565">
        <w:rPr>
          <w:lang w:val="pt-BR"/>
        </w:rPr>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MultiPoint Server 2012 Standard</w:t>
      </w:r>
      <w:r w:rsidRPr="00653421">
        <w:tab/>
      </w:r>
      <w:r w:rsidRPr="00653421">
        <w:fldChar w:fldCharType="begin"/>
      </w:r>
      <w:r w:rsidRPr="00653421">
        <w:instrText xml:space="preserve"> PAGEREF _Toc353470780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MultiPoint Server 2012 Premium</w:t>
      </w:r>
      <w:r w:rsidRPr="00653421">
        <w:tab/>
      </w:r>
      <w:r w:rsidRPr="00653421">
        <w:fldChar w:fldCharType="begin"/>
      </w:r>
      <w:r w:rsidRPr="00653421">
        <w:instrText xml:space="preserve"> PAGEREF _Toc353470781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CAL do Windows MultiPoint Server 2012</w:t>
      </w:r>
      <w:r w:rsidRPr="00653421">
        <w:tab/>
      </w:r>
      <w:r w:rsidRPr="00653421">
        <w:fldChar w:fldCharType="begin"/>
      </w:r>
      <w:r w:rsidRPr="00653421">
        <w:instrText xml:space="preserve"> PAGEREF _Toc353470782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CAL do Windows MultiPoint Server 2012 com CAL do Windows Server 2012</w:t>
      </w:r>
      <w:r w:rsidRPr="00653421">
        <w:tab/>
      </w:r>
      <w:r w:rsidRPr="00653421">
        <w:fldChar w:fldCharType="begin"/>
      </w:r>
      <w:r w:rsidRPr="00653421">
        <w:instrText xml:space="preserve"> PAGEREF _Toc353470783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MultiPoint Server 2012 Premium com Windows MultiPoint Server 2012 (CAL) (5 Clientes)</w:t>
      </w:r>
      <w:r w:rsidRPr="00653421">
        <w:tab/>
      </w:r>
      <w:r w:rsidRPr="00653421">
        <w:fldChar w:fldCharType="begin"/>
      </w:r>
      <w:r w:rsidRPr="00653421">
        <w:instrText xml:space="preserve"> PAGEREF _Toc353470784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 xml:space="preserve">Windows MultiPoint Server 2012 Premium com Windows MultiPoint Server 2012 (CAL) (5 Clientes) </w:t>
      </w:r>
      <w:r w:rsidRPr="00653421">
        <w:rPr>
          <w:rFonts w:cs="Tahoma"/>
        </w:rPr>
        <w:br/>
        <w:t>com CAL do Windows Server 2012 (5 Clientes)</w:t>
      </w:r>
      <w:r w:rsidRPr="00653421">
        <w:tab/>
      </w:r>
      <w:r w:rsidRPr="00653421">
        <w:fldChar w:fldCharType="begin"/>
      </w:r>
      <w:r w:rsidRPr="00653421">
        <w:instrText xml:space="preserve"> PAGEREF _Toc353470785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Server™ 2008 R2 HPC Edition</w:t>
      </w:r>
      <w:r w:rsidRPr="00653421">
        <w:tab/>
      </w:r>
      <w:r w:rsidRPr="00653421">
        <w:fldChar w:fldCharType="begin"/>
      </w:r>
      <w:r w:rsidRPr="00653421">
        <w:instrText xml:space="preserve"> PAGEREF _Toc353470786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Server™ 2008 R2 Enterprise</w:t>
      </w:r>
      <w:r w:rsidRPr="00653421">
        <w:tab/>
      </w:r>
      <w:r w:rsidRPr="00653421">
        <w:fldChar w:fldCharType="begin"/>
      </w:r>
      <w:r w:rsidRPr="00653421">
        <w:instrText xml:space="preserve"> PAGEREF _Toc353470787 \h </w:instrText>
      </w:r>
      <w:r w:rsidRPr="00653421">
        <w:fldChar w:fldCharType="separate"/>
      </w:r>
      <w:r w:rsidR="00CE7565">
        <w:t>26</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Server™ 2008 R2 Itanium Based Systems</w:t>
      </w:r>
      <w:r w:rsidRPr="00653421">
        <w:tab/>
      </w:r>
      <w:r w:rsidRPr="00653421">
        <w:fldChar w:fldCharType="begin"/>
      </w:r>
      <w:r w:rsidRPr="00653421">
        <w:instrText xml:space="preserve"> PAGEREF _Toc353470788 \h </w:instrText>
      </w:r>
      <w:r w:rsidRPr="00653421">
        <w:fldChar w:fldCharType="separate"/>
      </w:r>
      <w:r w:rsidR="00CE7565">
        <w:t>26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 Windows Server™ 2012 (Dispositivo e Usuário)</w:t>
      </w:r>
      <w:r w:rsidRPr="00CE7565">
        <w:rPr>
          <w:lang w:val="pt-BR"/>
        </w:rPr>
        <w:tab/>
      </w:r>
      <w:r w:rsidRPr="00653421">
        <w:fldChar w:fldCharType="begin"/>
      </w:r>
      <w:r w:rsidRPr="00CE7565">
        <w:rPr>
          <w:lang w:val="pt-BR"/>
        </w:rPr>
        <w:instrText xml:space="preserve"> PAGEREF _Toc353470789 \h </w:instrText>
      </w:r>
      <w:r w:rsidRPr="00653421">
        <w:fldChar w:fldCharType="separate"/>
      </w:r>
      <w:r w:rsidR="00CE7565" w:rsidRPr="00CE7565">
        <w:rPr>
          <w:lang w:val="pt-BR"/>
        </w:rPr>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Server™ 2012 Datacenter</w:t>
      </w:r>
      <w:r w:rsidRPr="00653421">
        <w:tab/>
      </w:r>
      <w:r w:rsidRPr="00653421">
        <w:fldChar w:fldCharType="begin"/>
      </w:r>
      <w:r w:rsidRPr="00653421">
        <w:instrText xml:space="preserve"> PAGEREF _Toc353470790 \h </w:instrText>
      </w:r>
      <w:r w:rsidRPr="00653421">
        <w:fldChar w:fldCharType="separate"/>
      </w:r>
      <w:r w:rsidR="00CE7565">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Server™ 2012 Standard</w:t>
      </w:r>
      <w:r w:rsidRPr="00653421">
        <w:tab/>
      </w:r>
      <w:r w:rsidRPr="00653421">
        <w:fldChar w:fldCharType="begin"/>
      </w:r>
      <w:r w:rsidRPr="00653421">
        <w:instrText xml:space="preserve"> PAGEREF _Toc353470791 \h </w:instrText>
      </w:r>
      <w:r w:rsidRPr="00653421">
        <w:fldChar w:fldCharType="separate"/>
      </w:r>
      <w:r w:rsidR="00CE7565">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External Connector do Windows Server™</w:t>
      </w:r>
      <w:r w:rsidRPr="00CE7565">
        <w:rPr>
          <w:lang w:val="pt-BR"/>
        </w:rPr>
        <w:tab/>
      </w:r>
      <w:r w:rsidRPr="00653421">
        <w:fldChar w:fldCharType="begin"/>
      </w:r>
      <w:r w:rsidRPr="00CE7565">
        <w:rPr>
          <w:lang w:val="pt-BR"/>
        </w:rPr>
        <w:instrText xml:space="preserve"> PAGEREF _Toc353470792 \h </w:instrText>
      </w:r>
      <w:r w:rsidRPr="00653421">
        <w:fldChar w:fldCharType="separate"/>
      </w:r>
      <w:r w:rsidR="00CE7565" w:rsidRPr="00CE7565">
        <w:rPr>
          <w:lang w:val="pt-BR"/>
        </w:rPr>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de Serviços de Área de Trabalho Remota do Windows Server™ 2012</w:t>
      </w:r>
      <w:r w:rsidRPr="00CE7565">
        <w:rPr>
          <w:lang w:val="pt-BR"/>
        </w:rPr>
        <w:tab/>
      </w:r>
      <w:r w:rsidRPr="00653421">
        <w:fldChar w:fldCharType="begin"/>
      </w:r>
      <w:r w:rsidRPr="00CE7565">
        <w:rPr>
          <w:lang w:val="pt-BR"/>
        </w:rPr>
        <w:instrText xml:space="preserve"> PAGEREF _Toc353470793 \h </w:instrText>
      </w:r>
      <w:r w:rsidRPr="00653421">
        <w:fldChar w:fldCharType="separate"/>
      </w:r>
      <w:r w:rsidR="00CE7565" w:rsidRPr="00CE7565">
        <w:rPr>
          <w:lang w:val="pt-BR"/>
        </w:rPr>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External Connector dos Serviços de Área de Trabalho Remota do Windows Server™ 2012</w:t>
      </w:r>
      <w:r w:rsidRPr="00CE7565">
        <w:rPr>
          <w:lang w:val="pt-BR"/>
        </w:rPr>
        <w:tab/>
      </w:r>
      <w:r w:rsidRPr="00653421">
        <w:fldChar w:fldCharType="begin"/>
      </w:r>
      <w:r w:rsidRPr="00CE7565">
        <w:rPr>
          <w:lang w:val="pt-BR"/>
        </w:rPr>
        <w:instrText xml:space="preserve"> PAGEREF _Toc353470794 \h </w:instrText>
      </w:r>
      <w:r w:rsidRPr="00653421">
        <w:fldChar w:fldCharType="separate"/>
      </w:r>
      <w:r w:rsidR="00CE7565" w:rsidRPr="00CE7565">
        <w:rPr>
          <w:lang w:val="pt-BR"/>
        </w:rPr>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CAL dos Serviços de Gerenciamento de Direitos do Active Directory do Windows Server™ 2012</w:t>
      </w:r>
      <w:r w:rsidRPr="00CE7565">
        <w:rPr>
          <w:lang w:val="pt-BR"/>
        </w:rPr>
        <w:tab/>
      </w:r>
      <w:r w:rsidRPr="00653421">
        <w:fldChar w:fldCharType="begin"/>
      </w:r>
      <w:r w:rsidRPr="00CE7565">
        <w:rPr>
          <w:lang w:val="pt-BR"/>
        </w:rPr>
        <w:instrText xml:space="preserve"> PAGEREF _Toc353470795 \h </w:instrText>
      </w:r>
      <w:r w:rsidRPr="00653421">
        <w:fldChar w:fldCharType="separate"/>
      </w:r>
      <w:r w:rsidR="00CE7565" w:rsidRPr="00CE7565">
        <w:rPr>
          <w:lang w:val="pt-BR"/>
        </w:rPr>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External Connector dos Serviços de Gerenciamento de Direitos do Active Directory do Windows Server™</w:t>
      </w:r>
      <w:r w:rsidRPr="00CE7565">
        <w:rPr>
          <w:lang w:val="pt-BR"/>
        </w:rPr>
        <w:tab/>
      </w:r>
      <w:r w:rsidRPr="00653421">
        <w:fldChar w:fldCharType="begin"/>
      </w:r>
      <w:r w:rsidRPr="00CE7565">
        <w:rPr>
          <w:lang w:val="pt-BR"/>
        </w:rPr>
        <w:instrText xml:space="preserve"> PAGEREF _Toc353470796 \h </w:instrText>
      </w:r>
      <w:r w:rsidRPr="00653421">
        <w:fldChar w:fldCharType="separate"/>
      </w:r>
      <w:r w:rsidR="00CE7565" w:rsidRPr="00CE7565">
        <w:rPr>
          <w:lang w:val="pt-BR"/>
        </w:rPr>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Small Business Server 2008 Premium</w:t>
      </w:r>
      <w:r w:rsidRPr="00653421">
        <w:tab/>
      </w:r>
      <w:r w:rsidRPr="00653421">
        <w:fldChar w:fldCharType="begin"/>
      </w:r>
      <w:r w:rsidRPr="00653421">
        <w:instrText xml:space="preserve"> PAGEREF _Toc353470797 \h </w:instrText>
      </w:r>
      <w:r w:rsidRPr="00653421">
        <w:fldChar w:fldCharType="separate"/>
      </w:r>
      <w:r w:rsidR="00CE7565">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Windows Small Business Server 2008 CAL Suite para Usuários ou Dispositivos Premium</w:t>
      </w:r>
      <w:r w:rsidRPr="00CE7565">
        <w:rPr>
          <w:lang w:val="pt-BR"/>
        </w:rPr>
        <w:tab/>
      </w:r>
      <w:r w:rsidRPr="00653421">
        <w:fldChar w:fldCharType="begin"/>
      </w:r>
      <w:r w:rsidRPr="00CE7565">
        <w:rPr>
          <w:lang w:val="pt-BR"/>
        </w:rPr>
        <w:instrText xml:space="preserve"> PAGEREF _Toc353470798 \h </w:instrText>
      </w:r>
      <w:r w:rsidRPr="00653421">
        <w:fldChar w:fldCharType="separate"/>
      </w:r>
      <w:r w:rsidR="00CE7565" w:rsidRPr="00CE7565">
        <w:rPr>
          <w:lang w:val="pt-BR"/>
        </w:rPr>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Windows Small Business Server 2008 CAL Suite para Usuários ou Dispositivos Premium (5 Clientes)</w:t>
      </w:r>
      <w:r w:rsidRPr="00CE7565">
        <w:rPr>
          <w:lang w:val="pt-BR"/>
        </w:rPr>
        <w:tab/>
      </w:r>
      <w:r w:rsidRPr="00653421">
        <w:fldChar w:fldCharType="begin"/>
      </w:r>
      <w:r w:rsidRPr="00CE7565">
        <w:rPr>
          <w:lang w:val="pt-BR"/>
        </w:rPr>
        <w:instrText xml:space="preserve"> PAGEREF _Toc353470799 \h </w:instrText>
      </w:r>
      <w:r w:rsidRPr="00653421">
        <w:fldChar w:fldCharType="separate"/>
      </w:r>
      <w:r w:rsidR="00CE7565" w:rsidRPr="00CE7565">
        <w:rPr>
          <w:lang w:val="pt-BR"/>
        </w:rPr>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Windows Small Business Server 2008 CAL Suite para Usuários ou Dispositivos Premium (20 Clientes)</w:t>
      </w:r>
      <w:r w:rsidRPr="00CE7565">
        <w:rPr>
          <w:lang w:val="pt-BR"/>
        </w:rPr>
        <w:tab/>
      </w:r>
      <w:r w:rsidRPr="00653421">
        <w:fldChar w:fldCharType="begin"/>
      </w:r>
      <w:r w:rsidRPr="00CE7565">
        <w:rPr>
          <w:lang w:val="pt-BR"/>
        </w:rPr>
        <w:instrText xml:space="preserve"> PAGEREF _Toc353470800 \h </w:instrText>
      </w:r>
      <w:r w:rsidRPr="00653421">
        <w:fldChar w:fldCharType="separate"/>
      </w:r>
      <w:r w:rsidR="00CE7565" w:rsidRPr="00CE7565">
        <w:rPr>
          <w:lang w:val="pt-BR"/>
        </w:rPr>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Small Business Server 2011 Standard (5 clientes)</w:t>
      </w:r>
      <w:r w:rsidRPr="00653421">
        <w:tab/>
      </w:r>
      <w:r w:rsidRPr="00653421">
        <w:fldChar w:fldCharType="begin"/>
      </w:r>
      <w:r w:rsidRPr="00653421">
        <w:instrText xml:space="preserve"> PAGEREF _Toc353470801 \h </w:instrText>
      </w:r>
      <w:r w:rsidRPr="00653421">
        <w:fldChar w:fldCharType="separate"/>
      </w:r>
      <w:r w:rsidR="00CE7565">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Small Business Server 2011 CAL Suite (1 cliente)</w:t>
      </w:r>
      <w:r w:rsidRPr="00653421">
        <w:tab/>
      </w:r>
      <w:r w:rsidRPr="00653421">
        <w:fldChar w:fldCharType="begin"/>
      </w:r>
      <w:r w:rsidRPr="00653421">
        <w:instrText xml:space="preserve"> PAGEREF _Toc353470802 \h </w:instrText>
      </w:r>
      <w:r w:rsidRPr="00653421">
        <w:fldChar w:fldCharType="separate"/>
      </w:r>
      <w:r w:rsidR="00CE7565">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Small Business Server 2011 CAL Suite (5 clientes)</w:t>
      </w:r>
      <w:r w:rsidRPr="00653421">
        <w:tab/>
      </w:r>
      <w:r w:rsidRPr="00653421">
        <w:fldChar w:fldCharType="begin"/>
      </w:r>
      <w:r w:rsidRPr="00653421">
        <w:instrText xml:space="preserve"> PAGEREF _Toc353470803 \h </w:instrText>
      </w:r>
      <w:r w:rsidRPr="00653421">
        <w:fldChar w:fldCharType="separate"/>
      </w:r>
      <w:r w:rsidR="00CE7565">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Small Business Server 2011 CAL Suite (20 clientes)</w:t>
      </w:r>
      <w:r w:rsidRPr="00653421">
        <w:tab/>
      </w:r>
      <w:r w:rsidRPr="00653421">
        <w:fldChar w:fldCharType="begin"/>
      </w:r>
      <w:r w:rsidRPr="00653421">
        <w:instrText xml:space="preserve"> PAGEREF _Toc353470804 \h </w:instrText>
      </w:r>
      <w:r w:rsidRPr="00653421">
        <w:fldChar w:fldCharType="separate"/>
      </w:r>
      <w:r w:rsidR="00CE7565">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Complemento do Windows Small Business Server 2011 Premium (5 clientes)</w:t>
      </w:r>
      <w:r w:rsidRPr="00653421">
        <w:tab/>
      </w:r>
      <w:r w:rsidRPr="00653421">
        <w:fldChar w:fldCharType="begin"/>
      </w:r>
      <w:r w:rsidRPr="00653421">
        <w:instrText xml:space="preserve"> PAGEREF _Toc353470805 \h </w:instrText>
      </w:r>
      <w:r w:rsidRPr="00653421">
        <w:fldChar w:fldCharType="separate"/>
      </w:r>
      <w:r w:rsidR="00CE7565">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Pacote de CALs do Complemento do Windows Small Business Server (SBS) 2011 Premium</w:t>
      </w:r>
      <w:r w:rsidRPr="00CE7565">
        <w:rPr>
          <w:lang w:val="pt-BR"/>
        </w:rPr>
        <w:tab/>
      </w:r>
      <w:r w:rsidRPr="00653421">
        <w:fldChar w:fldCharType="begin"/>
      </w:r>
      <w:r w:rsidRPr="00CE7565">
        <w:rPr>
          <w:lang w:val="pt-BR"/>
        </w:rPr>
        <w:instrText xml:space="preserve"> PAGEREF _Toc353470806 \h </w:instrText>
      </w:r>
      <w:r w:rsidRPr="00653421">
        <w:fldChar w:fldCharType="separate"/>
      </w:r>
      <w:r w:rsidR="00CE7565" w:rsidRPr="00CE7565">
        <w:rPr>
          <w:lang w:val="pt-BR"/>
        </w:rPr>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Pacote de CALs do Complemento do Windows Small Business Server 2011 Premium (5 clientes)</w:t>
      </w:r>
      <w:r w:rsidRPr="00CE7565">
        <w:rPr>
          <w:lang w:val="pt-BR"/>
        </w:rPr>
        <w:tab/>
      </w:r>
      <w:r w:rsidRPr="00653421">
        <w:fldChar w:fldCharType="begin"/>
      </w:r>
      <w:r w:rsidRPr="00CE7565">
        <w:rPr>
          <w:lang w:val="pt-BR"/>
        </w:rPr>
        <w:instrText xml:space="preserve"> PAGEREF _Toc353470807 \h </w:instrText>
      </w:r>
      <w:r w:rsidRPr="00653421">
        <w:fldChar w:fldCharType="separate"/>
      </w:r>
      <w:r w:rsidR="00CE7565" w:rsidRPr="00CE7565">
        <w:rPr>
          <w:lang w:val="pt-BR"/>
        </w:rPr>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Pacote de CALs do Complemento do Windows Small Business Server 2011 Premium (20 clientes)</w:t>
      </w:r>
      <w:r w:rsidRPr="00CE7565">
        <w:rPr>
          <w:lang w:val="pt-BR"/>
        </w:rPr>
        <w:tab/>
      </w:r>
      <w:r w:rsidRPr="00653421">
        <w:fldChar w:fldCharType="begin"/>
      </w:r>
      <w:r w:rsidRPr="00CE7565">
        <w:rPr>
          <w:lang w:val="pt-BR"/>
        </w:rPr>
        <w:instrText xml:space="preserve"> PAGEREF _Toc353470808 \h </w:instrText>
      </w:r>
      <w:r w:rsidRPr="00653421">
        <w:fldChar w:fldCharType="separate"/>
      </w:r>
      <w:r w:rsidR="00CE7565" w:rsidRPr="00CE7565">
        <w:rPr>
          <w:lang w:val="pt-BR"/>
        </w:rPr>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Server Essentials 2012</w:t>
      </w:r>
      <w:r w:rsidRPr="00653421">
        <w:tab/>
      </w:r>
      <w:r w:rsidRPr="00653421">
        <w:fldChar w:fldCharType="begin"/>
      </w:r>
      <w:r w:rsidRPr="00653421">
        <w:instrText xml:space="preserve"> PAGEREF _Toc353470809 \h </w:instrText>
      </w:r>
      <w:r w:rsidRPr="00653421">
        <w:fldChar w:fldCharType="separate"/>
      </w:r>
      <w:r w:rsidR="00CE7565">
        <w:t>27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Windows Small Business Server 2011 Essentials</w:t>
      </w:r>
      <w:r w:rsidRPr="00653421">
        <w:tab/>
      </w:r>
      <w:r w:rsidRPr="00653421">
        <w:fldChar w:fldCharType="begin"/>
      </w:r>
      <w:r w:rsidRPr="00653421">
        <w:instrText xml:space="preserve"> PAGEREF _Toc353470810 \h </w:instrText>
      </w:r>
      <w:r w:rsidRPr="00653421">
        <w:fldChar w:fldCharType="separate"/>
      </w:r>
      <w:r w:rsidR="00CE7565">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Windows Web Server 2008 R2</w:t>
      </w:r>
      <w:r w:rsidRPr="00CE7565">
        <w:rPr>
          <w:lang w:val="pt-BR"/>
        </w:rPr>
        <w:tab/>
      </w:r>
      <w:r w:rsidRPr="00653421">
        <w:fldChar w:fldCharType="begin"/>
      </w:r>
      <w:r w:rsidRPr="00CE7565">
        <w:rPr>
          <w:lang w:val="pt-BR"/>
        </w:rPr>
        <w:instrText xml:space="preserve"> PAGEREF _Toc353470811 \h </w:instrText>
      </w:r>
      <w:r w:rsidRPr="00653421">
        <w:fldChar w:fldCharType="separate"/>
      </w:r>
      <w:r w:rsidR="00CE7565" w:rsidRPr="00CE7565">
        <w:rPr>
          <w:lang w:val="pt-BR"/>
        </w:rPr>
        <w:t>27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Yammer Enterprise</w:t>
      </w:r>
      <w:r w:rsidRPr="00CE7565">
        <w:rPr>
          <w:lang w:val="pt-BR"/>
        </w:rPr>
        <w:tab/>
      </w:r>
      <w:r w:rsidRPr="00653421">
        <w:fldChar w:fldCharType="begin"/>
      </w:r>
      <w:r w:rsidRPr="00CE7565">
        <w:rPr>
          <w:lang w:val="pt-BR"/>
        </w:rPr>
        <w:instrText xml:space="preserve"> PAGEREF _Toc353470812 \h </w:instrText>
      </w:r>
      <w:r w:rsidRPr="00653421">
        <w:fldChar w:fldCharType="separate"/>
      </w:r>
      <w:r w:rsidR="00CE7565" w:rsidRPr="00CE7565">
        <w:rPr>
          <w:lang w:val="pt-BR"/>
        </w:rPr>
        <w:t>27</w:t>
      </w:r>
      <w:r w:rsidRPr="00653421">
        <w:fldChar w:fldCharType="end"/>
      </w: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t>SEÇÃO 1 – Alterações na LISTA DE PRODUTOS na lista de produtos</w:t>
      </w:r>
      <w:r w:rsidR="0095190D" w:rsidRPr="00CE7565">
        <w:rPr>
          <w:color w:val="auto"/>
          <w:lang w:val="pt-BR"/>
        </w:rPr>
        <w:t xml:space="preserve"> </w:t>
      </w:r>
      <w:r w:rsidRPr="00CE7565">
        <w:rPr>
          <w:color w:val="auto"/>
          <w:lang w:val="pt-BR"/>
        </w:rPr>
        <w:t>nos</w:t>
      </w:r>
      <w:r w:rsidR="00163E28" w:rsidRPr="00CE7565">
        <w:rPr>
          <w:color w:val="auto"/>
          <w:lang w:val="pt-BR"/>
        </w:rPr>
        <w:t> </w:t>
      </w:r>
      <w:r w:rsidRPr="00CE7565">
        <w:rPr>
          <w:color w:val="auto"/>
          <w:lang w:val="pt-BR"/>
        </w:rPr>
        <w:t>últimos 12 meses</w:t>
      </w:r>
      <w:r w:rsidRPr="00CE7565">
        <w:rPr>
          <w:color w:val="auto"/>
          <w:lang w:val="pt-BR"/>
        </w:rPr>
        <w:tab/>
      </w:r>
      <w:r w:rsidRPr="00653421">
        <w:rPr>
          <w:color w:val="auto"/>
        </w:rPr>
        <w:fldChar w:fldCharType="begin"/>
      </w:r>
      <w:r w:rsidRPr="00CE7565">
        <w:rPr>
          <w:color w:val="auto"/>
          <w:lang w:val="pt-BR"/>
        </w:rPr>
        <w:instrText xml:space="preserve"> PAGEREF _Toc353470814 \h </w:instrText>
      </w:r>
      <w:r w:rsidRPr="00653421">
        <w:rPr>
          <w:color w:val="auto"/>
        </w:rPr>
      </w:r>
      <w:r w:rsidRPr="00653421">
        <w:rPr>
          <w:color w:val="auto"/>
        </w:rPr>
        <w:fldChar w:fldCharType="separate"/>
      </w:r>
      <w:r w:rsidR="00CE7565" w:rsidRPr="00CE7565">
        <w:rPr>
          <w:color w:val="auto"/>
          <w:lang w:val="pt-BR"/>
        </w:rPr>
        <w:t>28</w:t>
      </w:r>
      <w:r w:rsidRPr="00653421">
        <w:rPr>
          <w:color w:val="auto"/>
        </w:rPr>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MAIO DE 2013</w:t>
      </w:r>
      <w:r w:rsidRPr="00CE7565">
        <w:rPr>
          <w:lang w:val="pt-BR"/>
        </w:rPr>
        <w:tab/>
      </w:r>
      <w:r w:rsidRPr="00653421">
        <w:fldChar w:fldCharType="begin"/>
      </w:r>
      <w:r w:rsidRPr="00CE7565">
        <w:rPr>
          <w:lang w:val="pt-BR"/>
        </w:rPr>
        <w:instrText xml:space="preserve"> PAGEREF _Toc353470815 \h </w:instrText>
      </w:r>
      <w:r w:rsidRPr="00653421">
        <w:fldChar w:fldCharType="separate"/>
      </w:r>
      <w:r w:rsidR="00CE7565" w:rsidRPr="00CE7565">
        <w:rPr>
          <w:lang w:val="pt-BR"/>
        </w:rPr>
        <w:t>28</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ABRIL DE 2013</w:t>
      </w:r>
      <w:r w:rsidRPr="00CE7565">
        <w:rPr>
          <w:lang w:val="pt-BR"/>
        </w:rPr>
        <w:tab/>
      </w:r>
      <w:r w:rsidRPr="00653421">
        <w:fldChar w:fldCharType="begin"/>
      </w:r>
      <w:r w:rsidRPr="00CE7565">
        <w:rPr>
          <w:lang w:val="pt-BR"/>
        </w:rPr>
        <w:instrText xml:space="preserve"> PAGEREF _Toc353470816 \h </w:instrText>
      </w:r>
      <w:r w:rsidRPr="00653421">
        <w:fldChar w:fldCharType="separate"/>
      </w:r>
      <w:r w:rsidR="00CE7565" w:rsidRPr="00CE7565">
        <w:rPr>
          <w:lang w:val="pt-BR"/>
        </w:rPr>
        <w:t>28</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MARÇO DE 2013</w:t>
      </w:r>
      <w:r w:rsidRPr="00CE7565">
        <w:rPr>
          <w:lang w:val="pt-BR"/>
        </w:rPr>
        <w:tab/>
      </w:r>
      <w:r w:rsidRPr="00653421">
        <w:fldChar w:fldCharType="begin"/>
      </w:r>
      <w:r w:rsidRPr="00CE7565">
        <w:rPr>
          <w:lang w:val="pt-BR"/>
        </w:rPr>
        <w:instrText xml:space="preserve"> PAGEREF _Toc353470817 \h </w:instrText>
      </w:r>
      <w:r w:rsidRPr="00653421">
        <w:fldChar w:fldCharType="separate"/>
      </w:r>
      <w:r w:rsidR="00CE7565" w:rsidRPr="00CE7565">
        <w:rPr>
          <w:lang w:val="pt-BR"/>
        </w:rPr>
        <w:t>30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FEVEREIRO DE 2013</w:t>
      </w:r>
      <w:r w:rsidRPr="00CE7565">
        <w:rPr>
          <w:lang w:val="pt-BR"/>
        </w:rPr>
        <w:tab/>
      </w:r>
      <w:r w:rsidRPr="00653421">
        <w:fldChar w:fldCharType="begin"/>
      </w:r>
      <w:r w:rsidRPr="00CE7565">
        <w:rPr>
          <w:lang w:val="pt-BR"/>
        </w:rPr>
        <w:instrText xml:space="preserve"> PAGEREF _Toc353470818 \h </w:instrText>
      </w:r>
      <w:r w:rsidRPr="00653421">
        <w:fldChar w:fldCharType="separate"/>
      </w:r>
      <w:r w:rsidR="00CE7565" w:rsidRPr="00CE7565">
        <w:rPr>
          <w:lang w:val="pt-BR"/>
        </w:rPr>
        <w:t>31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JANEIRO DE 2013</w:t>
      </w:r>
      <w:r w:rsidRPr="00CE7565">
        <w:rPr>
          <w:lang w:val="pt-BR"/>
        </w:rPr>
        <w:tab/>
      </w:r>
      <w:r w:rsidRPr="00653421">
        <w:fldChar w:fldCharType="begin"/>
      </w:r>
      <w:r w:rsidRPr="00CE7565">
        <w:rPr>
          <w:lang w:val="pt-BR"/>
        </w:rPr>
        <w:instrText xml:space="preserve"> PAGEREF _Toc353470819 \h </w:instrText>
      </w:r>
      <w:r w:rsidRPr="00653421">
        <w:fldChar w:fldCharType="separate"/>
      </w:r>
      <w:r w:rsidR="00CE7565" w:rsidRPr="00CE7565">
        <w:rPr>
          <w:lang w:val="pt-BR"/>
        </w:rPr>
        <w:t>32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DEZEMBRO DE 2012</w:t>
      </w:r>
      <w:r w:rsidRPr="00CE7565">
        <w:rPr>
          <w:lang w:val="pt-BR"/>
        </w:rPr>
        <w:tab/>
      </w:r>
      <w:r w:rsidRPr="00653421">
        <w:fldChar w:fldCharType="begin"/>
      </w:r>
      <w:r w:rsidRPr="00CE7565">
        <w:rPr>
          <w:lang w:val="pt-BR"/>
        </w:rPr>
        <w:instrText xml:space="preserve"> PAGEREF _Toc353470820 \h </w:instrText>
      </w:r>
      <w:r w:rsidRPr="00653421">
        <w:fldChar w:fldCharType="separate"/>
      </w:r>
      <w:r w:rsidR="00CE7565" w:rsidRPr="00CE7565">
        <w:rPr>
          <w:lang w:val="pt-BR"/>
        </w:rPr>
        <w:t>32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NOVEMBRO DE 2012</w:t>
      </w:r>
      <w:r w:rsidRPr="00CE7565">
        <w:rPr>
          <w:lang w:val="pt-BR"/>
        </w:rPr>
        <w:tab/>
      </w:r>
      <w:r w:rsidRPr="00653421">
        <w:fldChar w:fldCharType="begin"/>
      </w:r>
      <w:r w:rsidRPr="00CE7565">
        <w:rPr>
          <w:lang w:val="pt-BR"/>
        </w:rPr>
        <w:instrText xml:space="preserve"> PAGEREF _Toc353470821 \h </w:instrText>
      </w:r>
      <w:r w:rsidRPr="00653421">
        <w:fldChar w:fldCharType="separate"/>
      </w:r>
      <w:r w:rsidR="00CE7565" w:rsidRPr="00CE7565">
        <w:rPr>
          <w:lang w:val="pt-BR"/>
        </w:rPr>
        <w:t>34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OUTUBRO DE 2012</w:t>
      </w:r>
      <w:r w:rsidRPr="00CE7565">
        <w:rPr>
          <w:lang w:val="pt-BR"/>
        </w:rPr>
        <w:tab/>
      </w:r>
      <w:r w:rsidRPr="00653421">
        <w:fldChar w:fldCharType="begin"/>
      </w:r>
      <w:r w:rsidRPr="00CE7565">
        <w:rPr>
          <w:lang w:val="pt-BR"/>
        </w:rPr>
        <w:instrText xml:space="preserve"> PAGEREF _Toc353470822 \h </w:instrText>
      </w:r>
      <w:r w:rsidRPr="00653421">
        <w:fldChar w:fldCharType="separate"/>
      </w:r>
      <w:r w:rsidR="00CE7565" w:rsidRPr="00CE7565">
        <w:rPr>
          <w:lang w:val="pt-BR"/>
        </w:rPr>
        <w:t>35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SETEMBRO DE 2012</w:t>
      </w:r>
      <w:r w:rsidRPr="00CE7565">
        <w:rPr>
          <w:lang w:val="pt-BR"/>
        </w:rPr>
        <w:tab/>
      </w:r>
      <w:r w:rsidRPr="00653421">
        <w:fldChar w:fldCharType="begin"/>
      </w:r>
      <w:r w:rsidRPr="00CE7565">
        <w:rPr>
          <w:lang w:val="pt-BR"/>
        </w:rPr>
        <w:instrText xml:space="preserve"> PAGEREF _Toc353470823 \h </w:instrText>
      </w:r>
      <w:r w:rsidRPr="00653421">
        <w:fldChar w:fldCharType="separate"/>
      </w:r>
      <w:r w:rsidR="00CE7565" w:rsidRPr="00CE7565">
        <w:rPr>
          <w:lang w:val="pt-BR"/>
        </w:rPr>
        <w:t>35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AGOSTO DE 2012</w:t>
      </w:r>
      <w:r w:rsidRPr="00CE7565">
        <w:rPr>
          <w:lang w:val="pt-BR"/>
        </w:rPr>
        <w:tab/>
      </w:r>
      <w:r w:rsidRPr="00653421">
        <w:fldChar w:fldCharType="begin"/>
      </w:r>
      <w:r w:rsidRPr="00CE7565">
        <w:rPr>
          <w:lang w:val="pt-BR"/>
        </w:rPr>
        <w:instrText xml:space="preserve"> PAGEREF _Toc353470824 \h </w:instrText>
      </w:r>
      <w:r w:rsidRPr="00653421">
        <w:fldChar w:fldCharType="separate"/>
      </w:r>
      <w:r w:rsidR="00CE7565" w:rsidRPr="00CE7565">
        <w:rPr>
          <w:lang w:val="pt-BR"/>
        </w:rPr>
        <w:t>37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JULHO DE 2012</w:t>
      </w:r>
      <w:r w:rsidRPr="00CE7565">
        <w:rPr>
          <w:lang w:val="pt-BR"/>
        </w:rPr>
        <w:tab/>
      </w:r>
      <w:r w:rsidRPr="00653421">
        <w:fldChar w:fldCharType="begin"/>
      </w:r>
      <w:r w:rsidRPr="00CE7565">
        <w:rPr>
          <w:lang w:val="pt-BR"/>
        </w:rPr>
        <w:instrText xml:space="preserve"> PAGEREF _Toc353470825 \h </w:instrText>
      </w:r>
      <w:r w:rsidRPr="00653421">
        <w:fldChar w:fldCharType="separate"/>
      </w:r>
      <w:r w:rsidR="00CE7565" w:rsidRPr="00CE7565">
        <w:rPr>
          <w:lang w:val="pt-BR"/>
        </w:rPr>
        <w:t>37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ALTERAÇÕES EM JUNHO DE 2012</w:t>
      </w:r>
      <w:r w:rsidRPr="00CE7565">
        <w:rPr>
          <w:lang w:val="pt-BR"/>
        </w:rPr>
        <w:tab/>
      </w:r>
      <w:r w:rsidRPr="00653421">
        <w:fldChar w:fldCharType="begin"/>
      </w:r>
      <w:r w:rsidRPr="00CE7565">
        <w:rPr>
          <w:lang w:val="pt-BR"/>
        </w:rPr>
        <w:instrText xml:space="preserve"> PAGEREF _Toc353470826 \h </w:instrText>
      </w:r>
      <w:r w:rsidRPr="00653421">
        <w:fldChar w:fldCharType="separate"/>
      </w:r>
      <w:r w:rsidR="00CE7565" w:rsidRPr="00CE7565">
        <w:rPr>
          <w:lang w:val="pt-BR"/>
        </w:rPr>
        <w:t>37</w:t>
      </w:r>
      <w:r w:rsidRPr="00653421">
        <w:fldChar w:fldCharType="end"/>
      </w:r>
    </w:p>
    <w:p w:rsidR="0095190D" w:rsidRPr="00CE7565" w:rsidRDefault="0095190D">
      <w:pPr>
        <w:pStyle w:val="TOC1"/>
        <w:rPr>
          <w:color w:val="auto"/>
          <w:lang w:val="pt-BR"/>
        </w:rPr>
      </w:pP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lastRenderedPageBreak/>
        <w:t>Seção 2 – promoções de ProdutoS</w:t>
      </w:r>
      <w:r w:rsidRPr="00CE7565">
        <w:rPr>
          <w:color w:val="auto"/>
          <w:lang w:val="pt-BR"/>
        </w:rPr>
        <w:tab/>
      </w:r>
      <w:r w:rsidRPr="00653421">
        <w:rPr>
          <w:color w:val="auto"/>
        </w:rPr>
        <w:fldChar w:fldCharType="begin"/>
      </w:r>
      <w:r w:rsidRPr="00CE7565">
        <w:rPr>
          <w:color w:val="auto"/>
          <w:lang w:val="pt-BR"/>
        </w:rPr>
        <w:instrText xml:space="preserve"> PAGEREF _Toc353470827 \h </w:instrText>
      </w:r>
      <w:r w:rsidRPr="00653421">
        <w:rPr>
          <w:color w:val="auto"/>
        </w:rPr>
      </w:r>
      <w:r w:rsidRPr="00653421">
        <w:rPr>
          <w:color w:val="auto"/>
        </w:rPr>
        <w:fldChar w:fldCharType="separate"/>
      </w:r>
      <w:r w:rsidR="00CE7565" w:rsidRPr="00CE7565">
        <w:rPr>
          <w:color w:val="auto"/>
          <w:lang w:val="pt-BR"/>
        </w:rPr>
        <w:t>39</w:t>
      </w:r>
      <w:r w:rsidRPr="00653421">
        <w:rPr>
          <w:color w:val="auto"/>
        </w:rPr>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Microsoft Dynamics AX 2012 R2 - Promoção “Compre Uma CAL Empresarial Ganhe outra CAL Funcional”</w:t>
      </w:r>
      <w:r w:rsidRPr="00CE7565">
        <w:rPr>
          <w:lang w:val="pt-BR"/>
        </w:rPr>
        <w:tab/>
      </w:r>
      <w:r w:rsidRPr="00653421">
        <w:fldChar w:fldCharType="begin"/>
      </w:r>
      <w:r w:rsidRPr="00CE7565">
        <w:rPr>
          <w:lang w:val="pt-BR"/>
        </w:rPr>
        <w:instrText xml:space="preserve"> PAGEREF _Toc353470828 \h </w:instrText>
      </w:r>
      <w:r w:rsidRPr="00653421">
        <w:fldChar w:fldCharType="separate"/>
      </w:r>
      <w:r w:rsidR="00CE7565" w:rsidRPr="00CE7565">
        <w:rPr>
          <w:lang w:val="pt-BR"/>
        </w:rPr>
        <w:t>39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Microsoft Dynamics AX 2012 R2 - Promoção de Introdução ao EA</w:t>
      </w:r>
      <w:r w:rsidRPr="00CE7565">
        <w:rPr>
          <w:lang w:val="pt-BR"/>
        </w:rPr>
        <w:tab/>
      </w:r>
      <w:r w:rsidRPr="00653421">
        <w:fldChar w:fldCharType="begin"/>
      </w:r>
      <w:r w:rsidRPr="00CE7565">
        <w:rPr>
          <w:lang w:val="pt-BR"/>
        </w:rPr>
        <w:instrText xml:space="preserve"> PAGEREF _Toc353470829 \h </w:instrText>
      </w:r>
      <w:r w:rsidRPr="00653421">
        <w:fldChar w:fldCharType="separate"/>
      </w:r>
      <w:r w:rsidR="00CE7565" w:rsidRPr="00CE7565">
        <w:rPr>
          <w:lang w:val="pt-BR"/>
        </w:rPr>
        <w:t>39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eastAsia="Times New Roman" w:cs="Tahoma"/>
          <w:lang w:val="pt-BR"/>
        </w:rPr>
        <w:t>Promoção de Step-up do Windows Server Datacenter</w:t>
      </w:r>
      <w:r w:rsidRPr="00CE7565">
        <w:rPr>
          <w:lang w:val="pt-BR"/>
        </w:rPr>
        <w:tab/>
      </w:r>
      <w:r w:rsidRPr="00653421">
        <w:fldChar w:fldCharType="begin"/>
      </w:r>
      <w:r w:rsidRPr="00CE7565">
        <w:rPr>
          <w:lang w:val="pt-BR"/>
        </w:rPr>
        <w:instrText xml:space="preserve"> PAGEREF _Toc353470830 \h </w:instrText>
      </w:r>
      <w:r w:rsidRPr="00653421">
        <w:fldChar w:fldCharType="separate"/>
      </w:r>
      <w:r w:rsidR="00CE7565" w:rsidRPr="00CE7565">
        <w:rPr>
          <w:lang w:val="pt-BR"/>
        </w:rPr>
        <w:t>39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eastAsia="Times New Roman" w:cs="Tahoma"/>
          <w:lang w:val="pt-BR"/>
        </w:rPr>
        <w:t>Forefront Online Protection para Exchange</w:t>
      </w:r>
      <w:r w:rsidRPr="00CE7565">
        <w:rPr>
          <w:lang w:val="pt-BR"/>
        </w:rPr>
        <w:tab/>
      </w:r>
      <w:r w:rsidRPr="00653421">
        <w:fldChar w:fldCharType="begin"/>
      </w:r>
      <w:r w:rsidRPr="00CE7565">
        <w:rPr>
          <w:lang w:val="pt-BR"/>
        </w:rPr>
        <w:instrText xml:space="preserve"> PAGEREF _Toc353470831 \h </w:instrText>
      </w:r>
      <w:r w:rsidRPr="00653421">
        <w:fldChar w:fldCharType="separate"/>
      </w:r>
      <w:r w:rsidR="00CE7565" w:rsidRPr="00CE7565">
        <w:rPr>
          <w:lang w:val="pt-BR"/>
        </w:rPr>
        <w:t>39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eastAsia="Times New Roman" w:cs="Tahoma"/>
          <w:lang w:val="pt-BR"/>
        </w:rPr>
        <w:t>30% de Desconto na Atualização para o Visual Studio Premium com MSDN</w:t>
      </w:r>
      <w:r w:rsidRPr="00CE7565">
        <w:rPr>
          <w:lang w:val="pt-BR"/>
        </w:rPr>
        <w:tab/>
      </w:r>
      <w:r w:rsidRPr="00653421">
        <w:fldChar w:fldCharType="begin"/>
      </w:r>
      <w:r w:rsidRPr="00CE7565">
        <w:rPr>
          <w:lang w:val="pt-BR"/>
        </w:rPr>
        <w:instrText xml:space="preserve"> PAGEREF _Toc353470832 \h </w:instrText>
      </w:r>
      <w:r w:rsidRPr="00653421">
        <w:fldChar w:fldCharType="separate"/>
      </w:r>
      <w:r w:rsidR="00CE7565" w:rsidRPr="00CE7565">
        <w:rPr>
          <w:lang w:val="pt-BR"/>
        </w:rPr>
        <w:t>39</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eastAsia="Times New Roman" w:cs="Tahoma"/>
        </w:rPr>
        <w:t>Step-up para Windows 8 com SA</w:t>
      </w:r>
      <w:r w:rsidRPr="00653421">
        <w:tab/>
      </w:r>
      <w:r w:rsidRPr="00653421">
        <w:fldChar w:fldCharType="begin"/>
      </w:r>
      <w:r w:rsidRPr="00653421">
        <w:instrText xml:space="preserve"> PAGEREF _Toc353470833 \h </w:instrText>
      </w:r>
      <w:r w:rsidRPr="00653421">
        <w:fldChar w:fldCharType="separate"/>
      </w:r>
      <w:r w:rsidR="00CE7565">
        <w:t>40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eastAsia="Times New Roman" w:cs="Tahoma"/>
          <w:lang w:val="pt-BR"/>
        </w:rPr>
        <w:t>15% de desconto em Step-ups do Project/Visio</w:t>
      </w:r>
      <w:r w:rsidRPr="00CE7565">
        <w:rPr>
          <w:lang w:val="pt-BR"/>
        </w:rPr>
        <w:tab/>
      </w:r>
      <w:r w:rsidRPr="00653421">
        <w:fldChar w:fldCharType="begin"/>
      </w:r>
      <w:r w:rsidRPr="00CE7565">
        <w:rPr>
          <w:lang w:val="pt-BR"/>
        </w:rPr>
        <w:instrText xml:space="preserve"> PAGEREF _Toc353470834 \h </w:instrText>
      </w:r>
      <w:r w:rsidRPr="00653421">
        <w:fldChar w:fldCharType="separate"/>
      </w:r>
      <w:r w:rsidR="00CE7565" w:rsidRPr="00CE7565">
        <w:rPr>
          <w:lang w:val="pt-BR"/>
        </w:rPr>
        <w:t>40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eastAsia="Times New Roman" w:cs="Tahoma"/>
          <w:lang w:val="pt-BR"/>
        </w:rPr>
        <w:t>55% de desconto na CAL do Project Server para Compras para Toda a Empresa</w:t>
      </w:r>
      <w:r w:rsidRPr="00CE7565">
        <w:rPr>
          <w:lang w:val="pt-BR"/>
        </w:rPr>
        <w:tab/>
      </w:r>
      <w:r w:rsidRPr="00653421">
        <w:fldChar w:fldCharType="begin"/>
      </w:r>
      <w:r w:rsidRPr="00CE7565">
        <w:rPr>
          <w:lang w:val="pt-BR"/>
        </w:rPr>
        <w:instrText xml:space="preserve"> PAGEREF _Toc353470835 \h </w:instrText>
      </w:r>
      <w:r w:rsidRPr="00653421">
        <w:fldChar w:fldCharType="separate"/>
      </w:r>
      <w:r w:rsidR="00CE7565" w:rsidRPr="00CE7565">
        <w:rPr>
          <w:lang w:val="pt-BR"/>
        </w:rPr>
        <w:t>40</w:t>
      </w:r>
      <w:r w:rsidRPr="00653421">
        <w:fldChar w:fldCharType="end"/>
      </w: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t>SEÇÃO 3 – TERMOS do Programa de Licenciamento por Volume</w:t>
      </w:r>
      <w:r w:rsidRPr="00CE7565">
        <w:rPr>
          <w:color w:val="auto"/>
          <w:lang w:val="pt-BR"/>
        </w:rPr>
        <w:tab/>
      </w:r>
      <w:r w:rsidRPr="00653421">
        <w:rPr>
          <w:color w:val="auto"/>
        </w:rPr>
        <w:fldChar w:fldCharType="begin"/>
      </w:r>
      <w:r w:rsidRPr="00CE7565">
        <w:rPr>
          <w:color w:val="auto"/>
          <w:lang w:val="pt-BR"/>
        </w:rPr>
        <w:instrText xml:space="preserve"> PAGEREF _Toc353470836 \h </w:instrText>
      </w:r>
      <w:r w:rsidRPr="00653421">
        <w:rPr>
          <w:color w:val="auto"/>
        </w:rPr>
      </w:r>
      <w:r w:rsidRPr="00653421">
        <w:rPr>
          <w:color w:val="auto"/>
        </w:rPr>
        <w:fldChar w:fldCharType="separate"/>
      </w:r>
      <w:r w:rsidR="00CE7565" w:rsidRPr="00CE7565">
        <w:rPr>
          <w:color w:val="auto"/>
          <w:lang w:val="pt-BR"/>
        </w:rPr>
        <w:t>41</w:t>
      </w:r>
      <w:r w:rsidRPr="00653421">
        <w:rPr>
          <w:color w:val="auto"/>
        </w:rPr>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Programas de Licenciamento por Volume Aplicáveis</w:t>
      </w:r>
      <w:r w:rsidRPr="00CE7565">
        <w:rPr>
          <w:lang w:val="pt-BR"/>
        </w:rPr>
        <w:tab/>
      </w:r>
      <w:r w:rsidRPr="00653421">
        <w:fldChar w:fldCharType="begin"/>
      </w:r>
      <w:r w:rsidRPr="00CE7565">
        <w:rPr>
          <w:lang w:val="pt-BR"/>
        </w:rPr>
        <w:instrText xml:space="preserve"> PAGEREF _Toc353470837 \h </w:instrText>
      </w:r>
      <w:r w:rsidRPr="00653421">
        <w:fldChar w:fldCharType="separate"/>
      </w:r>
      <w:r w:rsidR="00CE7565" w:rsidRPr="00CE7565">
        <w:rPr>
          <w:lang w:val="pt-BR"/>
        </w:rPr>
        <w:t>41</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Pontos e pedidos mínimos</w:t>
      </w:r>
      <w:r w:rsidRPr="00CE7565">
        <w:rPr>
          <w:lang w:val="pt-BR"/>
        </w:rPr>
        <w:tab/>
      </w:r>
      <w:r w:rsidRPr="00653421">
        <w:fldChar w:fldCharType="begin"/>
      </w:r>
      <w:r w:rsidRPr="00CE7565">
        <w:rPr>
          <w:lang w:val="pt-BR"/>
        </w:rPr>
        <w:instrText xml:space="preserve"> PAGEREF _Toc353470838 \h </w:instrText>
      </w:r>
      <w:r w:rsidRPr="00653421">
        <w:fldChar w:fldCharType="separate"/>
      </w:r>
      <w:r w:rsidR="00CE7565" w:rsidRPr="00CE7565">
        <w:rPr>
          <w:lang w:val="pt-BR"/>
        </w:rPr>
        <w:t>41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Requisitos Mínimos de Pedidos</w:t>
      </w:r>
      <w:r w:rsidRPr="00CE7565">
        <w:rPr>
          <w:lang w:val="pt-BR"/>
        </w:rPr>
        <w:tab/>
      </w:r>
      <w:r w:rsidRPr="00653421">
        <w:fldChar w:fldCharType="begin"/>
      </w:r>
      <w:r w:rsidRPr="00CE7565">
        <w:rPr>
          <w:lang w:val="pt-BR"/>
        </w:rPr>
        <w:instrText xml:space="preserve"> PAGEREF _Toc353470839 \h </w:instrText>
      </w:r>
      <w:r w:rsidRPr="00653421">
        <w:fldChar w:fldCharType="separate"/>
      </w:r>
      <w:r w:rsidR="00CE7565" w:rsidRPr="00CE7565">
        <w:rPr>
          <w:lang w:val="pt-BR"/>
        </w:rPr>
        <w:t>41</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Plataformas</w:t>
      </w:r>
      <w:r w:rsidRPr="00CE7565">
        <w:rPr>
          <w:lang w:val="pt-BR"/>
        </w:rPr>
        <w:tab/>
      </w:r>
      <w:r w:rsidRPr="00653421">
        <w:fldChar w:fldCharType="begin"/>
      </w:r>
      <w:r w:rsidRPr="00CE7565">
        <w:rPr>
          <w:lang w:val="pt-BR"/>
        </w:rPr>
        <w:instrText xml:space="preserve"> PAGEREF _Toc353470840 \h </w:instrText>
      </w:r>
      <w:r w:rsidRPr="00653421">
        <w:fldChar w:fldCharType="separate"/>
      </w:r>
      <w:r w:rsidR="00CE7565" w:rsidRPr="00CE7565">
        <w:rPr>
          <w:lang w:val="pt-BR"/>
        </w:rPr>
        <w:t>44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Definição de Gerenciamento para Dispositivos Qualificados</w:t>
      </w:r>
      <w:r w:rsidRPr="00CE7565">
        <w:rPr>
          <w:lang w:val="pt-BR"/>
        </w:rPr>
        <w:tab/>
      </w:r>
      <w:r w:rsidRPr="00653421">
        <w:fldChar w:fldCharType="begin"/>
      </w:r>
      <w:r w:rsidRPr="00CE7565">
        <w:rPr>
          <w:lang w:val="pt-BR"/>
        </w:rPr>
        <w:instrText xml:space="preserve"> PAGEREF _Toc353470841 \h </w:instrText>
      </w:r>
      <w:r w:rsidRPr="00653421">
        <w:fldChar w:fldCharType="separate"/>
      </w:r>
      <w:r w:rsidR="00CE7565" w:rsidRPr="00CE7565">
        <w:rPr>
          <w:lang w:val="pt-BR"/>
        </w:rPr>
        <w:t>45</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Produtos qualificados para o Desconto de Atualização (UTD)</w:t>
      </w:r>
      <w:r w:rsidRPr="00CE7565">
        <w:rPr>
          <w:lang w:val="pt-BR"/>
        </w:rPr>
        <w:tab/>
      </w:r>
      <w:r w:rsidRPr="00653421">
        <w:fldChar w:fldCharType="begin"/>
      </w:r>
      <w:r w:rsidRPr="00CE7565">
        <w:rPr>
          <w:lang w:val="pt-BR"/>
        </w:rPr>
        <w:instrText xml:space="preserve"> PAGEREF _Toc353470842 \h </w:instrText>
      </w:r>
      <w:r w:rsidRPr="00653421">
        <w:fldChar w:fldCharType="separate"/>
      </w:r>
      <w:r w:rsidR="00CE7565" w:rsidRPr="00CE7565">
        <w:rPr>
          <w:lang w:val="pt-BR"/>
        </w:rPr>
        <w:t>46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Termos de Programa Atualizados dos Contratos Enterprise e Subscription</w:t>
      </w:r>
      <w:r w:rsidRPr="00CE7565">
        <w:rPr>
          <w:lang w:val="pt-BR"/>
        </w:rPr>
        <w:tab/>
      </w:r>
      <w:r w:rsidRPr="00653421">
        <w:fldChar w:fldCharType="begin"/>
      </w:r>
      <w:r w:rsidRPr="00CE7565">
        <w:rPr>
          <w:lang w:val="pt-BR"/>
        </w:rPr>
        <w:instrText xml:space="preserve"> PAGEREF _Toc353470843 \h </w:instrText>
      </w:r>
      <w:r w:rsidRPr="00653421">
        <w:fldChar w:fldCharType="separate"/>
      </w:r>
      <w:r w:rsidR="00CE7565" w:rsidRPr="00CE7565">
        <w:rPr>
          <w:lang w:val="pt-BR"/>
        </w:rPr>
        <w:t>47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Continuidade do Serviço por meio de Prazo Estendido</w:t>
      </w:r>
      <w:r w:rsidRPr="00CE7565">
        <w:rPr>
          <w:lang w:val="pt-BR"/>
        </w:rPr>
        <w:tab/>
      </w:r>
      <w:r w:rsidRPr="00653421">
        <w:fldChar w:fldCharType="begin"/>
      </w:r>
      <w:r w:rsidRPr="00CE7565">
        <w:rPr>
          <w:lang w:val="pt-BR"/>
        </w:rPr>
        <w:instrText xml:space="preserve"> PAGEREF _Toc353470844 \h </w:instrText>
      </w:r>
      <w:r w:rsidRPr="00653421">
        <w:fldChar w:fldCharType="separate"/>
      </w:r>
      <w:r w:rsidR="00CE7565" w:rsidRPr="00CE7565">
        <w:rPr>
          <w:lang w:val="pt-BR"/>
        </w:rPr>
        <w:t>50</w:t>
      </w:r>
      <w:r w:rsidRPr="00653421">
        <w:fldChar w:fldCharType="end"/>
      </w: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t>seção 4 – tipos de licença e valores</w:t>
      </w:r>
      <w:r w:rsidRPr="00CE7565">
        <w:rPr>
          <w:color w:val="auto"/>
          <w:lang w:val="pt-BR"/>
        </w:rPr>
        <w:tab/>
      </w:r>
      <w:r w:rsidRPr="00653421">
        <w:rPr>
          <w:color w:val="auto"/>
        </w:rPr>
        <w:fldChar w:fldCharType="begin"/>
      </w:r>
      <w:r w:rsidRPr="00CE7565">
        <w:rPr>
          <w:color w:val="auto"/>
          <w:lang w:val="pt-BR"/>
        </w:rPr>
        <w:instrText xml:space="preserve"> PAGEREF _Toc353470845 \h </w:instrText>
      </w:r>
      <w:r w:rsidRPr="00653421">
        <w:rPr>
          <w:color w:val="auto"/>
        </w:rPr>
      </w:r>
      <w:r w:rsidRPr="00653421">
        <w:rPr>
          <w:color w:val="auto"/>
        </w:rPr>
        <w:fldChar w:fldCharType="separate"/>
      </w:r>
      <w:r w:rsidR="00CE7565" w:rsidRPr="00CE7565">
        <w:rPr>
          <w:color w:val="auto"/>
          <w:lang w:val="pt-BR"/>
        </w:rPr>
        <w:t>51</w:t>
      </w:r>
      <w:r w:rsidRPr="00653421">
        <w:rPr>
          <w:color w:val="auto"/>
        </w:rPr>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Valores</w:t>
      </w:r>
      <w:r w:rsidRPr="00CE7565">
        <w:rPr>
          <w:lang w:val="pt-BR"/>
        </w:rPr>
        <w:tab/>
      </w:r>
      <w:r w:rsidRPr="00653421">
        <w:fldChar w:fldCharType="begin"/>
      </w:r>
      <w:r w:rsidRPr="00CE7565">
        <w:rPr>
          <w:lang w:val="pt-BR"/>
        </w:rPr>
        <w:instrText xml:space="preserve"> PAGEREF _Toc353470846 \h </w:instrText>
      </w:r>
      <w:r w:rsidRPr="00653421">
        <w:fldChar w:fldCharType="separate"/>
      </w:r>
      <w:r w:rsidR="00CE7565" w:rsidRPr="00CE7565">
        <w:rPr>
          <w:lang w:val="pt-BR"/>
        </w:rPr>
        <w:t>51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w:t>
      </w:r>
      <w:r w:rsidRPr="00CE7565">
        <w:rPr>
          <w:lang w:val="pt-BR"/>
        </w:rPr>
        <w:tab/>
      </w:r>
      <w:r w:rsidRPr="00653421">
        <w:fldChar w:fldCharType="begin"/>
      </w:r>
      <w:r w:rsidRPr="00CE7565">
        <w:rPr>
          <w:lang w:val="pt-BR"/>
        </w:rPr>
        <w:instrText xml:space="preserve"> PAGEREF _Toc353470847 \h </w:instrText>
      </w:r>
      <w:r w:rsidRPr="00653421">
        <w:fldChar w:fldCharType="separate"/>
      </w:r>
      <w:r w:rsidR="00CE7565" w:rsidRPr="00CE7565">
        <w:rPr>
          <w:lang w:val="pt-BR"/>
        </w:rPr>
        <w:t>51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 e Software Assurance</w:t>
      </w:r>
      <w:r w:rsidRPr="00CE7565">
        <w:rPr>
          <w:lang w:val="pt-BR"/>
        </w:rPr>
        <w:tab/>
      </w:r>
      <w:r w:rsidRPr="00653421">
        <w:fldChar w:fldCharType="begin"/>
      </w:r>
      <w:r w:rsidRPr="00CE7565">
        <w:rPr>
          <w:lang w:val="pt-BR"/>
        </w:rPr>
        <w:instrText xml:space="preserve"> PAGEREF _Toc353470848 \h </w:instrText>
      </w:r>
      <w:r w:rsidRPr="00653421">
        <w:fldChar w:fldCharType="separate"/>
      </w:r>
      <w:r w:rsidR="00CE7565" w:rsidRPr="00CE7565">
        <w:rPr>
          <w:lang w:val="pt-BR"/>
        </w:rPr>
        <w:t>51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Software Assurance</w:t>
      </w:r>
      <w:r w:rsidRPr="00653421">
        <w:tab/>
      </w:r>
      <w:r w:rsidRPr="00653421">
        <w:fldChar w:fldCharType="begin"/>
      </w:r>
      <w:r w:rsidRPr="00653421">
        <w:instrText xml:space="preserve"> PAGEREF _Toc353470849 \h </w:instrText>
      </w:r>
      <w:r w:rsidRPr="00653421">
        <w:fldChar w:fldCharType="separate"/>
      </w:r>
      <w:r w:rsidR="00CE7565">
        <w:t>52</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rPr>
        <w:t>Licenças Step-up</w:t>
      </w:r>
      <w:r w:rsidRPr="00653421">
        <w:tab/>
      </w:r>
      <w:r w:rsidRPr="00653421">
        <w:fldChar w:fldCharType="begin"/>
      </w:r>
      <w:r w:rsidRPr="00653421">
        <w:instrText xml:space="preserve"> PAGEREF _Toc353470850 \h </w:instrText>
      </w:r>
      <w:r w:rsidRPr="00653421">
        <w:fldChar w:fldCharType="separate"/>
      </w:r>
      <w:r w:rsidR="00CE7565">
        <w:t>53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Licenças de Assinatura</w:t>
      </w:r>
      <w:r w:rsidRPr="00CE7565">
        <w:rPr>
          <w:lang w:val="pt-BR"/>
        </w:rPr>
        <w:tab/>
      </w:r>
      <w:r w:rsidRPr="00653421">
        <w:fldChar w:fldCharType="begin"/>
      </w:r>
      <w:r w:rsidRPr="00CE7565">
        <w:rPr>
          <w:lang w:val="pt-BR"/>
        </w:rPr>
        <w:instrText xml:space="preserve"> PAGEREF _Toc353470851 \h </w:instrText>
      </w:r>
      <w:r w:rsidRPr="00653421">
        <w:fldChar w:fldCharType="separate"/>
      </w:r>
      <w:r w:rsidR="00CE7565" w:rsidRPr="00CE7565">
        <w:rPr>
          <w:lang w:val="pt-BR"/>
        </w:rPr>
        <w:t>53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Atualização</w:t>
      </w:r>
      <w:r w:rsidRPr="00CE7565">
        <w:rPr>
          <w:lang w:val="pt-BR"/>
        </w:rPr>
        <w:tab/>
      </w:r>
      <w:r w:rsidRPr="00653421">
        <w:fldChar w:fldCharType="begin"/>
      </w:r>
      <w:r w:rsidRPr="00CE7565">
        <w:rPr>
          <w:lang w:val="pt-BR"/>
        </w:rPr>
        <w:instrText xml:space="preserve"> PAGEREF _Toc353470852 \h </w:instrText>
      </w:r>
      <w:r w:rsidRPr="00653421">
        <w:fldChar w:fldCharType="separate"/>
      </w:r>
      <w:r w:rsidR="00CE7565" w:rsidRPr="00CE7565">
        <w:rPr>
          <w:lang w:val="pt-BR"/>
        </w:rPr>
        <w:t>54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Atualização e Software Assurance</w:t>
      </w:r>
      <w:r w:rsidRPr="00CE7565">
        <w:rPr>
          <w:lang w:val="pt-BR"/>
        </w:rPr>
        <w:tab/>
      </w:r>
      <w:r w:rsidRPr="00653421">
        <w:fldChar w:fldCharType="begin"/>
      </w:r>
      <w:r w:rsidRPr="00CE7565">
        <w:rPr>
          <w:lang w:val="pt-BR"/>
        </w:rPr>
        <w:instrText xml:space="preserve"> PAGEREF _Toc353470853 \h </w:instrText>
      </w:r>
      <w:r w:rsidRPr="00653421">
        <w:fldChar w:fldCharType="separate"/>
      </w:r>
      <w:r w:rsidR="00CE7565" w:rsidRPr="00CE7565">
        <w:rPr>
          <w:lang w:val="pt-BR"/>
        </w:rPr>
        <w:t>54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Licenças Work-at-Home</w:t>
      </w:r>
      <w:r w:rsidRPr="00CE7565">
        <w:rPr>
          <w:lang w:val="pt-BR"/>
        </w:rPr>
        <w:tab/>
      </w:r>
      <w:r w:rsidRPr="00653421">
        <w:fldChar w:fldCharType="begin"/>
      </w:r>
      <w:r w:rsidRPr="00CE7565">
        <w:rPr>
          <w:lang w:val="pt-BR"/>
        </w:rPr>
        <w:instrText xml:space="preserve"> PAGEREF _Toc353470854 \h </w:instrText>
      </w:r>
      <w:r w:rsidRPr="00653421">
        <w:fldChar w:fldCharType="separate"/>
      </w:r>
      <w:r w:rsidR="00CE7565" w:rsidRPr="00CE7565">
        <w:rPr>
          <w:lang w:val="pt-BR"/>
        </w:rPr>
        <w:t>54</w:t>
      </w:r>
      <w:r w:rsidRPr="00653421">
        <w:fldChar w:fldCharType="end"/>
      </w: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t>Seção 5 – TERMOS DE PAGAMENTO E PREÇOS DE SERVIÇOS ONLINE</w:t>
      </w:r>
      <w:r w:rsidRPr="00CE7565">
        <w:rPr>
          <w:color w:val="auto"/>
          <w:lang w:val="pt-BR"/>
        </w:rPr>
        <w:tab/>
      </w:r>
      <w:r w:rsidRPr="00653421">
        <w:rPr>
          <w:color w:val="auto"/>
        </w:rPr>
        <w:fldChar w:fldCharType="begin"/>
      </w:r>
      <w:r w:rsidRPr="00CE7565">
        <w:rPr>
          <w:color w:val="auto"/>
          <w:lang w:val="pt-BR"/>
        </w:rPr>
        <w:instrText xml:space="preserve"> PAGEREF _Toc353470855 \h </w:instrText>
      </w:r>
      <w:r w:rsidRPr="00653421">
        <w:rPr>
          <w:color w:val="auto"/>
        </w:rPr>
      </w:r>
      <w:r w:rsidRPr="00653421">
        <w:rPr>
          <w:color w:val="auto"/>
        </w:rPr>
        <w:fldChar w:fldCharType="separate"/>
      </w:r>
      <w:r w:rsidR="00CE7565" w:rsidRPr="00CE7565">
        <w:rPr>
          <w:color w:val="auto"/>
          <w:lang w:val="pt-BR"/>
        </w:rPr>
        <w:t>55</w:t>
      </w:r>
      <w:r w:rsidRPr="00653421">
        <w:rPr>
          <w:color w:val="auto"/>
        </w:rPr>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Prazo da assinatura de Serviços Online</w:t>
      </w:r>
      <w:r w:rsidRPr="00CE7565">
        <w:rPr>
          <w:lang w:val="pt-BR"/>
        </w:rPr>
        <w:tab/>
      </w:r>
      <w:r w:rsidRPr="00653421">
        <w:fldChar w:fldCharType="begin"/>
      </w:r>
      <w:r w:rsidRPr="00CE7565">
        <w:rPr>
          <w:lang w:val="pt-BR"/>
        </w:rPr>
        <w:instrText xml:space="preserve"> PAGEREF _Toc353470856 \h </w:instrText>
      </w:r>
      <w:r w:rsidRPr="00653421">
        <w:fldChar w:fldCharType="separate"/>
      </w:r>
      <w:r w:rsidR="00CE7565" w:rsidRPr="00CE7565">
        <w:rPr>
          <w:lang w:val="pt-BR"/>
        </w:rPr>
        <w:t>55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Compras e renovação automática em Serviços Online</w:t>
      </w:r>
      <w:r w:rsidRPr="00CE7565">
        <w:rPr>
          <w:lang w:val="pt-BR"/>
        </w:rPr>
        <w:tab/>
      </w:r>
      <w:r w:rsidRPr="00653421">
        <w:fldChar w:fldCharType="begin"/>
      </w:r>
      <w:r w:rsidRPr="00CE7565">
        <w:rPr>
          <w:lang w:val="pt-BR"/>
        </w:rPr>
        <w:instrText xml:space="preserve"> PAGEREF _Toc353470857 \h </w:instrText>
      </w:r>
      <w:r w:rsidRPr="00653421">
        <w:fldChar w:fldCharType="separate"/>
      </w:r>
      <w:r w:rsidR="00CE7565" w:rsidRPr="00CE7565">
        <w:rPr>
          <w:lang w:val="pt-BR"/>
        </w:rPr>
        <w:t>56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Gerenciamento do status da renovação e da renovação automática</w:t>
      </w:r>
      <w:r w:rsidRPr="00CE7565">
        <w:rPr>
          <w:lang w:val="pt-BR"/>
        </w:rPr>
        <w:tab/>
      </w:r>
      <w:r w:rsidRPr="00653421">
        <w:fldChar w:fldCharType="begin"/>
      </w:r>
      <w:r w:rsidRPr="00CE7565">
        <w:rPr>
          <w:lang w:val="pt-BR"/>
        </w:rPr>
        <w:instrText xml:space="preserve"> PAGEREF _Toc353470858 \h </w:instrText>
      </w:r>
      <w:r w:rsidRPr="00653421">
        <w:fldChar w:fldCharType="separate"/>
      </w:r>
      <w:r w:rsidR="00CE7565" w:rsidRPr="00CE7565">
        <w:rPr>
          <w:lang w:val="pt-BR"/>
        </w:rPr>
        <w:t>56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Cancelamento de Serviços Online</w:t>
      </w:r>
      <w:r w:rsidRPr="00CE7565">
        <w:rPr>
          <w:lang w:val="pt-BR"/>
        </w:rPr>
        <w:tab/>
      </w:r>
      <w:r w:rsidRPr="00653421">
        <w:fldChar w:fldCharType="begin"/>
      </w:r>
      <w:r w:rsidRPr="00CE7565">
        <w:rPr>
          <w:lang w:val="pt-BR"/>
        </w:rPr>
        <w:instrText xml:space="preserve"> PAGEREF _Toc353470859 \h </w:instrText>
      </w:r>
      <w:r w:rsidRPr="00653421">
        <w:fldChar w:fldCharType="separate"/>
      </w:r>
      <w:r w:rsidR="00CE7565" w:rsidRPr="00CE7565">
        <w:rPr>
          <w:lang w:val="pt-BR"/>
        </w:rPr>
        <w:t>57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Opções de termos de pagamento de Serviços Online</w:t>
      </w:r>
      <w:r w:rsidRPr="00CE7565">
        <w:rPr>
          <w:lang w:val="pt-BR"/>
        </w:rPr>
        <w:tab/>
      </w:r>
      <w:r w:rsidRPr="00653421">
        <w:fldChar w:fldCharType="begin"/>
      </w:r>
      <w:r w:rsidRPr="00CE7565">
        <w:rPr>
          <w:lang w:val="pt-BR"/>
        </w:rPr>
        <w:instrText xml:space="preserve"> PAGEREF _Toc353470860 \h </w:instrText>
      </w:r>
      <w:r w:rsidRPr="00653421">
        <w:fldChar w:fldCharType="separate"/>
      </w:r>
      <w:r w:rsidR="00CE7565" w:rsidRPr="00CE7565">
        <w:rPr>
          <w:lang w:val="pt-BR"/>
        </w:rPr>
        <w:t>57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Requisitos de compra mínima para Serviços Online no Licenciamento por Volume</w:t>
      </w:r>
      <w:r w:rsidRPr="00CE7565">
        <w:rPr>
          <w:lang w:val="pt-BR"/>
        </w:rPr>
        <w:tab/>
      </w:r>
      <w:r w:rsidRPr="00653421">
        <w:fldChar w:fldCharType="begin"/>
      </w:r>
      <w:r w:rsidRPr="00CE7565">
        <w:rPr>
          <w:lang w:val="pt-BR"/>
        </w:rPr>
        <w:instrText xml:space="preserve"> PAGEREF _Toc353470861 \h </w:instrText>
      </w:r>
      <w:r w:rsidRPr="00653421">
        <w:fldChar w:fldCharType="separate"/>
      </w:r>
      <w:r w:rsidR="00CE7565" w:rsidRPr="00CE7565">
        <w:rPr>
          <w:lang w:val="pt-BR"/>
        </w:rPr>
        <w:t>57</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Serviços do Windows Azure</w:t>
      </w:r>
      <w:r w:rsidRPr="00CE7565">
        <w:rPr>
          <w:lang w:val="pt-BR"/>
        </w:rPr>
        <w:tab/>
      </w:r>
      <w:r w:rsidRPr="00653421">
        <w:fldChar w:fldCharType="begin"/>
      </w:r>
      <w:r w:rsidRPr="00CE7565">
        <w:rPr>
          <w:lang w:val="pt-BR"/>
        </w:rPr>
        <w:instrText xml:space="preserve"> PAGEREF _Toc353470862 \h </w:instrText>
      </w:r>
      <w:r w:rsidRPr="00653421">
        <w:fldChar w:fldCharType="separate"/>
      </w:r>
      <w:r w:rsidR="00CE7565" w:rsidRPr="00CE7565">
        <w:rPr>
          <w:lang w:val="pt-BR"/>
        </w:rPr>
        <w:t>57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Disponibilidade Regional dos Serviços Online</w:t>
      </w:r>
      <w:r w:rsidRPr="00CE7565">
        <w:rPr>
          <w:lang w:val="pt-BR"/>
        </w:rPr>
        <w:tab/>
      </w:r>
      <w:r w:rsidRPr="00653421">
        <w:fldChar w:fldCharType="begin"/>
      </w:r>
      <w:r w:rsidRPr="00CE7565">
        <w:rPr>
          <w:lang w:val="pt-BR"/>
        </w:rPr>
        <w:instrText xml:space="preserve"> PAGEREF _Toc353470863 \h </w:instrText>
      </w:r>
      <w:r w:rsidRPr="00653421">
        <w:fldChar w:fldCharType="separate"/>
      </w:r>
      <w:r w:rsidR="00CE7565" w:rsidRPr="00CE7565">
        <w:rPr>
          <w:lang w:val="pt-BR"/>
        </w:rPr>
        <w:t>59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Termos adicionais de Serviços Online</w:t>
      </w:r>
      <w:r w:rsidRPr="00CE7565">
        <w:rPr>
          <w:lang w:val="pt-BR"/>
        </w:rPr>
        <w:tab/>
      </w:r>
      <w:r w:rsidRPr="00653421">
        <w:fldChar w:fldCharType="begin"/>
      </w:r>
      <w:r w:rsidRPr="00CE7565">
        <w:rPr>
          <w:lang w:val="pt-BR"/>
        </w:rPr>
        <w:instrText xml:space="preserve"> PAGEREF _Toc353470864 \h </w:instrText>
      </w:r>
      <w:r w:rsidRPr="00653421">
        <w:fldChar w:fldCharType="separate"/>
      </w:r>
      <w:r w:rsidR="00CE7565" w:rsidRPr="00CE7565">
        <w:rPr>
          <w:lang w:val="pt-BR"/>
        </w:rPr>
        <w:t>59</w:t>
      </w:r>
      <w:r w:rsidRPr="00653421">
        <w:fldChar w:fldCharType="end"/>
      </w: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t>SEÇÃO 6 – regras de renovação DO Software Assurance</w:t>
      </w:r>
      <w:r w:rsidRPr="00CE7565">
        <w:rPr>
          <w:color w:val="auto"/>
          <w:lang w:val="pt-BR"/>
        </w:rPr>
        <w:tab/>
      </w:r>
      <w:r w:rsidRPr="00653421">
        <w:rPr>
          <w:color w:val="auto"/>
        </w:rPr>
        <w:fldChar w:fldCharType="begin"/>
      </w:r>
      <w:r w:rsidRPr="00CE7565">
        <w:rPr>
          <w:color w:val="auto"/>
          <w:lang w:val="pt-BR"/>
        </w:rPr>
        <w:instrText xml:space="preserve"> PAGEREF _Toc353470865 \h </w:instrText>
      </w:r>
      <w:r w:rsidRPr="00653421">
        <w:rPr>
          <w:color w:val="auto"/>
        </w:rPr>
      </w:r>
      <w:r w:rsidRPr="00653421">
        <w:rPr>
          <w:color w:val="auto"/>
        </w:rPr>
        <w:fldChar w:fldCharType="separate"/>
      </w:r>
      <w:r w:rsidR="00CE7565" w:rsidRPr="00CE7565">
        <w:rPr>
          <w:color w:val="auto"/>
          <w:lang w:val="pt-BR"/>
        </w:rPr>
        <w:t>60</w:t>
      </w:r>
      <w:r w:rsidRPr="00653421">
        <w:rPr>
          <w:color w:val="auto"/>
        </w:rPr>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rFonts w:cs="Tahoma"/>
          <w:noProof/>
          <w:lang w:val="pt-BR"/>
        </w:rPr>
        <w:t>Licença Open</w:t>
      </w:r>
      <w:r w:rsidRPr="00CE7565">
        <w:rPr>
          <w:noProof/>
          <w:lang w:val="pt-BR"/>
        </w:rPr>
        <w:tab/>
      </w:r>
      <w:r w:rsidRPr="00653421">
        <w:rPr>
          <w:noProof/>
        </w:rPr>
        <w:fldChar w:fldCharType="begin"/>
      </w:r>
      <w:r w:rsidRPr="00CE7565">
        <w:rPr>
          <w:noProof/>
          <w:lang w:val="pt-BR"/>
        </w:rPr>
        <w:instrText xml:space="preserve"> PAGEREF _Toc353470866 \h </w:instrText>
      </w:r>
      <w:r w:rsidRPr="00653421">
        <w:rPr>
          <w:noProof/>
        </w:rPr>
      </w:r>
      <w:r w:rsidRPr="00653421">
        <w:rPr>
          <w:noProof/>
        </w:rPr>
        <w:fldChar w:fldCharType="separate"/>
      </w:r>
      <w:r w:rsidR="00CE7565" w:rsidRPr="00CE7565">
        <w:rPr>
          <w:noProof/>
          <w:lang w:val="pt-BR"/>
        </w:rPr>
        <w:t>60</w:t>
      </w:r>
      <w:r w:rsidRPr="00653421">
        <w:rPr>
          <w:noProof/>
        </w:rPr>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rFonts w:cs="Tahoma"/>
          <w:noProof/>
          <w:lang w:val="pt-BR"/>
        </w:rPr>
        <w:t>Open Value 20xx</w:t>
      </w:r>
      <w:r w:rsidRPr="00CE7565">
        <w:rPr>
          <w:noProof/>
          <w:lang w:val="pt-BR"/>
        </w:rPr>
        <w:tab/>
      </w:r>
      <w:r w:rsidRPr="00653421">
        <w:rPr>
          <w:noProof/>
        </w:rPr>
        <w:fldChar w:fldCharType="begin"/>
      </w:r>
      <w:r w:rsidRPr="00CE7565">
        <w:rPr>
          <w:noProof/>
          <w:lang w:val="pt-BR"/>
        </w:rPr>
        <w:instrText xml:space="preserve"> PAGEREF _Toc353470867 \h </w:instrText>
      </w:r>
      <w:r w:rsidRPr="00653421">
        <w:rPr>
          <w:noProof/>
        </w:rPr>
      </w:r>
      <w:r w:rsidRPr="00653421">
        <w:rPr>
          <w:noProof/>
        </w:rPr>
        <w:fldChar w:fldCharType="separate"/>
      </w:r>
      <w:r w:rsidR="00CE7565" w:rsidRPr="00CE7565">
        <w:rPr>
          <w:noProof/>
          <w:lang w:val="pt-BR"/>
        </w:rPr>
        <w:t>60</w:t>
      </w:r>
      <w:r w:rsidRPr="00653421">
        <w:rPr>
          <w:noProof/>
        </w:rPr>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rFonts w:cs="Tahoma"/>
          <w:noProof/>
          <w:lang w:val="pt-BR"/>
        </w:rPr>
        <w:t>Select 20xx</w:t>
      </w:r>
      <w:r w:rsidRPr="00CE7565">
        <w:rPr>
          <w:noProof/>
          <w:lang w:val="pt-BR"/>
        </w:rPr>
        <w:tab/>
      </w:r>
      <w:r w:rsidRPr="00653421">
        <w:rPr>
          <w:noProof/>
        </w:rPr>
        <w:fldChar w:fldCharType="begin"/>
      </w:r>
      <w:r w:rsidRPr="00CE7565">
        <w:rPr>
          <w:noProof/>
          <w:lang w:val="pt-BR"/>
        </w:rPr>
        <w:instrText xml:space="preserve"> PAGEREF _Toc353470868 \h </w:instrText>
      </w:r>
      <w:r w:rsidRPr="00653421">
        <w:rPr>
          <w:noProof/>
        </w:rPr>
      </w:r>
      <w:r w:rsidRPr="00653421">
        <w:rPr>
          <w:noProof/>
        </w:rPr>
        <w:fldChar w:fldCharType="separate"/>
      </w:r>
      <w:r w:rsidR="00CE7565" w:rsidRPr="00CE7565">
        <w:rPr>
          <w:noProof/>
          <w:lang w:val="pt-BR"/>
        </w:rPr>
        <w:t>60</w:t>
      </w:r>
      <w:r w:rsidRPr="00653421">
        <w:rPr>
          <w:noProof/>
        </w:rPr>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noProof/>
          <w:lang w:val="pt-BR"/>
        </w:rPr>
        <w:t>Renovação da Cobertura sob o Mesmo Contrato</w:t>
      </w:r>
      <w:r w:rsidRPr="00CE7565">
        <w:rPr>
          <w:noProof/>
          <w:lang w:val="pt-BR"/>
        </w:rPr>
        <w:tab/>
      </w:r>
      <w:r w:rsidRPr="00653421">
        <w:rPr>
          <w:noProof/>
        </w:rPr>
        <w:fldChar w:fldCharType="begin"/>
      </w:r>
      <w:r w:rsidRPr="00CE7565">
        <w:rPr>
          <w:noProof/>
          <w:lang w:val="pt-BR"/>
        </w:rPr>
        <w:instrText xml:space="preserve"> PAGEREF _Toc353470869 \h </w:instrText>
      </w:r>
      <w:r w:rsidRPr="00653421">
        <w:rPr>
          <w:noProof/>
        </w:rPr>
      </w:r>
      <w:r w:rsidRPr="00653421">
        <w:rPr>
          <w:noProof/>
        </w:rPr>
        <w:fldChar w:fldCharType="separate"/>
      </w:r>
      <w:r w:rsidR="00CE7565" w:rsidRPr="00CE7565">
        <w:rPr>
          <w:noProof/>
          <w:lang w:val="pt-BR"/>
        </w:rPr>
        <w:t>60</w:t>
      </w:r>
      <w:r w:rsidRPr="00653421">
        <w:rPr>
          <w:noProof/>
        </w:rPr>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noProof/>
          <w:lang w:val="pt-BR"/>
        </w:rPr>
        <w:t>Renovação da Cobertura a partir de um Contrato Separado</w:t>
      </w:r>
      <w:r w:rsidRPr="00CE7565">
        <w:rPr>
          <w:noProof/>
          <w:lang w:val="pt-BR"/>
        </w:rPr>
        <w:tab/>
      </w:r>
      <w:r w:rsidRPr="00653421">
        <w:rPr>
          <w:noProof/>
        </w:rPr>
        <w:fldChar w:fldCharType="begin"/>
      </w:r>
      <w:r w:rsidRPr="00CE7565">
        <w:rPr>
          <w:noProof/>
          <w:lang w:val="pt-BR"/>
        </w:rPr>
        <w:instrText xml:space="preserve"> PAGEREF _Toc353470870 \h </w:instrText>
      </w:r>
      <w:r w:rsidRPr="00653421">
        <w:rPr>
          <w:noProof/>
        </w:rPr>
      </w:r>
      <w:r w:rsidRPr="00653421">
        <w:rPr>
          <w:noProof/>
        </w:rPr>
        <w:fldChar w:fldCharType="separate"/>
      </w:r>
      <w:r w:rsidR="00CE7565" w:rsidRPr="00CE7565">
        <w:rPr>
          <w:noProof/>
          <w:lang w:val="pt-BR"/>
        </w:rPr>
        <w:t>61</w:t>
      </w:r>
      <w:r w:rsidRPr="00653421">
        <w:rPr>
          <w:noProof/>
        </w:rPr>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rFonts w:cs="Tahoma"/>
          <w:noProof/>
          <w:lang w:val="pt-BR"/>
        </w:rPr>
        <w:t>Select Plus 20xx</w:t>
      </w:r>
      <w:r w:rsidRPr="00CE7565">
        <w:rPr>
          <w:noProof/>
          <w:lang w:val="pt-BR"/>
        </w:rPr>
        <w:tab/>
      </w:r>
      <w:r w:rsidRPr="00653421">
        <w:rPr>
          <w:noProof/>
        </w:rPr>
        <w:fldChar w:fldCharType="begin"/>
      </w:r>
      <w:r w:rsidRPr="00CE7565">
        <w:rPr>
          <w:noProof/>
          <w:lang w:val="pt-BR"/>
        </w:rPr>
        <w:instrText xml:space="preserve"> PAGEREF _Toc353470871 \h </w:instrText>
      </w:r>
      <w:r w:rsidRPr="00653421">
        <w:rPr>
          <w:noProof/>
        </w:rPr>
      </w:r>
      <w:r w:rsidRPr="00653421">
        <w:rPr>
          <w:noProof/>
        </w:rPr>
        <w:fldChar w:fldCharType="separate"/>
      </w:r>
      <w:r w:rsidR="00CE7565" w:rsidRPr="00CE7565">
        <w:rPr>
          <w:noProof/>
          <w:lang w:val="pt-BR"/>
        </w:rPr>
        <w:t>61</w:t>
      </w:r>
      <w:r w:rsidRPr="00653421">
        <w:rPr>
          <w:noProof/>
        </w:rPr>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rFonts w:cs="Tahoma"/>
          <w:noProof/>
          <w:lang w:val="pt-BR"/>
        </w:rPr>
        <w:t>Contrato Enterprise 2011 ou versões posteriores</w:t>
      </w:r>
      <w:r w:rsidRPr="00CE7565">
        <w:rPr>
          <w:noProof/>
          <w:lang w:val="pt-BR"/>
        </w:rPr>
        <w:tab/>
      </w:r>
      <w:r w:rsidRPr="00653421">
        <w:rPr>
          <w:noProof/>
        </w:rPr>
        <w:fldChar w:fldCharType="begin"/>
      </w:r>
      <w:r w:rsidRPr="00CE7565">
        <w:rPr>
          <w:noProof/>
          <w:lang w:val="pt-BR"/>
        </w:rPr>
        <w:instrText xml:space="preserve"> PAGEREF _Toc353470872 \h </w:instrText>
      </w:r>
      <w:r w:rsidRPr="00653421">
        <w:rPr>
          <w:noProof/>
        </w:rPr>
      </w:r>
      <w:r w:rsidRPr="00653421">
        <w:rPr>
          <w:noProof/>
        </w:rPr>
        <w:fldChar w:fldCharType="separate"/>
      </w:r>
      <w:r w:rsidR="00CE7565" w:rsidRPr="00CE7565">
        <w:rPr>
          <w:noProof/>
          <w:lang w:val="pt-BR"/>
        </w:rPr>
        <w:t>61</w:t>
      </w:r>
      <w:r w:rsidRPr="00653421">
        <w:rPr>
          <w:noProof/>
        </w:rPr>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rFonts w:cs="Tahoma"/>
          <w:noProof/>
          <w:lang w:val="pt-BR"/>
        </w:rPr>
        <w:t>Contrato Enterprise Pré-2011</w:t>
      </w:r>
      <w:r w:rsidRPr="00CE7565">
        <w:rPr>
          <w:noProof/>
          <w:lang w:val="pt-BR"/>
        </w:rPr>
        <w:tab/>
      </w:r>
      <w:r w:rsidRPr="00653421">
        <w:rPr>
          <w:noProof/>
        </w:rPr>
        <w:fldChar w:fldCharType="begin"/>
      </w:r>
      <w:r w:rsidRPr="00CE7565">
        <w:rPr>
          <w:noProof/>
          <w:lang w:val="pt-BR"/>
        </w:rPr>
        <w:instrText xml:space="preserve"> PAGEREF _Toc353470873 \h </w:instrText>
      </w:r>
      <w:r w:rsidRPr="00653421">
        <w:rPr>
          <w:noProof/>
        </w:rPr>
      </w:r>
      <w:r w:rsidRPr="00653421">
        <w:rPr>
          <w:noProof/>
        </w:rPr>
        <w:fldChar w:fldCharType="separate"/>
      </w:r>
      <w:r w:rsidR="00CE7565" w:rsidRPr="00CE7565">
        <w:rPr>
          <w:noProof/>
          <w:lang w:val="pt-BR"/>
        </w:rPr>
        <w:t>62</w:t>
      </w:r>
      <w:r w:rsidRPr="00653421">
        <w:rPr>
          <w:noProof/>
        </w:rPr>
        <w:fldChar w:fldCharType="end"/>
      </w:r>
    </w:p>
    <w:p w:rsidR="00554623" w:rsidRPr="00CE7565" w:rsidRDefault="00554623">
      <w:pPr>
        <w:pStyle w:val="TOC4"/>
        <w:rPr>
          <w:rFonts w:asciiTheme="minorHAnsi" w:eastAsiaTheme="minorEastAsia" w:hAnsiTheme="minorHAnsi" w:cstheme="minorBidi"/>
          <w:noProof/>
          <w:sz w:val="22"/>
          <w:szCs w:val="22"/>
          <w:lang w:val="pt-BR"/>
        </w:rPr>
      </w:pPr>
      <w:r w:rsidRPr="00CE7565">
        <w:rPr>
          <w:rFonts w:cs="Tahoma"/>
          <w:noProof/>
          <w:lang w:val="pt-BR"/>
        </w:rPr>
        <w:t>Renovação entre programas</w:t>
      </w:r>
      <w:r w:rsidRPr="00CE7565">
        <w:rPr>
          <w:noProof/>
          <w:lang w:val="pt-BR"/>
        </w:rPr>
        <w:tab/>
      </w:r>
      <w:r w:rsidRPr="00653421">
        <w:rPr>
          <w:noProof/>
        </w:rPr>
        <w:fldChar w:fldCharType="begin"/>
      </w:r>
      <w:r w:rsidRPr="00CE7565">
        <w:rPr>
          <w:noProof/>
          <w:lang w:val="pt-BR"/>
        </w:rPr>
        <w:instrText xml:space="preserve"> PAGEREF _Toc353470874 \h </w:instrText>
      </w:r>
      <w:r w:rsidRPr="00653421">
        <w:rPr>
          <w:noProof/>
        </w:rPr>
      </w:r>
      <w:r w:rsidRPr="00653421">
        <w:rPr>
          <w:noProof/>
        </w:rPr>
        <w:fldChar w:fldCharType="separate"/>
      </w:r>
      <w:r w:rsidR="00CE7565" w:rsidRPr="00CE7565">
        <w:rPr>
          <w:noProof/>
          <w:lang w:val="pt-BR"/>
        </w:rPr>
        <w:t>62</w:t>
      </w:r>
      <w:r w:rsidRPr="00653421">
        <w:rPr>
          <w:noProof/>
        </w:rPr>
        <w:fldChar w:fldCharType="end"/>
      </w:r>
    </w:p>
    <w:p w:rsidR="00FB6AC4" w:rsidRPr="00CE7565" w:rsidRDefault="00FB6AC4">
      <w:pPr>
        <w:pStyle w:val="TOC1"/>
        <w:rPr>
          <w:color w:val="auto"/>
          <w:lang w:val="pt-BR"/>
        </w:rPr>
      </w:pPr>
    </w:p>
    <w:p w:rsidR="00FB6AC4" w:rsidRPr="00CE7565" w:rsidRDefault="00FB6AC4">
      <w:pPr>
        <w:pStyle w:val="TOC1"/>
        <w:rPr>
          <w:color w:val="auto"/>
          <w:lang w:val="pt-BR"/>
        </w:rPr>
      </w:pPr>
    </w:p>
    <w:p w:rsidR="00FB6AC4" w:rsidRPr="00CE7565" w:rsidRDefault="00FB6AC4">
      <w:pPr>
        <w:pStyle w:val="TOC1"/>
        <w:rPr>
          <w:color w:val="auto"/>
          <w:lang w:val="pt-BR"/>
        </w:rPr>
      </w:pP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lastRenderedPageBreak/>
        <w:t>SEÇÃO 7 – BENEFÍCIOS DO software assurance (SA) e</w:t>
      </w:r>
      <w:r w:rsidR="00114366" w:rsidRPr="00CE7565">
        <w:rPr>
          <w:color w:val="auto"/>
          <w:lang w:val="pt-BR"/>
        </w:rPr>
        <w:t> </w:t>
      </w:r>
      <w:r w:rsidRPr="00CE7565">
        <w:rPr>
          <w:color w:val="auto"/>
          <w:lang w:val="pt-BR"/>
        </w:rPr>
        <w:t>Benefícios</w:t>
      </w:r>
      <w:r w:rsidR="00114366" w:rsidRPr="00CE7565">
        <w:rPr>
          <w:color w:val="auto"/>
          <w:lang w:val="pt-BR"/>
        </w:rPr>
        <w:t> </w:t>
      </w:r>
      <w:r w:rsidRPr="00CE7565">
        <w:rPr>
          <w:color w:val="auto"/>
          <w:lang w:val="pt-BR"/>
        </w:rPr>
        <w:t>dos</w:t>
      </w:r>
      <w:r w:rsidR="00114366" w:rsidRPr="00CE7565">
        <w:rPr>
          <w:color w:val="auto"/>
          <w:lang w:val="pt-BR"/>
        </w:rPr>
        <w:t> </w:t>
      </w:r>
      <w:r w:rsidRPr="00CE7565">
        <w:rPr>
          <w:color w:val="auto"/>
          <w:lang w:val="pt-BR"/>
        </w:rPr>
        <w:t>Serviços Online (OLS)</w:t>
      </w:r>
      <w:r w:rsidRPr="00CE7565">
        <w:rPr>
          <w:color w:val="auto"/>
          <w:lang w:val="pt-BR"/>
        </w:rPr>
        <w:tab/>
      </w:r>
      <w:r w:rsidRPr="00653421">
        <w:rPr>
          <w:color w:val="auto"/>
        </w:rPr>
        <w:fldChar w:fldCharType="begin"/>
      </w:r>
      <w:r w:rsidRPr="00CE7565">
        <w:rPr>
          <w:color w:val="auto"/>
          <w:lang w:val="pt-BR"/>
        </w:rPr>
        <w:instrText xml:space="preserve"> PAGEREF _Toc353470875 \h </w:instrText>
      </w:r>
      <w:r w:rsidRPr="00653421">
        <w:rPr>
          <w:color w:val="auto"/>
        </w:rPr>
      </w:r>
      <w:r w:rsidRPr="00653421">
        <w:rPr>
          <w:color w:val="auto"/>
        </w:rPr>
        <w:fldChar w:fldCharType="separate"/>
      </w:r>
      <w:r w:rsidR="00CE7565" w:rsidRPr="00CE7565">
        <w:rPr>
          <w:color w:val="auto"/>
          <w:lang w:val="pt-BR"/>
        </w:rPr>
        <w:t>63</w:t>
      </w:r>
      <w:r w:rsidRPr="00653421">
        <w:rPr>
          <w:color w:val="auto"/>
        </w:rPr>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lang w:val="pt-BR"/>
        </w:rPr>
        <w:t>Direitos à Nova Versão</w:t>
      </w:r>
      <w:r w:rsidRPr="00CE7565">
        <w:rPr>
          <w:lang w:val="pt-BR"/>
        </w:rPr>
        <w:tab/>
      </w:r>
      <w:r w:rsidRPr="00653421">
        <w:fldChar w:fldCharType="begin"/>
      </w:r>
      <w:r w:rsidRPr="00CE7565">
        <w:rPr>
          <w:lang w:val="pt-BR"/>
        </w:rPr>
        <w:instrText xml:space="preserve"> PAGEREF _Toc353470876 \h </w:instrText>
      </w:r>
      <w:r w:rsidRPr="00653421">
        <w:fldChar w:fldCharType="separate"/>
      </w:r>
      <w:r w:rsidR="00CE7565" w:rsidRPr="00CE7565">
        <w:rPr>
          <w:lang w:val="pt-BR"/>
        </w:rPr>
        <w:t>65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lang w:val="pt-BR"/>
        </w:rPr>
        <w:t>Pacote Multilíngue do Office</w:t>
      </w:r>
      <w:r w:rsidRPr="00CE7565">
        <w:rPr>
          <w:lang w:val="pt-BR"/>
        </w:rPr>
        <w:tab/>
      </w:r>
      <w:r w:rsidRPr="00653421">
        <w:fldChar w:fldCharType="begin"/>
      </w:r>
      <w:r w:rsidRPr="00CE7565">
        <w:rPr>
          <w:lang w:val="pt-BR"/>
        </w:rPr>
        <w:instrText xml:space="preserve"> PAGEREF _Toc353470877 \h </w:instrText>
      </w:r>
      <w:r w:rsidRPr="00653421">
        <w:fldChar w:fldCharType="separate"/>
      </w:r>
      <w:r w:rsidR="00CE7565" w:rsidRPr="00CE7565">
        <w:rPr>
          <w:lang w:val="pt-BR"/>
        </w:rPr>
        <w:t>65</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Windows 8 Enterprise</w:t>
      </w:r>
      <w:r w:rsidRPr="00653421">
        <w:tab/>
      </w:r>
      <w:r w:rsidRPr="00653421">
        <w:fldChar w:fldCharType="begin"/>
      </w:r>
      <w:r w:rsidRPr="00653421">
        <w:instrText xml:space="preserve"> PAGEREF _Toc353470878 \h </w:instrText>
      </w:r>
      <w:r w:rsidRPr="00653421">
        <w:fldChar w:fldCharType="separate"/>
      </w:r>
      <w:r w:rsidR="00CE7565">
        <w:t>70</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Windows 8 Enterprise Sideloading</w:t>
      </w:r>
      <w:r w:rsidRPr="00653421">
        <w:tab/>
      </w:r>
      <w:r w:rsidRPr="00653421">
        <w:fldChar w:fldCharType="begin"/>
      </w:r>
      <w:r w:rsidRPr="00653421">
        <w:instrText xml:space="preserve"> PAGEREF _Toc353470879 \h </w:instrText>
      </w:r>
      <w:r w:rsidRPr="00653421">
        <w:fldChar w:fldCharType="separate"/>
      </w:r>
      <w:r w:rsidR="00CE7565">
        <w:t>70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Licença de Assinatura do Windows Companion</w:t>
      </w:r>
      <w:r w:rsidRPr="00CE7565">
        <w:rPr>
          <w:lang w:val="pt-BR"/>
        </w:rPr>
        <w:tab/>
      </w:r>
      <w:r w:rsidRPr="00653421">
        <w:fldChar w:fldCharType="begin"/>
      </w:r>
      <w:r w:rsidRPr="00CE7565">
        <w:rPr>
          <w:lang w:val="pt-BR"/>
        </w:rPr>
        <w:instrText xml:space="preserve"> PAGEREF _Toc353470880 \h </w:instrText>
      </w:r>
      <w:r w:rsidRPr="00653421">
        <w:fldChar w:fldCharType="separate"/>
      </w:r>
      <w:r w:rsidR="00CE7565" w:rsidRPr="00CE7565">
        <w:rPr>
          <w:lang w:val="pt-BR"/>
        </w:rPr>
        <w:t>70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Cupons de Treinamento</w:t>
      </w:r>
      <w:r w:rsidRPr="00CE7565">
        <w:rPr>
          <w:lang w:val="pt-BR"/>
        </w:rPr>
        <w:tab/>
      </w:r>
      <w:r w:rsidRPr="00653421">
        <w:fldChar w:fldCharType="begin"/>
      </w:r>
      <w:r w:rsidRPr="00CE7565">
        <w:rPr>
          <w:lang w:val="pt-BR"/>
        </w:rPr>
        <w:instrText xml:space="preserve"> PAGEREF _Toc353470881 \h </w:instrText>
      </w:r>
      <w:r w:rsidRPr="00653421">
        <w:fldChar w:fldCharType="separate"/>
      </w:r>
      <w:r w:rsidR="00CE7565" w:rsidRPr="00CE7565">
        <w:rPr>
          <w:lang w:val="pt-BR"/>
        </w:rPr>
        <w:t>71</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E-Learning</w:t>
      </w:r>
      <w:r w:rsidRPr="00CE7565">
        <w:rPr>
          <w:lang w:val="pt-BR"/>
        </w:rPr>
        <w:tab/>
      </w:r>
      <w:r w:rsidRPr="00653421">
        <w:fldChar w:fldCharType="begin"/>
      </w:r>
      <w:r w:rsidRPr="00CE7565">
        <w:rPr>
          <w:lang w:val="pt-BR"/>
        </w:rPr>
        <w:instrText xml:space="preserve"> PAGEREF _Toc353470882 \h </w:instrText>
      </w:r>
      <w:r w:rsidRPr="00653421">
        <w:fldChar w:fldCharType="separate"/>
      </w:r>
      <w:r w:rsidR="00CE7565" w:rsidRPr="00CE7565">
        <w:rPr>
          <w:lang w:val="pt-BR"/>
        </w:rPr>
        <w:t>73</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Home Use Program</w:t>
      </w:r>
      <w:r w:rsidRPr="00CE7565">
        <w:rPr>
          <w:lang w:val="pt-BR"/>
        </w:rPr>
        <w:tab/>
      </w:r>
      <w:r w:rsidRPr="00653421">
        <w:fldChar w:fldCharType="begin"/>
      </w:r>
      <w:r w:rsidRPr="00CE7565">
        <w:rPr>
          <w:lang w:val="pt-BR"/>
        </w:rPr>
        <w:instrText xml:space="preserve"> PAGEREF _Toc353470883 \h </w:instrText>
      </w:r>
      <w:r w:rsidRPr="00653421">
        <w:fldChar w:fldCharType="separate"/>
      </w:r>
      <w:r w:rsidR="00CE7565" w:rsidRPr="00CE7565">
        <w:rPr>
          <w:lang w:val="pt-BR"/>
        </w:rPr>
        <w:t>74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Suporte para Resolução de Problemas 24x7</w:t>
      </w:r>
      <w:r w:rsidRPr="00CE7565">
        <w:rPr>
          <w:lang w:val="pt-BR"/>
        </w:rPr>
        <w:tab/>
      </w:r>
      <w:r w:rsidRPr="00653421">
        <w:fldChar w:fldCharType="begin"/>
      </w:r>
      <w:r w:rsidRPr="00CE7565">
        <w:rPr>
          <w:lang w:val="pt-BR"/>
        </w:rPr>
        <w:instrText xml:space="preserve"> PAGEREF _Toc353470884 \h </w:instrText>
      </w:r>
      <w:r w:rsidRPr="00653421">
        <w:fldChar w:fldCharType="separate"/>
      </w:r>
      <w:r w:rsidR="00CE7565" w:rsidRPr="00CE7565">
        <w:rPr>
          <w:lang w:val="pt-BR"/>
        </w:rPr>
        <w:t>76</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Suporte para Resolução de Problemas 24x7 Ilimitado</w:t>
      </w:r>
      <w:r w:rsidRPr="00CE7565">
        <w:rPr>
          <w:lang w:val="pt-BR"/>
        </w:rPr>
        <w:tab/>
      </w:r>
      <w:r w:rsidRPr="00653421">
        <w:fldChar w:fldCharType="begin"/>
      </w:r>
      <w:r w:rsidRPr="00CE7565">
        <w:rPr>
          <w:lang w:val="pt-BR"/>
        </w:rPr>
        <w:instrText xml:space="preserve"> PAGEREF _Toc353470885 \h </w:instrText>
      </w:r>
      <w:r w:rsidRPr="00653421">
        <w:fldChar w:fldCharType="separate"/>
      </w:r>
      <w:r w:rsidR="00CE7565" w:rsidRPr="00CE7565">
        <w:rPr>
          <w:lang w:val="pt-BR"/>
        </w:rPr>
        <w:t>81</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System Center Advisor</w:t>
      </w:r>
      <w:r w:rsidRPr="00CE7565">
        <w:rPr>
          <w:lang w:val="pt-BR"/>
        </w:rPr>
        <w:tab/>
      </w:r>
      <w:r w:rsidRPr="00653421">
        <w:fldChar w:fldCharType="begin"/>
      </w:r>
      <w:r w:rsidRPr="00CE7565">
        <w:rPr>
          <w:lang w:val="pt-BR"/>
        </w:rPr>
        <w:instrText xml:space="preserve"> PAGEREF _Toc353470886 \h </w:instrText>
      </w:r>
      <w:r w:rsidRPr="00653421">
        <w:fldChar w:fldCharType="separate"/>
      </w:r>
      <w:r w:rsidR="00CE7565" w:rsidRPr="00CE7565">
        <w:rPr>
          <w:lang w:val="pt-BR"/>
        </w:rPr>
        <w:t>83</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Backup Passivo para Recuperação de Desastres</w:t>
      </w:r>
      <w:r w:rsidRPr="00CE7565">
        <w:rPr>
          <w:lang w:val="pt-BR"/>
        </w:rPr>
        <w:tab/>
      </w:r>
      <w:r w:rsidRPr="00653421">
        <w:fldChar w:fldCharType="begin"/>
      </w:r>
      <w:r w:rsidRPr="00CE7565">
        <w:rPr>
          <w:lang w:val="pt-BR"/>
        </w:rPr>
        <w:instrText xml:space="preserve"> PAGEREF _Toc353470887 \h </w:instrText>
      </w:r>
      <w:r w:rsidRPr="00653421">
        <w:fldChar w:fldCharType="separate"/>
      </w:r>
      <w:r w:rsidR="00CE7565" w:rsidRPr="00CE7565">
        <w:rPr>
          <w:lang w:val="pt-BR"/>
        </w:rPr>
        <w:t>84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Serviços de Assinatura do TechNet SA</w:t>
      </w:r>
      <w:r w:rsidRPr="00CE7565">
        <w:rPr>
          <w:lang w:val="pt-BR"/>
        </w:rPr>
        <w:tab/>
      </w:r>
      <w:r w:rsidRPr="00653421">
        <w:fldChar w:fldCharType="begin"/>
      </w:r>
      <w:r w:rsidRPr="00CE7565">
        <w:rPr>
          <w:lang w:val="pt-BR"/>
        </w:rPr>
        <w:instrText xml:space="preserve"> PAGEREF _Toc353470888 \h </w:instrText>
      </w:r>
      <w:r w:rsidRPr="00653421">
        <w:fldChar w:fldCharType="separate"/>
      </w:r>
      <w:r w:rsidR="00CE7565" w:rsidRPr="00CE7565">
        <w:rPr>
          <w:lang w:val="pt-BR"/>
        </w:rPr>
        <w:t>85</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TechNet Plus Direct</w:t>
      </w:r>
      <w:r w:rsidRPr="00CE7565">
        <w:rPr>
          <w:lang w:val="pt-BR"/>
        </w:rPr>
        <w:tab/>
      </w:r>
      <w:r w:rsidRPr="00653421">
        <w:fldChar w:fldCharType="begin"/>
      </w:r>
      <w:r w:rsidRPr="00CE7565">
        <w:rPr>
          <w:lang w:val="pt-BR"/>
        </w:rPr>
        <w:instrText xml:space="preserve"> PAGEREF _Toc353470889 \h </w:instrText>
      </w:r>
      <w:r w:rsidRPr="00653421">
        <w:fldChar w:fldCharType="separate"/>
      </w:r>
      <w:r w:rsidR="00CE7565" w:rsidRPr="00CE7565">
        <w:rPr>
          <w:lang w:val="pt-BR"/>
        </w:rPr>
        <w:t>85</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Mobilidade de Licença por meio do Software Assurance.</w:t>
      </w:r>
      <w:r w:rsidRPr="00CE7565">
        <w:rPr>
          <w:lang w:val="pt-BR"/>
        </w:rPr>
        <w:tab/>
      </w:r>
      <w:r w:rsidRPr="00653421">
        <w:fldChar w:fldCharType="begin"/>
      </w:r>
      <w:r w:rsidRPr="00CE7565">
        <w:rPr>
          <w:lang w:val="pt-BR"/>
        </w:rPr>
        <w:instrText xml:space="preserve"> PAGEREF _Toc353470890 \h </w:instrText>
      </w:r>
      <w:r w:rsidRPr="00653421">
        <w:fldChar w:fldCharType="separate"/>
      </w:r>
      <w:r w:rsidR="00CE7565" w:rsidRPr="00CE7565">
        <w:rPr>
          <w:lang w:val="pt-BR"/>
        </w:rPr>
        <w:t>86</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Windows Thin PC</w:t>
      </w:r>
      <w:r w:rsidRPr="00653421">
        <w:tab/>
      </w:r>
      <w:r w:rsidRPr="00653421">
        <w:fldChar w:fldCharType="begin"/>
      </w:r>
      <w:r w:rsidRPr="00653421">
        <w:instrText xml:space="preserve"> PAGEREF _Toc353470891 \h </w:instrText>
      </w:r>
      <w:r w:rsidRPr="00653421">
        <w:fldChar w:fldCharType="separate"/>
      </w:r>
      <w:r w:rsidR="00CE7565">
        <w:t>87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t>Microsoft Desktop Optimization Pack para Software Assurance</w:t>
      </w:r>
      <w:r w:rsidRPr="00653421">
        <w:tab/>
      </w:r>
      <w:r w:rsidRPr="00653421">
        <w:fldChar w:fldCharType="begin"/>
      </w:r>
      <w:r w:rsidRPr="00653421">
        <w:instrText xml:space="preserve"> PAGEREF _Toc353470892 \h </w:instrText>
      </w:r>
      <w:r w:rsidRPr="00653421">
        <w:fldChar w:fldCharType="separate"/>
      </w:r>
      <w:r w:rsidR="00CE7565">
        <w:t>88</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Direitos do Windows Virtual Desktop Access (VDA)</w:t>
      </w:r>
      <w:r w:rsidRPr="00CE7565">
        <w:rPr>
          <w:lang w:val="pt-BR"/>
        </w:rPr>
        <w:tab/>
      </w:r>
      <w:r w:rsidRPr="00653421">
        <w:fldChar w:fldCharType="begin"/>
      </w:r>
      <w:r w:rsidRPr="00CE7565">
        <w:rPr>
          <w:lang w:val="pt-BR"/>
        </w:rPr>
        <w:instrText xml:space="preserve"> PAGEREF _Toc353470893 \h </w:instrText>
      </w:r>
      <w:r w:rsidRPr="00653421">
        <w:fldChar w:fldCharType="separate"/>
      </w:r>
      <w:r w:rsidR="00CE7565" w:rsidRPr="00CE7565">
        <w:rPr>
          <w:lang w:val="pt-BR"/>
        </w:rPr>
        <w:t>88</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Disponibilidade de Licenças Step-up</w:t>
      </w:r>
      <w:r w:rsidRPr="00CE7565">
        <w:rPr>
          <w:lang w:val="pt-BR"/>
        </w:rPr>
        <w:tab/>
      </w:r>
      <w:r w:rsidRPr="00653421">
        <w:fldChar w:fldCharType="begin"/>
      </w:r>
      <w:r w:rsidRPr="00CE7565">
        <w:rPr>
          <w:lang w:val="pt-BR"/>
        </w:rPr>
        <w:instrText xml:space="preserve"> PAGEREF _Toc353470894 \h </w:instrText>
      </w:r>
      <w:r w:rsidRPr="00653421">
        <w:fldChar w:fldCharType="separate"/>
      </w:r>
      <w:r w:rsidR="00CE7565" w:rsidRPr="00CE7565">
        <w:rPr>
          <w:lang w:val="pt-BR"/>
        </w:rPr>
        <w:t>88</w:t>
      </w:r>
      <w:r w:rsidRPr="00653421">
        <w:fldChar w:fldCharType="end"/>
      </w: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t>SEÇÃO 8</w:t>
      </w:r>
      <w:r w:rsidR="00FB6AC4" w:rsidRPr="00CE7565">
        <w:rPr>
          <w:color w:val="auto"/>
          <w:lang w:val="pt-BR"/>
        </w:rPr>
        <w:t xml:space="preserve"> – </w:t>
      </w:r>
      <w:r w:rsidRPr="00CE7565">
        <w:rPr>
          <w:color w:val="auto"/>
          <w:lang w:val="pt-BR"/>
        </w:rPr>
        <w:t>ServiÇOS</w:t>
      </w:r>
      <w:r w:rsidRPr="00CE7565">
        <w:rPr>
          <w:color w:val="auto"/>
          <w:lang w:val="pt-BR"/>
        </w:rPr>
        <w:tab/>
      </w:r>
      <w:r w:rsidRPr="00653421">
        <w:rPr>
          <w:color w:val="auto"/>
        </w:rPr>
        <w:fldChar w:fldCharType="begin"/>
      </w:r>
      <w:r w:rsidRPr="00CE7565">
        <w:rPr>
          <w:color w:val="auto"/>
          <w:lang w:val="pt-BR"/>
        </w:rPr>
        <w:instrText xml:space="preserve"> PAGEREF _Toc353470895 \h </w:instrText>
      </w:r>
      <w:r w:rsidRPr="00653421">
        <w:rPr>
          <w:color w:val="auto"/>
        </w:rPr>
      </w:r>
      <w:r w:rsidRPr="00653421">
        <w:rPr>
          <w:color w:val="auto"/>
        </w:rPr>
        <w:fldChar w:fldCharType="separate"/>
      </w:r>
      <w:r w:rsidR="00CE7565" w:rsidRPr="00CE7565">
        <w:rPr>
          <w:color w:val="auto"/>
          <w:lang w:val="pt-BR"/>
        </w:rPr>
        <w:t>90</w:t>
      </w:r>
      <w:r w:rsidRPr="00653421">
        <w:rPr>
          <w:color w:val="auto"/>
        </w:rPr>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lang w:val="pt-BR"/>
        </w:rPr>
        <w:t>Direitos de uso, propriedade e licença</w:t>
      </w:r>
      <w:r w:rsidRPr="00CE7565">
        <w:rPr>
          <w:lang w:val="pt-BR"/>
        </w:rPr>
        <w:tab/>
      </w:r>
      <w:r w:rsidRPr="00653421">
        <w:fldChar w:fldCharType="begin"/>
      </w:r>
      <w:r w:rsidRPr="00CE7565">
        <w:rPr>
          <w:lang w:val="pt-BR"/>
        </w:rPr>
        <w:instrText xml:space="preserve"> PAGEREF _Toc353470896 \h </w:instrText>
      </w:r>
      <w:r w:rsidRPr="00653421">
        <w:fldChar w:fldCharType="separate"/>
      </w:r>
      <w:r w:rsidR="00CE7565" w:rsidRPr="00CE7565">
        <w:rPr>
          <w:lang w:val="pt-BR"/>
        </w:rPr>
        <w:t>97</w:t>
      </w:r>
      <w:r w:rsidRPr="00653421">
        <w:fldChar w:fldCharType="end"/>
      </w: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t>SEÇÃO 9 – termos adicionais</w:t>
      </w:r>
      <w:r w:rsidRPr="00CE7565">
        <w:rPr>
          <w:color w:val="auto"/>
          <w:lang w:val="pt-BR"/>
        </w:rPr>
        <w:tab/>
      </w:r>
      <w:r w:rsidRPr="00653421">
        <w:rPr>
          <w:color w:val="auto"/>
        </w:rPr>
        <w:fldChar w:fldCharType="begin"/>
      </w:r>
      <w:r w:rsidRPr="00CE7565">
        <w:rPr>
          <w:color w:val="auto"/>
          <w:lang w:val="pt-BR"/>
        </w:rPr>
        <w:instrText xml:space="preserve"> PAGEREF _Toc353470897 \h </w:instrText>
      </w:r>
      <w:r w:rsidRPr="00653421">
        <w:rPr>
          <w:color w:val="auto"/>
        </w:rPr>
      </w:r>
      <w:r w:rsidRPr="00653421">
        <w:rPr>
          <w:color w:val="auto"/>
        </w:rPr>
        <w:fldChar w:fldCharType="separate"/>
      </w:r>
      <w:r w:rsidR="00CE7565" w:rsidRPr="00CE7565">
        <w:rPr>
          <w:color w:val="auto"/>
          <w:lang w:val="pt-BR"/>
        </w:rPr>
        <w:t>100</w:t>
      </w:r>
      <w:r w:rsidRPr="00653421">
        <w:rPr>
          <w:color w:val="auto"/>
        </w:rPr>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Licenças de Acesso para Cliente (CALs) e Licenças de Gerenciamento (MLs) de Cliente</w:t>
      </w:r>
      <w:r w:rsidRPr="00CE7565">
        <w:rPr>
          <w:lang w:val="pt-BR"/>
        </w:rPr>
        <w:tab/>
      </w:r>
      <w:r w:rsidRPr="00653421">
        <w:fldChar w:fldCharType="begin"/>
      </w:r>
      <w:r w:rsidRPr="00CE7565">
        <w:rPr>
          <w:lang w:val="pt-BR"/>
        </w:rPr>
        <w:instrText xml:space="preserve"> PAGEREF _Toc353470898 \h </w:instrText>
      </w:r>
      <w:r w:rsidRPr="00653421">
        <w:fldChar w:fldCharType="separate"/>
      </w:r>
      <w:r w:rsidR="00CE7565" w:rsidRPr="00CE7565">
        <w:rPr>
          <w:lang w:val="pt-BR"/>
        </w:rPr>
        <w:t>100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Restrições dos Controles de EI.</w:t>
      </w:r>
      <w:r w:rsidRPr="00CE7565">
        <w:rPr>
          <w:lang w:val="pt-BR"/>
        </w:rPr>
        <w:tab/>
      </w:r>
      <w:r w:rsidRPr="00653421">
        <w:fldChar w:fldCharType="begin"/>
      </w:r>
      <w:r w:rsidRPr="00CE7565">
        <w:rPr>
          <w:lang w:val="pt-BR"/>
        </w:rPr>
        <w:instrText xml:space="preserve"> PAGEREF _Toc353470899 \h </w:instrText>
      </w:r>
      <w:r w:rsidRPr="00653421">
        <w:fldChar w:fldCharType="separate"/>
      </w:r>
      <w:r w:rsidR="00CE7565" w:rsidRPr="00CE7565">
        <w:rPr>
          <w:lang w:val="pt-BR"/>
        </w:rPr>
        <w:t>100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lang w:val="pt-BR"/>
        </w:rPr>
        <w:t xml:space="preserve">Pacotes Multilíngues (MLPs), funcionalidade de MUIs (Multilanguage User Interface) </w:t>
      </w:r>
      <w:r w:rsidR="00E42519" w:rsidRPr="00CE7565">
        <w:rPr>
          <w:lang w:val="pt-BR"/>
        </w:rPr>
        <w:br/>
      </w:r>
      <w:r w:rsidRPr="00CE7565">
        <w:rPr>
          <w:lang w:val="pt-BR"/>
        </w:rPr>
        <w:t>e direitos a novos idiomas</w:t>
      </w:r>
      <w:r w:rsidRPr="00CE7565">
        <w:rPr>
          <w:lang w:val="pt-BR"/>
        </w:rPr>
        <w:tab/>
      </w:r>
      <w:r w:rsidRPr="00653421">
        <w:fldChar w:fldCharType="begin"/>
      </w:r>
      <w:r w:rsidRPr="00CE7565">
        <w:rPr>
          <w:lang w:val="pt-BR"/>
        </w:rPr>
        <w:instrText xml:space="preserve"> PAGEREF _Toc353470900 \h </w:instrText>
      </w:r>
      <w:r w:rsidRPr="00653421">
        <w:fldChar w:fldCharType="separate"/>
      </w:r>
      <w:r w:rsidR="00CE7565" w:rsidRPr="00CE7565">
        <w:rPr>
          <w:lang w:val="pt-BR"/>
        </w:rPr>
        <w:t>101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Licenças independentes da plataforma</w:t>
      </w:r>
      <w:r w:rsidRPr="00CE7565">
        <w:rPr>
          <w:lang w:val="pt-BR"/>
        </w:rPr>
        <w:tab/>
      </w:r>
      <w:r w:rsidRPr="00653421">
        <w:fldChar w:fldCharType="begin"/>
      </w:r>
      <w:r w:rsidRPr="00CE7565">
        <w:rPr>
          <w:lang w:val="pt-BR"/>
        </w:rPr>
        <w:instrText xml:space="preserve"> PAGEREF _Toc353470901 \h </w:instrText>
      </w:r>
      <w:r w:rsidRPr="00653421">
        <w:fldChar w:fldCharType="separate"/>
      </w:r>
      <w:r w:rsidR="00CE7565" w:rsidRPr="00CE7565">
        <w:rPr>
          <w:lang w:val="pt-BR"/>
        </w:rPr>
        <w:t>101</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Chaves de Produto em Licenças por Volume</w:t>
      </w:r>
      <w:r w:rsidRPr="00CE7565">
        <w:rPr>
          <w:lang w:val="pt-BR"/>
        </w:rPr>
        <w:tab/>
      </w:r>
      <w:r w:rsidRPr="00653421">
        <w:fldChar w:fldCharType="begin"/>
      </w:r>
      <w:r w:rsidRPr="00CE7565">
        <w:rPr>
          <w:lang w:val="pt-BR"/>
        </w:rPr>
        <w:instrText xml:space="preserve"> PAGEREF _Toc353470902 \h </w:instrText>
      </w:r>
      <w:r w:rsidRPr="00653421">
        <w:fldChar w:fldCharType="separate"/>
      </w:r>
      <w:r w:rsidR="00CE7565" w:rsidRPr="00CE7565">
        <w:rPr>
          <w:lang w:val="pt-BR"/>
        </w:rPr>
        <w:t>102</w:t>
      </w:r>
      <w:r w:rsidRPr="00653421">
        <w:fldChar w:fldCharType="end"/>
      </w:r>
    </w:p>
    <w:p w:rsidR="00554623" w:rsidRPr="00CE7565" w:rsidRDefault="00554623">
      <w:pPr>
        <w:pStyle w:val="TOC1"/>
        <w:rPr>
          <w:rFonts w:asciiTheme="minorHAnsi" w:eastAsiaTheme="minorEastAsia" w:hAnsiTheme="minorHAnsi" w:cstheme="minorBidi"/>
          <w:b w:val="0"/>
          <w:caps w:val="0"/>
          <w:color w:val="auto"/>
          <w:szCs w:val="22"/>
          <w:lang w:val="pt-BR"/>
        </w:rPr>
      </w:pPr>
      <w:r w:rsidRPr="00CE7565">
        <w:rPr>
          <w:color w:val="auto"/>
          <w:lang w:val="pt-BR"/>
        </w:rPr>
        <w:t>NoTAS do Produto</w:t>
      </w:r>
      <w:r w:rsidRPr="00CE7565">
        <w:rPr>
          <w:color w:val="auto"/>
          <w:lang w:val="pt-BR"/>
        </w:rPr>
        <w:tab/>
      </w:r>
      <w:r w:rsidRPr="00653421">
        <w:rPr>
          <w:color w:val="auto"/>
        </w:rPr>
        <w:fldChar w:fldCharType="begin"/>
      </w:r>
      <w:r w:rsidRPr="00CE7565">
        <w:rPr>
          <w:color w:val="auto"/>
          <w:lang w:val="pt-BR"/>
        </w:rPr>
        <w:instrText xml:space="preserve"> PAGEREF _Toc353470903 \h </w:instrText>
      </w:r>
      <w:r w:rsidRPr="00653421">
        <w:rPr>
          <w:color w:val="auto"/>
        </w:rPr>
      </w:r>
      <w:r w:rsidRPr="00653421">
        <w:rPr>
          <w:color w:val="auto"/>
        </w:rPr>
        <w:fldChar w:fldCharType="separate"/>
      </w:r>
      <w:r w:rsidR="00CE7565" w:rsidRPr="00CE7565">
        <w:rPr>
          <w:color w:val="auto"/>
          <w:lang w:val="pt-BR"/>
        </w:rPr>
        <w:t>103</w:t>
      </w:r>
      <w:r w:rsidRPr="00653421">
        <w:rPr>
          <w:color w:val="auto"/>
        </w:rPr>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t>Pool de Aplicativos</w:t>
      </w:r>
      <w:r w:rsidRPr="00CE7565">
        <w:rPr>
          <w:lang w:val="pt-BR"/>
        </w:rPr>
        <w:tab/>
      </w:r>
      <w:r w:rsidRPr="00653421">
        <w:fldChar w:fldCharType="begin"/>
      </w:r>
      <w:r w:rsidRPr="00CE7565">
        <w:rPr>
          <w:lang w:val="pt-BR"/>
        </w:rPr>
        <w:instrText xml:space="preserve"> PAGEREF _Toc353470904 \h </w:instrText>
      </w:r>
      <w:r w:rsidRPr="00653421">
        <w:fldChar w:fldCharType="separate"/>
      </w:r>
      <w:r w:rsidR="00CE7565" w:rsidRPr="00CE7565">
        <w:rPr>
          <w:lang w:val="pt-BR"/>
        </w:rPr>
        <w:t>103</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1</w:t>
      </w:r>
      <w:r w:rsidRPr="00CE7565">
        <w:rPr>
          <w:lang w:val="pt-BR"/>
        </w:rPr>
        <w:t xml:space="preserve"> Expression Encoder Pro 4</w:t>
      </w:r>
      <w:r w:rsidRPr="00CE7565">
        <w:rPr>
          <w:lang w:val="pt-BR"/>
        </w:rPr>
        <w:tab/>
      </w:r>
      <w:r w:rsidRPr="00653421">
        <w:fldChar w:fldCharType="begin"/>
      </w:r>
      <w:r w:rsidRPr="00CE7565">
        <w:rPr>
          <w:lang w:val="pt-BR"/>
        </w:rPr>
        <w:instrText xml:space="preserve"> PAGEREF _Toc353470905 \h </w:instrText>
      </w:r>
      <w:r w:rsidRPr="00653421">
        <w:fldChar w:fldCharType="separate"/>
      </w:r>
      <w:r w:rsidR="00CE7565" w:rsidRPr="00CE7565">
        <w:rPr>
          <w:lang w:val="pt-BR"/>
        </w:rPr>
        <w:t>103</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2</w:t>
      </w:r>
      <w:r w:rsidRPr="00CE7565">
        <w:rPr>
          <w:lang w:val="pt-BR"/>
        </w:rPr>
        <w:t xml:space="preserve"> Lync para Mac 2011</w:t>
      </w:r>
      <w:r w:rsidRPr="00CE7565">
        <w:rPr>
          <w:lang w:val="pt-BR"/>
        </w:rPr>
        <w:tab/>
      </w:r>
      <w:r w:rsidRPr="00653421">
        <w:fldChar w:fldCharType="begin"/>
      </w:r>
      <w:r w:rsidRPr="00CE7565">
        <w:rPr>
          <w:lang w:val="pt-BR"/>
        </w:rPr>
        <w:instrText xml:space="preserve"> PAGEREF _Toc353470906 \h </w:instrText>
      </w:r>
      <w:r w:rsidRPr="00653421">
        <w:fldChar w:fldCharType="separate"/>
      </w:r>
      <w:r w:rsidR="00CE7565" w:rsidRPr="00CE7565">
        <w:rPr>
          <w:lang w:val="pt-BR"/>
        </w:rPr>
        <w:t>103</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3</w:t>
      </w:r>
      <w:r w:rsidRPr="00CE7565">
        <w:rPr>
          <w:lang w:val="pt-BR"/>
        </w:rPr>
        <w:t xml:space="preserve"> Sistemas Operacionais MSDN</w:t>
      </w:r>
      <w:r w:rsidRPr="00CE7565">
        <w:rPr>
          <w:lang w:val="pt-BR"/>
        </w:rPr>
        <w:tab/>
      </w:r>
      <w:r w:rsidRPr="00653421">
        <w:fldChar w:fldCharType="begin"/>
      </w:r>
      <w:r w:rsidRPr="00CE7565">
        <w:rPr>
          <w:lang w:val="pt-BR"/>
        </w:rPr>
        <w:instrText xml:space="preserve"> PAGEREF _Toc353470907 \h </w:instrText>
      </w:r>
      <w:r w:rsidRPr="00653421">
        <w:fldChar w:fldCharType="separate"/>
      </w:r>
      <w:r w:rsidR="00CE7565" w:rsidRPr="00CE7565">
        <w:rPr>
          <w:lang w:val="pt-BR"/>
        </w:rPr>
        <w:t>103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4</w:t>
      </w:r>
      <w:r w:rsidRPr="00653421">
        <w:t xml:space="preserve"> </w:t>
      </w:r>
      <w:r w:rsidRPr="00653421">
        <w:rPr>
          <w:rFonts w:cs="Tahoma"/>
        </w:rPr>
        <w:t>Office 365 Education A2-A4 (SL de Usuário)</w:t>
      </w:r>
      <w:r w:rsidRPr="00653421">
        <w:tab/>
      </w:r>
      <w:r w:rsidRPr="00653421">
        <w:fldChar w:fldCharType="begin"/>
      </w:r>
      <w:r w:rsidRPr="00653421">
        <w:instrText xml:space="preserve"> PAGEREF _Toc353470908 \h </w:instrText>
      </w:r>
      <w:r w:rsidRPr="00653421">
        <w:fldChar w:fldCharType="separate"/>
      </w:r>
      <w:r w:rsidR="00CE7565">
        <w:t>104</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5</w:t>
      </w:r>
      <w:r w:rsidRPr="00653421">
        <w:rPr>
          <w:rFonts w:cs="Tahoma"/>
        </w:rPr>
        <w:t xml:space="preserve"> Office 365 Midsize Business</w:t>
      </w:r>
      <w:r w:rsidRPr="00653421">
        <w:tab/>
      </w:r>
      <w:r w:rsidRPr="00653421">
        <w:fldChar w:fldCharType="begin"/>
      </w:r>
      <w:r w:rsidRPr="00653421">
        <w:instrText xml:space="preserve"> PAGEREF _Toc353470909 \h </w:instrText>
      </w:r>
      <w:r w:rsidRPr="00653421">
        <w:fldChar w:fldCharType="separate"/>
      </w:r>
      <w:r w:rsidR="00CE7565">
        <w:t>105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6</w:t>
      </w:r>
      <w:r w:rsidRPr="00CE7565">
        <w:rPr>
          <w:rFonts w:cs="Tahoma"/>
          <w:caps/>
          <w:lang w:val="pt-BR"/>
        </w:rPr>
        <w:t xml:space="preserve"> </w:t>
      </w:r>
      <w:r w:rsidRPr="00CE7565">
        <w:rPr>
          <w:rFonts w:cs="Tahoma"/>
          <w:lang w:val="pt-BR"/>
        </w:rPr>
        <w:t>Office 365 Enterprise E2-E4</w:t>
      </w:r>
      <w:r w:rsidRPr="00CE7565">
        <w:rPr>
          <w:lang w:val="pt-BR"/>
        </w:rPr>
        <w:tab/>
      </w:r>
      <w:r w:rsidRPr="00653421">
        <w:fldChar w:fldCharType="begin"/>
      </w:r>
      <w:r w:rsidRPr="00CE7565">
        <w:rPr>
          <w:lang w:val="pt-BR"/>
        </w:rPr>
        <w:instrText xml:space="preserve"> PAGEREF _Toc353470910 \h </w:instrText>
      </w:r>
      <w:r w:rsidRPr="00653421">
        <w:fldChar w:fldCharType="separate"/>
      </w:r>
      <w:r w:rsidR="00CE7565" w:rsidRPr="00CE7565">
        <w:rPr>
          <w:lang w:val="pt-BR"/>
        </w:rPr>
        <w:t>105</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7</w:t>
      </w:r>
      <w:r w:rsidRPr="00CE7565">
        <w:rPr>
          <w:caps/>
          <w:lang w:val="pt-BR"/>
        </w:rPr>
        <w:t xml:space="preserve"> </w:t>
      </w:r>
      <w:r w:rsidRPr="00CE7565">
        <w:rPr>
          <w:lang w:val="pt-BR"/>
        </w:rPr>
        <w:t>Office para Mac Standard 2011</w:t>
      </w:r>
      <w:r w:rsidRPr="00CE7565">
        <w:rPr>
          <w:lang w:val="pt-BR"/>
        </w:rPr>
        <w:tab/>
      </w:r>
      <w:r w:rsidRPr="00653421">
        <w:fldChar w:fldCharType="begin"/>
      </w:r>
      <w:r w:rsidRPr="00CE7565">
        <w:rPr>
          <w:lang w:val="pt-BR"/>
        </w:rPr>
        <w:instrText xml:space="preserve"> PAGEREF _Toc353470911 \h </w:instrText>
      </w:r>
      <w:r w:rsidRPr="00653421">
        <w:fldChar w:fldCharType="separate"/>
      </w:r>
      <w:r w:rsidR="00CE7565" w:rsidRPr="00CE7565">
        <w:rPr>
          <w:lang w:val="pt-BR"/>
        </w:rPr>
        <w:t>106</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8</w:t>
      </w:r>
      <w:r w:rsidRPr="00CE7565">
        <w:rPr>
          <w:lang w:val="pt-BR"/>
        </w:rPr>
        <w:t xml:space="preserve"> Pacote Multilíngue do Office 2013</w:t>
      </w:r>
      <w:r w:rsidRPr="00CE7565">
        <w:rPr>
          <w:lang w:val="pt-BR"/>
        </w:rPr>
        <w:tab/>
      </w:r>
      <w:r w:rsidRPr="00653421">
        <w:fldChar w:fldCharType="begin"/>
      </w:r>
      <w:r w:rsidRPr="00CE7565">
        <w:rPr>
          <w:lang w:val="pt-BR"/>
        </w:rPr>
        <w:instrText xml:space="preserve"> PAGEREF _Toc353470912 \h </w:instrText>
      </w:r>
      <w:r w:rsidRPr="00653421">
        <w:fldChar w:fldCharType="separate"/>
      </w:r>
      <w:r w:rsidR="00CE7565" w:rsidRPr="00CE7565">
        <w:rPr>
          <w:lang w:val="pt-BR"/>
        </w:rPr>
        <w:t>106</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9</w:t>
      </w:r>
      <w:r w:rsidRPr="00653421">
        <w:t xml:space="preserve"> Office Professional Plus 2013</w:t>
      </w:r>
      <w:r w:rsidRPr="00653421">
        <w:tab/>
      </w:r>
      <w:r w:rsidRPr="00653421">
        <w:fldChar w:fldCharType="begin"/>
      </w:r>
      <w:r w:rsidRPr="00653421">
        <w:instrText xml:space="preserve"> PAGEREF _Toc353470913 \h </w:instrText>
      </w:r>
      <w:r w:rsidRPr="00653421">
        <w:fldChar w:fldCharType="separate"/>
      </w:r>
      <w:r w:rsidR="00CE7565">
        <w:t>106</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10</w:t>
      </w:r>
      <w:r w:rsidRPr="00653421">
        <w:t xml:space="preserve"> Office Standard 2013</w:t>
      </w:r>
      <w:r w:rsidRPr="00653421">
        <w:tab/>
      </w:r>
      <w:r w:rsidRPr="00653421">
        <w:fldChar w:fldCharType="begin"/>
      </w:r>
      <w:r w:rsidRPr="00653421">
        <w:instrText xml:space="preserve"> PAGEREF _Toc353470914 \h </w:instrText>
      </w:r>
      <w:r w:rsidRPr="00653421">
        <w:fldChar w:fldCharType="separate"/>
      </w:r>
      <w:r w:rsidR="00CE7565">
        <w:t>107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11</w:t>
      </w:r>
      <w:r w:rsidRPr="00653421">
        <w:t xml:space="preserve"> Office 365 ProPlus (SL de Usuário)</w:t>
      </w:r>
      <w:r w:rsidRPr="00653421">
        <w:tab/>
      </w:r>
      <w:r w:rsidRPr="00653421">
        <w:fldChar w:fldCharType="begin"/>
      </w:r>
      <w:r w:rsidRPr="00653421">
        <w:instrText xml:space="preserve"> PAGEREF _Toc353470915 \h </w:instrText>
      </w:r>
      <w:r w:rsidRPr="00653421">
        <w:fldChar w:fldCharType="separate"/>
      </w:r>
      <w:r w:rsidR="00CE7565">
        <w:t>107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12</w:t>
      </w:r>
      <w:r w:rsidRPr="00653421">
        <w:t xml:space="preserve"> Outlook para Mac 2011</w:t>
      </w:r>
      <w:r w:rsidRPr="00653421">
        <w:tab/>
      </w:r>
      <w:r w:rsidRPr="00653421">
        <w:fldChar w:fldCharType="begin"/>
      </w:r>
      <w:r w:rsidRPr="00653421">
        <w:instrText xml:space="preserve"> PAGEREF _Toc353470916 \h </w:instrText>
      </w:r>
      <w:r w:rsidRPr="00653421">
        <w:fldChar w:fldCharType="separate"/>
      </w:r>
      <w:r w:rsidR="00CE7565">
        <w:t>108</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13</w:t>
      </w:r>
      <w:r w:rsidRPr="00653421">
        <w:t xml:space="preserve"> Project 2013 Professional</w:t>
      </w:r>
      <w:r w:rsidRPr="00653421">
        <w:tab/>
      </w:r>
      <w:r w:rsidRPr="00653421">
        <w:fldChar w:fldCharType="begin"/>
      </w:r>
      <w:r w:rsidRPr="00653421">
        <w:instrText xml:space="preserve"> PAGEREF _Toc353470917 \h </w:instrText>
      </w:r>
      <w:r w:rsidRPr="00653421">
        <w:fldChar w:fldCharType="separate"/>
      </w:r>
      <w:r w:rsidR="00CE7565">
        <w:t>108</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14</w:t>
      </w:r>
      <w:r w:rsidRPr="00653421">
        <w:rPr>
          <w:caps/>
        </w:rPr>
        <w:t xml:space="preserve"> </w:t>
      </w:r>
      <w:r w:rsidRPr="00653421">
        <w:t>Project Pro para Office 365</w:t>
      </w:r>
      <w:r w:rsidRPr="00653421">
        <w:tab/>
      </w:r>
      <w:r w:rsidRPr="00653421">
        <w:fldChar w:fldCharType="begin"/>
      </w:r>
      <w:r w:rsidRPr="00653421">
        <w:instrText xml:space="preserve"> PAGEREF _Toc353470918 \h </w:instrText>
      </w:r>
      <w:r w:rsidRPr="00653421">
        <w:fldChar w:fldCharType="separate"/>
      </w:r>
      <w:r w:rsidR="00CE7565">
        <w:t>108</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15</w:t>
      </w:r>
      <w:r w:rsidRPr="00CE7565">
        <w:rPr>
          <w:lang w:val="pt-BR"/>
        </w:rPr>
        <w:t xml:space="preserve"> Direitos de Locação do Office</w:t>
      </w:r>
      <w:r w:rsidRPr="00CE7565">
        <w:rPr>
          <w:lang w:val="pt-BR"/>
        </w:rPr>
        <w:tab/>
      </w:r>
      <w:r w:rsidRPr="00653421">
        <w:fldChar w:fldCharType="begin"/>
      </w:r>
      <w:r w:rsidRPr="00CE7565">
        <w:rPr>
          <w:lang w:val="pt-BR"/>
        </w:rPr>
        <w:instrText xml:space="preserve"> PAGEREF _Toc353470919 \h </w:instrText>
      </w:r>
      <w:r w:rsidRPr="00653421">
        <w:fldChar w:fldCharType="separate"/>
      </w:r>
      <w:r w:rsidR="00CE7565" w:rsidRPr="00CE7565">
        <w:rPr>
          <w:lang w:val="pt-BR"/>
        </w:rPr>
        <w:t>108</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16</w:t>
      </w:r>
      <w:r w:rsidRPr="00CE7565">
        <w:rPr>
          <w:caps/>
          <w:lang w:val="pt-BR"/>
        </w:rPr>
        <w:t xml:space="preserve"> </w:t>
      </w:r>
      <w:r w:rsidRPr="00CE7565">
        <w:rPr>
          <w:lang w:val="pt-BR"/>
        </w:rPr>
        <w:t>Vexcel Desktop com Pacote de Conteúdo Aprimorado</w:t>
      </w:r>
      <w:r w:rsidRPr="00CE7565">
        <w:rPr>
          <w:lang w:val="pt-BR"/>
        </w:rPr>
        <w:tab/>
      </w:r>
      <w:r w:rsidRPr="00653421">
        <w:fldChar w:fldCharType="begin"/>
      </w:r>
      <w:r w:rsidRPr="00CE7565">
        <w:rPr>
          <w:lang w:val="pt-BR"/>
        </w:rPr>
        <w:instrText xml:space="preserve"> PAGEREF _Toc353470920 \h </w:instrText>
      </w:r>
      <w:r w:rsidRPr="00653421">
        <w:fldChar w:fldCharType="separate"/>
      </w:r>
      <w:r w:rsidR="00CE7565" w:rsidRPr="00CE7565">
        <w:rPr>
          <w:lang w:val="pt-BR"/>
        </w:rPr>
        <w:t>109</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it-IT"/>
        </w:rPr>
      </w:pPr>
      <w:r w:rsidRPr="00CE7565">
        <w:rPr>
          <w:caps/>
          <w:vertAlign w:val="superscript"/>
          <w:lang w:val="it-IT"/>
        </w:rPr>
        <w:t>17</w:t>
      </w:r>
      <w:r w:rsidRPr="00CE7565">
        <w:rPr>
          <w:lang w:val="it-IT"/>
        </w:rPr>
        <w:t xml:space="preserve"> Visio Professional 2013</w:t>
      </w:r>
      <w:r w:rsidRPr="00CE7565">
        <w:rPr>
          <w:lang w:val="it-IT"/>
        </w:rPr>
        <w:tab/>
      </w:r>
      <w:r w:rsidRPr="00653421">
        <w:fldChar w:fldCharType="begin"/>
      </w:r>
      <w:r w:rsidRPr="00CE7565">
        <w:rPr>
          <w:lang w:val="it-IT"/>
        </w:rPr>
        <w:instrText xml:space="preserve"> PAGEREF _Toc353470921 \h </w:instrText>
      </w:r>
      <w:r w:rsidRPr="00653421">
        <w:fldChar w:fldCharType="separate"/>
      </w:r>
      <w:r w:rsidR="00CE7565" w:rsidRPr="00CE7565">
        <w:rPr>
          <w:lang w:val="it-IT"/>
        </w:rPr>
        <w:t>109</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it-IT"/>
        </w:rPr>
      </w:pPr>
      <w:r w:rsidRPr="00CE7565">
        <w:rPr>
          <w:caps/>
          <w:vertAlign w:val="superscript"/>
          <w:lang w:val="it-IT"/>
        </w:rPr>
        <w:t>18</w:t>
      </w:r>
      <w:r w:rsidRPr="00CE7565">
        <w:rPr>
          <w:lang w:val="it-IT"/>
        </w:rPr>
        <w:t xml:space="preserve"> Visio Pro para Office 365</w:t>
      </w:r>
      <w:r w:rsidRPr="00CE7565">
        <w:rPr>
          <w:lang w:val="it-IT"/>
        </w:rPr>
        <w:tab/>
      </w:r>
      <w:r w:rsidRPr="00653421">
        <w:fldChar w:fldCharType="begin"/>
      </w:r>
      <w:r w:rsidRPr="00CE7565">
        <w:rPr>
          <w:lang w:val="it-IT"/>
        </w:rPr>
        <w:instrText xml:space="preserve"> PAGEREF _Toc353470922 \h </w:instrText>
      </w:r>
      <w:r w:rsidRPr="00653421">
        <w:fldChar w:fldCharType="separate"/>
      </w:r>
      <w:r w:rsidR="00CE7565" w:rsidRPr="00CE7565">
        <w:rPr>
          <w:lang w:val="it-IT"/>
        </w:rPr>
        <w:t>110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19</w:t>
      </w:r>
      <w:r w:rsidRPr="00CE7565">
        <w:rPr>
          <w:lang w:val="pt-BR"/>
        </w:rPr>
        <w:t xml:space="preserve"> Visual Studio Professional 2012</w:t>
      </w:r>
      <w:r w:rsidRPr="00CE7565">
        <w:rPr>
          <w:lang w:val="pt-BR"/>
        </w:rPr>
        <w:tab/>
      </w:r>
      <w:r w:rsidRPr="00653421">
        <w:fldChar w:fldCharType="begin"/>
      </w:r>
      <w:r w:rsidRPr="00CE7565">
        <w:rPr>
          <w:lang w:val="pt-BR"/>
        </w:rPr>
        <w:instrText xml:space="preserve"> PAGEREF _Toc353470923 \h </w:instrText>
      </w:r>
      <w:r w:rsidRPr="00653421">
        <w:fldChar w:fldCharType="separate"/>
      </w:r>
      <w:r w:rsidR="00CE7565" w:rsidRPr="00CE7565">
        <w:rPr>
          <w:lang w:val="pt-BR"/>
        </w:rPr>
        <w:t>110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20</w:t>
      </w:r>
      <w:r w:rsidRPr="00CE7565">
        <w:rPr>
          <w:lang w:val="pt-BR"/>
        </w:rPr>
        <w:t xml:space="preserve"> Visual Studio Professional 2012 com MSDN</w:t>
      </w:r>
      <w:r w:rsidRPr="00CE7565">
        <w:rPr>
          <w:lang w:val="pt-BR"/>
        </w:rPr>
        <w:tab/>
      </w:r>
      <w:r w:rsidRPr="00653421">
        <w:fldChar w:fldCharType="begin"/>
      </w:r>
      <w:r w:rsidRPr="00CE7565">
        <w:rPr>
          <w:lang w:val="pt-BR"/>
        </w:rPr>
        <w:instrText xml:space="preserve"> PAGEREF _Toc353470924 \h </w:instrText>
      </w:r>
      <w:r w:rsidRPr="00653421">
        <w:fldChar w:fldCharType="separate"/>
      </w:r>
      <w:r w:rsidR="00CE7565" w:rsidRPr="00CE7565">
        <w:rPr>
          <w:lang w:val="pt-BR"/>
        </w:rPr>
        <w:t>110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21</w:t>
      </w:r>
      <w:r w:rsidRPr="00CE7565">
        <w:rPr>
          <w:lang w:val="pt-BR"/>
        </w:rPr>
        <w:t xml:space="preserve"> Visual Studio Premium 2012 com MSDN</w:t>
      </w:r>
      <w:r w:rsidRPr="00CE7565">
        <w:rPr>
          <w:lang w:val="pt-BR"/>
        </w:rPr>
        <w:tab/>
      </w:r>
      <w:r w:rsidRPr="00653421">
        <w:fldChar w:fldCharType="begin"/>
      </w:r>
      <w:r w:rsidRPr="00CE7565">
        <w:rPr>
          <w:lang w:val="pt-BR"/>
        </w:rPr>
        <w:instrText xml:space="preserve"> PAGEREF _Toc353470925 \h </w:instrText>
      </w:r>
      <w:r w:rsidRPr="00653421">
        <w:fldChar w:fldCharType="separate"/>
      </w:r>
      <w:r w:rsidR="00CE7565" w:rsidRPr="00CE7565">
        <w:rPr>
          <w:lang w:val="pt-BR"/>
        </w:rPr>
        <w:t>111</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22</w:t>
      </w:r>
      <w:r w:rsidRPr="00CE7565">
        <w:rPr>
          <w:lang w:val="pt-BR"/>
        </w:rPr>
        <w:t xml:space="preserve"> Visual Studio Ultimate 2012 com MSDN</w:t>
      </w:r>
      <w:r w:rsidRPr="00CE7565">
        <w:rPr>
          <w:lang w:val="pt-BR"/>
        </w:rPr>
        <w:tab/>
      </w:r>
      <w:r w:rsidRPr="00653421">
        <w:fldChar w:fldCharType="begin"/>
      </w:r>
      <w:r w:rsidRPr="00CE7565">
        <w:rPr>
          <w:lang w:val="pt-BR"/>
        </w:rPr>
        <w:instrText xml:space="preserve"> PAGEREF _Toc353470926 \h </w:instrText>
      </w:r>
      <w:r w:rsidRPr="00653421">
        <w:fldChar w:fldCharType="separate"/>
      </w:r>
      <w:r w:rsidR="00CE7565" w:rsidRPr="00CE7565">
        <w:rPr>
          <w:lang w:val="pt-BR"/>
        </w:rPr>
        <w:t>112</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23</w:t>
      </w:r>
      <w:r w:rsidRPr="00CE7565">
        <w:rPr>
          <w:lang w:val="pt-BR"/>
        </w:rPr>
        <w:t xml:space="preserve"> Visual Studio Test Professional 2012 com MSDN</w:t>
      </w:r>
      <w:r w:rsidRPr="00CE7565">
        <w:rPr>
          <w:lang w:val="pt-BR"/>
        </w:rPr>
        <w:tab/>
      </w:r>
      <w:r w:rsidRPr="00653421">
        <w:fldChar w:fldCharType="begin"/>
      </w:r>
      <w:r w:rsidRPr="00CE7565">
        <w:rPr>
          <w:lang w:val="pt-BR"/>
        </w:rPr>
        <w:instrText xml:space="preserve"> PAGEREF _Toc353470927 \h </w:instrText>
      </w:r>
      <w:r w:rsidRPr="00653421">
        <w:fldChar w:fldCharType="separate"/>
      </w:r>
      <w:r w:rsidR="00CE7565" w:rsidRPr="00CE7565">
        <w:rPr>
          <w:lang w:val="pt-BR"/>
        </w:rPr>
        <w:t>113</w:t>
      </w:r>
      <w:r w:rsidRPr="00653421">
        <w:fldChar w:fldCharType="end"/>
      </w:r>
    </w:p>
    <w:p w:rsidR="00FB6AC4" w:rsidRPr="00CE7565" w:rsidRDefault="00FB6AC4">
      <w:pPr>
        <w:pStyle w:val="TOC2"/>
        <w:rPr>
          <w:rFonts w:cs="Tahoma"/>
          <w:lang w:val="pt-BR"/>
        </w:rPr>
      </w:pP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lang w:val="pt-BR"/>
        </w:rPr>
        <w:lastRenderedPageBreak/>
        <w:t>Pool de Sistemas</w:t>
      </w:r>
      <w:r w:rsidRPr="00CE7565">
        <w:rPr>
          <w:lang w:val="pt-BR"/>
        </w:rPr>
        <w:tab/>
      </w:r>
      <w:r w:rsidRPr="00653421">
        <w:fldChar w:fldCharType="begin"/>
      </w:r>
      <w:r w:rsidRPr="00CE7565">
        <w:rPr>
          <w:lang w:val="pt-BR"/>
        </w:rPr>
        <w:instrText xml:space="preserve"> PAGEREF _Toc353470928 \h </w:instrText>
      </w:r>
      <w:r w:rsidRPr="00653421">
        <w:fldChar w:fldCharType="separate"/>
      </w:r>
      <w:r w:rsidR="00CE7565" w:rsidRPr="00CE7565">
        <w:rPr>
          <w:lang w:val="pt-BR"/>
        </w:rPr>
        <w:t>115</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24</w:t>
      </w:r>
      <w:r w:rsidRPr="00653421">
        <w:t xml:space="preserve"> Microsoft Desktop Optimization Pack para Software Assurance</w:t>
      </w:r>
      <w:r w:rsidRPr="00653421">
        <w:tab/>
      </w:r>
      <w:r w:rsidRPr="00653421">
        <w:fldChar w:fldCharType="begin"/>
      </w:r>
      <w:r w:rsidRPr="00653421">
        <w:instrText xml:space="preserve"> PAGEREF _Toc353470929 \h </w:instrText>
      </w:r>
      <w:r w:rsidRPr="00653421">
        <w:fldChar w:fldCharType="separate"/>
      </w:r>
      <w:r w:rsidR="00CE7565">
        <w:t>115</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25</w:t>
      </w:r>
      <w:r w:rsidRPr="00CE7565">
        <w:rPr>
          <w:caps/>
          <w:lang w:val="pt-BR"/>
        </w:rPr>
        <w:t xml:space="preserve"> </w:t>
      </w:r>
      <w:r w:rsidRPr="00CE7565">
        <w:rPr>
          <w:lang w:val="pt-BR"/>
        </w:rPr>
        <w:t>Licença de Assinatura do Windows</w:t>
      </w:r>
      <w:r w:rsidRPr="00CE7565">
        <w:rPr>
          <w:vertAlign w:val="superscript"/>
          <w:lang w:val="pt-BR"/>
        </w:rPr>
        <w:t>®</w:t>
      </w:r>
      <w:r w:rsidRPr="00CE7565">
        <w:rPr>
          <w:lang w:val="pt-BR"/>
        </w:rPr>
        <w:t xml:space="preserve"> Companion</w:t>
      </w:r>
      <w:r w:rsidRPr="00CE7565">
        <w:rPr>
          <w:lang w:val="pt-BR"/>
        </w:rPr>
        <w:tab/>
      </w:r>
      <w:r w:rsidRPr="00653421">
        <w:fldChar w:fldCharType="begin"/>
      </w:r>
      <w:r w:rsidRPr="00CE7565">
        <w:rPr>
          <w:lang w:val="pt-BR"/>
        </w:rPr>
        <w:instrText xml:space="preserve"> PAGEREF _Toc353470930 \h </w:instrText>
      </w:r>
      <w:r w:rsidRPr="00653421">
        <w:fldChar w:fldCharType="separate"/>
      </w:r>
      <w:r w:rsidR="00CE7565" w:rsidRPr="00CE7565">
        <w:rPr>
          <w:lang w:val="pt-BR"/>
        </w:rPr>
        <w:t>116</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26</w:t>
      </w:r>
      <w:r w:rsidRPr="00653421">
        <w:rPr>
          <w:rFonts w:eastAsia="Times New Roman"/>
        </w:rPr>
        <w:t xml:space="preserve"> Windows Vista DVD Playback Pack</w:t>
      </w:r>
      <w:r w:rsidRPr="00653421">
        <w:tab/>
      </w:r>
      <w:r w:rsidRPr="00653421">
        <w:fldChar w:fldCharType="begin"/>
      </w:r>
      <w:r w:rsidRPr="00653421">
        <w:instrText xml:space="preserve"> PAGEREF _Toc353470931 \h </w:instrText>
      </w:r>
      <w:r w:rsidRPr="00653421">
        <w:fldChar w:fldCharType="separate"/>
      </w:r>
      <w:r w:rsidR="00CE7565">
        <w:t>116</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27</w:t>
      </w:r>
      <w:r w:rsidRPr="00CE7565">
        <w:rPr>
          <w:lang w:val="pt-BR"/>
        </w:rPr>
        <w:t xml:space="preserve"> Windows</w:t>
      </w:r>
      <w:r w:rsidRPr="00CE7565">
        <w:rPr>
          <w:vertAlign w:val="superscript"/>
          <w:lang w:val="pt-BR"/>
        </w:rPr>
        <w:t>®</w:t>
      </w:r>
      <w:r w:rsidRPr="00CE7565">
        <w:rPr>
          <w:lang w:val="pt-BR"/>
        </w:rPr>
        <w:t xml:space="preserve"> 8 Enterprise Sideloading</w:t>
      </w:r>
      <w:r w:rsidRPr="00CE7565">
        <w:rPr>
          <w:lang w:val="pt-BR"/>
        </w:rPr>
        <w:tab/>
      </w:r>
      <w:r w:rsidRPr="00653421">
        <w:fldChar w:fldCharType="begin"/>
      </w:r>
      <w:r w:rsidRPr="00CE7565">
        <w:rPr>
          <w:lang w:val="pt-BR"/>
        </w:rPr>
        <w:instrText xml:space="preserve"> PAGEREF _Toc353470932 \h </w:instrText>
      </w:r>
      <w:r w:rsidRPr="00653421">
        <w:fldChar w:fldCharType="separate"/>
      </w:r>
      <w:r w:rsidR="00CE7565" w:rsidRPr="00CE7565">
        <w:rPr>
          <w:lang w:val="pt-BR"/>
        </w:rPr>
        <w:t>116</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28</w:t>
      </w:r>
      <w:r w:rsidRPr="00CE7565">
        <w:rPr>
          <w:lang w:val="pt-BR"/>
        </w:rPr>
        <w:t xml:space="preserve"> Parceiros na Aprendizagem do Windows</w:t>
      </w:r>
      <w:r w:rsidRPr="00CE7565">
        <w:rPr>
          <w:vertAlign w:val="superscript"/>
          <w:lang w:val="pt-BR"/>
        </w:rPr>
        <w:t>®</w:t>
      </w:r>
      <w:r w:rsidRPr="00CE7565">
        <w:rPr>
          <w:lang w:val="pt-BR"/>
        </w:rPr>
        <w:t xml:space="preserve"> 7</w:t>
      </w:r>
      <w:r w:rsidRPr="00CE7565">
        <w:rPr>
          <w:lang w:val="pt-BR"/>
        </w:rPr>
        <w:tab/>
      </w:r>
      <w:r w:rsidRPr="00653421">
        <w:fldChar w:fldCharType="begin"/>
      </w:r>
      <w:r w:rsidRPr="00CE7565">
        <w:rPr>
          <w:lang w:val="pt-BR"/>
        </w:rPr>
        <w:instrText xml:space="preserve"> PAGEREF _Toc353470933 \h </w:instrText>
      </w:r>
      <w:r w:rsidRPr="00653421">
        <w:fldChar w:fldCharType="separate"/>
      </w:r>
      <w:r w:rsidR="00CE7565" w:rsidRPr="00CE7565">
        <w:rPr>
          <w:lang w:val="pt-BR"/>
        </w:rPr>
        <w:t>117</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29</w:t>
      </w:r>
      <w:r w:rsidRPr="00CE7565">
        <w:rPr>
          <w:lang w:val="pt-BR"/>
        </w:rPr>
        <w:t xml:space="preserve"> Atualização do Windows</w:t>
      </w:r>
      <w:r w:rsidRPr="00CE7565">
        <w:rPr>
          <w:vertAlign w:val="superscript"/>
          <w:lang w:val="pt-BR"/>
        </w:rPr>
        <w:t>®</w:t>
      </w:r>
      <w:r w:rsidRPr="00CE7565">
        <w:rPr>
          <w:lang w:val="pt-BR"/>
        </w:rPr>
        <w:t xml:space="preserve"> 8 Pro e Windows Intune (Por Dispositivo)</w:t>
      </w:r>
      <w:r w:rsidRPr="00CE7565">
        <w:rPr>
          <w:lang w:val="pt-BR"/>
        </w:rPr>
        <w:tab/>
      </w:r>
      <w:r w:rsidRPr="00653421">
        <w:fldChar w:fldCharType="begin"/>
      </w:r>
      <w:r w:rsidRPr="00CE7565">
        <w:rPr>
          <w:lang w:val="pt-BR"/>
        </w:rPr>
        <w:instrText xml:space="preserve"> PAGEREF _Toc353470934 \h </w:instrText>
      </w:r>
      <w:r w:rsidRPr="00653421">
        <w:fldChar w:fldCharType="separate"/>
      </w:r>
      <w:r w:rsidR="00CE7565" w:rsidRPr="00CE7565">
        <w:rPr>
          <w:lang w:val="pt-BR"/>
        </w:rPr>
        <w:t>117</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30</w:t>
      </w:r>
      <w:r w:rsidRPr="00CE7565">
        <w:rPr>
          <w:rFonts w:cs="Tahoma"/>
          <w:caps/>
          <w:lang w:val="pt-BR"/>
        </w:rPr>
        <w:t xml:space="preserve"> </w:t>
      </w:r>
      <w:r w:rsidRPr="00CE7565">
        <w:rPr>
          <w:rFonts w:cs="Tahoma"/>
          <w:lang w:val="pt-BR"/>
        </w:rPr>
        <w:t>Complemento do Windows Intune (Por Dispositivo)</w:t>
      </w:r>
      <w:r w:rsidRPr="00CE7565">
        <w:rPr>
          <w:lang w:val="pt-BR"/>
        </w:rPr>
        <w:tab/>
      </w:r>
      <w:r w:rsidRPr="00653421">
        <w:fldChar w:fldCharType="begin"/>
      </w:r>
      <w:r w:rsidRPr="00CE7565">
        <w:rPr>
          <w:lang w:val="pt-BR"/>
        </w:rPr>
        <w:instrText xml:space="preserve"> PAGEREF _Toc353470935 \h </w:instrText>
      </w:r>
      <w:r w:rsidRPr="00653421">
        <w:fldChar w:fldCharType="separate"/>
      </w:r>
      <w:r w:rsidR="00CE7565" w:rsidRPr="00CE7565">
        <w:rPr>
          <w:lang w:val="pt-BR"/>
        </w:rPr>
        <w:t>124</w:t>
      </w:r>
      <w:r w:rsidRPr="00653421">
        <w:fldChar w:fldCharType="end"/>
      </w:r>
    </w:p>
    <w:p w:rsidR="00554623" w:rsidRPr="00CE7565" w:rsidRDefault="00554623" w:rsidP="00FB6AC4">
      <w:pPr>
        <w:pStyle w:val="TOC2"/>
        <w:rPr>
          <w:rFonts w:asciiTheme="minorHAnsi" w:eastAsiaTheme="minorEastAsia" w:hAnsiTheme="minorHAnsi" w:cstheme="minorBidi"/>
          <w:sz w:val="22"/>
          <w:szCs w:val="22"/>
          <w:lang w:val="pt-BR"/>
        </w:rPr>
      </w:pPr>
      <w:r w:rsidRPr="00CE7565">
        <w:rPr>
          <w:rFonts w:cs="Tahoma"/>
          <w:lang w:val="pt-BR"/>
        </w:rPr>
        <w:t>Pool de Servidores</w:t>
      </w:r>
      <w:r w:rsidRPr="00CE7565">
        <w:rPr>
          <w:lang w:val="pt-BR"/>
        </w:rPr>
        <w:tab/>
      </w:r>
      <w:r w:rsidRPr="00653421">
        <w:fldChar w:fldCharType="begin"/>
      </w:r>
      <w:r w:rsidRPr="00CE7565">
        <w:rPr>
          <w:lang w:val="pt-BR"/>
        </w:rPr>
        <w:instrText xml:space="preserve"> PAGEREF _Toc353470936 \h </w:instrText>
      </w:r>
      <w:r w:rsidRPr="00653421">
        <w:fldChar w:fldCharType="separate"/>
      </w:r>
      <w:r w:rsidR="00CE7565" w:rsidRPr="00CE7565">
        <w:rPr>
          <w:lang w:val="pt-BR"/>
        </w:rPr>
        <w:t>126</w:t>
      </w:r>
      <w:r w:rsidRPr="00653421">
        <w:fldChar w:fldCharType="end"/>
      </w:r>
    </w:p>
    <w:p w:rsidR="00554623" w:rsidRPr="00CE7565" w:rsidRDefault="00554623" w:rsidP="0095190D">
      <w:pPr>
        <w:pStyle w:val="TOC2"/>
        <w:ind w:left="187" w:hanging="187"/>
        <w:rPr>
          <w:rFonts w:asciiTheme="minorHAnsi" w:eastAsiaTheme="minorEastAsia" w:hAnsiTheme="minorHAnsi" w:cstheme="minorBidi"/>
          <w:sz w:val="22"/>
          <w:szCs w:val="22"/>
          <w:lang w:val="pt-BR"/>
        </w:rPr>
      </w:pPr>
      <w:r w:rsidRPr="00CE7565">
        <w:rPr>
          <w:rFonts w:cs="Tahoma"/>
          <w:caps/>
          <w:vertAlign w:val="superscript"/>
          <w:lang w:val="pt-BR"/>
        </w:rPr>
        <w:t>31</w:t>
      </w:r>
      <w:r w:rsidRPr="00CE7565">
        <w:rPr>
          <w:rFonts w:cs="Tahoma"/>
          <w:lang w:val="pt-BR"/>
        </w:rPr>
        <w:t xml:space="preserve"> Complemento de Uso do Site Público dos Bing Maps e SL Complementar de Uso do Site </w:t>
      </w:r>
      <w:r w:rsidR="00FB6AC4" w:rsidRPr="00CE7565">
        <w:rPr>
          <w:rFonts w:cs="Tahoma"/>
          <w:lang w:val="pt-BR"/>
        </w:rPr>
        <w:br/>
      </w:r>
      <w:r w:rsidRPr="00CE7565">
        <w:rPr>
          <w:rFonts w:cs="Tahoma"/>
          <w:lang w:val="pt-BR"/>
        </w:rPr>
        <w:t>Interno do Bing Maps</w:t>
      </w:r>
      <w:r w:rsidRPr="00CE7565">
        <w:rPr>
          <w:lang w:val="pt-BR"/>
        </w:rPr>
        <w:tab/>
      </w:r>
      <w:r w:rsidRPr="00653421">
        <w:fldChar w:fldCharType="begin"/>
      </w:r>
      <w:r w:rsidRPr="00CE7565">
        <w:rPr>
          <w:lang w:val="pt-BR"/>
        </w:rPr>
        <w:instrText xml:space="preserve"> PAGEREF _Toc353470937 \h </w:instrText>
      </w:r>
      <w:r w:rsidRPr="00653421">
        <w:fldChar w:fldCharType="separate"/>
      </w:r>
      <w:r w:rsidR="00CE7565" w:rsidRPr="00CE7565">
        <w:rPr>
          <w:lang w:val="pt-BR"/>
        </w:rPr>
        <w:t>126</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32</w:t>
      </w:r>
      <w:r w:rsidRPr="00653421">
        <w:rPr>
          <w:caps/>
        </w:rPr>
        <w:t xml:space="preserve"> </w:t>
      </w:r>
      <w:r w:rsidRPr="00653421">
        <w:t>BizTalk Server</w:t>
      </w:r>
      <w:r w:rsidRPr="00653421">
        <w:rPr>
          <w:vertAlign w:val="superscript"/>
        </w:rPr>
        <w:t>®</w:t>
      </w:r>
      <w:r w:rsidRPr="00653421">
        <w:t xml:space="preserve"> 2013 Branch</w:t>
      </w:r>
      <w:r w:rsidRPr="00653421">
        <w:tab/>
      </w:r>
      <w:r w:rsidRPr="00653421">
        <w:fldChar w:fldCharType="begin"/>
      </w:r>
      <w:r w:rsidRPr="00653421">
        <w:instrText xml:space="preserve"> PAGEREF _Toc353470938 \h </w:instrText>
      </w:r>
      <w:r w:rsidRPr="00653421">
        <w:fldChar w:fldCharType="separate"/>
      </w:r>
      <w:r w:rsidR="00CE7565">
        <w:t>128</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33</w:t>
      </w:r>
      <w:r w:rsidRPr="00653421">
        <w:rPr>
          <w:caps/>
        </w:rPr>
        <w:t xml:space="preserve"> </w:t>
      </w:r>
      <w:r w:rsidRPr="00653421">
        <w:t>BizTalk Server</w:t>
      </w:r>
      <w:r w:rsidRPr="00653421">
        <w:rPr>
          <w:vertAlign w:val="superscript"/>
        </w:rPr>
        <w:t>®</w:t>
      </w:r>
      <w:r w:rsidRPr="00653421">
        <w:t xml:space="preserve"> 2013 Enterprise</w:t>
      </w:r>
      <w:r w:rsidRPr="00653421">
        <w:tab/>
      </w:r>
      <w:r w:rsidRPr="00653421">
        <w:fldChar w:fldCharType="begin"/>
      </w:r>
      <w:r w:rsidRPr="00653421">
        <w:instrText xml:space="preserve"> PAGEREF _Toc353470939 \h </w:instrText>
      </w:r>
      <w:r w:rsidRPr="00653421">
        <w:fldChar w:fldCharType="separate"/>
      </w:r>
      <w:r w:rsidR="00CE7565">
        <w:t>129</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34</w:t>
      </w:r>
      <w:r w:rsidRPr="00653421">
        <w:t xml:space="preserve"> BizTalk Server</w:t>
      </w:r>
      <w:r w:rsidRPr="00653421">
        <w:rPr>
          <w:vertAlign w:val="superscript"/>
        </w:rPr>
        <w:t>®</w:t>
      </w:r>
      <w:r w:rsidRPr="00653421">
        <w:t xml:space="preserve"> 2013 Standard</w:t>
      </w:r>
      <w:r w:rsidRPr="00653421">
        <w:tab/>
      </w:r>
      <w:r w:rsidRPr="00653421">
        <w:fldChar w:fldCharType="begin"/>
      </w:r>
      <w:r w:rsidRPr="00653421">
        <w:instrText xml:space="preserve"> PAGEREF _Toc353470940 \h </w:instrText>
      </w:r>
      <w:r w:rsidRPr="00653421">
        <w:fldChar w:fldCharType="separate"/>
      </w:r>
      <w:r w:rsidR="00CE7565">
        <w:t>131</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35</w:t>
      </w:r>
      <w:r w:rsidRPr="00653421">
        <w:rPr>
          <w:caps/>
        </w:rPr>
        <w:t xml:space="preserve"> </w:t>
      </w:r>
      <w:r w:rsidRPr="00653421">
        <w:t>Business Intelligence Appliance 2012</w:t>
      </w:r>
      <w:r w:rsidRPr="00653421">
        <w:tab/>
      </w:r>
      <w:r w:rsidRPr="00653421">
        <w:fldChar w:fldCharType="begin"/>
      </w:r>
      <w:r w:rsidRPr="00653421">
        <w:instrText xml:space="preserve"> PAGEREF _Toc353470941 \h </w:instrText>
      </w:r>
      <w:r w:rsidRPr="00653421">
        <w:fldChar w:fldCharType="separate"/>
      </w:r>
      <w:r w:rsidR="00CE7565">
        <w:t>132</w:t>
      </w:r>
      <w:r w:rsidRPr="00653421">
        <w:fldChar w:fldCharType="end"/>
      </w:r>
    </w:p>
    <w:p w:rsidR="00554623" w:rsidRPr="00CE7565" w:rsidRDefault="00554623" w:rsidP="0095190D">
      <w:pPr>
        <w:pStyle w:val="TOC3"/>
        <w:ind w:left="187" w:hanging="187"/>
        <w:rPr>
          <w:rFonts w:asciiTheme="minorHAnsi" w:eastAsiaTheme="minorEastAsia" w:hAnsiTheme="minorHAnsi" w:cstheme="minorBidi"/>
          <w:sz w:val="22"/>
          <w:szCs w:val="22"/>
          <w:lang w:val="pt-BR"/>
        </w:rPr>
      </w:pPr>
      <w:r w:rsidRPr="00CE7565">
        <w:rPr>
          <w:caps/>
          <w:vertAlign w:val="superscript"/>
          <w:lang w:val="pt-BR"/>
        </w:rPr>
        <w:t>36</w:t>
      </w:r>
      <w:r w:rsidRPr="00CE7565">
        <w:rPr>
          <w:lang w:val="pt-BR"/>
        </w:rPr>
        <w:t xml:space="preserve"> Bridge do Pacote de CALs Principais para Office 365, Bridge do Pacote de CALs Principais para Office 365 e</w:t>
      </w:r>
      <w:r w:rsidR="003A0CB8" w:rsidRPr="00CE7565">
        <w:rPr>
          <w:lang w:val="pt-BR"/>
        </w:rPr>
        <w:t> </w:t>
      </w:r>
      <w:r w:rsidRPr="00CE7565">
        <w:rPr>
          <w:lang w:val="pt-BR"/>
        </w:rPr>
        <w:t>Windows Intune e Bridge do Pacote de CALs Principais para Windows Intune</w:t>
      </w:r>
      <w:r w:rsidRPr="00CE7565">
        <w:rPr>
          <w:lang w:val="pt-BR"/>
        </w:rPr>
        <w:tab/>
      </w:r>
      <w:r w:rsidRPr="00653421">
        <w:fldChar w:fldCharType="begin"/>
      </w:r>
      <w:r w:rsidRPr="00CE7565">
        <w:rPr>
          <w:lang w:val="pt-BR"/>
        </w:rPr>
        <w:instrText xml:space="preserve"> PAGEREF _Toc353470942 \h </w:instrText>
      </w:r>
      <w:r w:rsidRPr="00653421">
        <w:fldChar w:fldCharType="separate"/>
      </w:r>
      <w:r w:rsidR="00CE7565" w:rsidRPr="00CE7565">
        <w:rPr>
          <w:lang w:val="pt-BR"/>
        </w:rPr>
        <w:t>133</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fr-FR"/>
        </w:rPr>
      </w:pPr>
      <w:r w:rsidRPr="00CE7565">
        <w:rPr>
          <w:caps/>
          <w:vertAlign w:val="superscript"/>
          <w:lang w:val="fr-FR"/>
        </w:rPr>
        <w:t>37</w:t>
      </w:r>
      <w:r w:rsidRPr="00CE7565">
        <w:rPr>
          <w:lang w:val="fr-FR"/>
        </w:rPr>
        <w:t xml:space="preserve"> Pacote de CALs Principais</w:t>
      </w:r>
      <w:r w:rsidRPr="00CE7565">
        <w:rPr>
          <w:lang w:val="fr-FR"/>
        </w:rPr>
        <w:tab/>
      </w:r>
      <w:r w:rsidRPr="00653421">
        <w:fldChar w:fldCharType="begin"/>
      </w:r>
      <w:r w:rsidRPr="00CE7565">
        <w:rPr>
          <w:lang w:val="fr-FR"/>
        </w:rPr>
        <w:instrText xml:space="preserve"> PAGEREF _Toc353470943 \h </w:instrText>
      </w:r>
      <w:r w:rsidRPr="00653421">
        <w:fldChar w:fldCharType="separate"/>
      </w:r>
      <w:r w:rsidR="00CE7565" w:rsidRPr="00CE7565">
        <w:rPr>
          <w:lang w:val="fr-FR"/>
        </w:rPr>
        <w:t>134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fr-FR"/>
        </w:rPr>
      </w:pPr>
      <w:r w:rsidRPr="00CE7565">
        <w:rPr>
          <w:caps/>
          <w:vertAlign w:val="superscript"/>
          <w:lang w:val="fr-FR"/>
        </w:rPr>
        <w:t>38</w:t>
      </w:r>
      <w:r w:rsidRPr="00CE7565">
        <w:rPr>
          <w:lang w:val="fr-FR"/>
        </w:rPr>
        <w:t xml:space="preserve"> Core Infrastructure Server Suite Standard</w:t>
      </w:r>
      <w:r w:rsidRPr="00CE7565">
        <w:rPr>
          <w:lang w:val="fr-FR"/>
        </w:rPr>
        <w:tab/>
      </w:r>
      <w:r w:rsidRPr="00653421">
        <w:fldChar w:fldCharType="begin"/>
      </w:r>
      <w:r w:rsidRPr="00CE7565">
        <w:rPr>
          <w:lang w:val="fr-FR"/>
        </w:rPr>
        <w:instrText xml:space="preserve"> PAGEREF _Toc353470944 \h </w:instrText>
      </w:r>
      <w:r w:rsidRPr="00653421">
        <w:fldChar w:fldCharType="separate"/>
      </w:r>
      <w:r w:rsidR="00CE7565" w:rsidRPr="00CE7565">
        <w:rPr>
          <w:lang w:val="fr-FR"/>
        </w:rPr>
        <w:t>134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fr-FR"/>
        </w:rPr>
      </w:pPr>
      <w:r w:rsidRPr="00CE7565">
        <w:rPr>
          <w:caps/>
          <w:vertAlign w:val="superscript"/>
          <w:lang w:val="fr-FR"/>
        </w:rPr>
        <w:t>39</w:t>
      </w:r>
      <w:r w:rsidRPr="00CE7565">
        <w:rPr>
          <w:lang w:val="fr-FR"/>
        </w:rPr>
        <w:t xml:space="preserve"> Core Infrastructure Server Suite Enterprise</w:t>
      </w:r>
      <w:r w:rsidRPr="00CE7565">
        <w:rPr>
          <w:lang w:val="fr-FR"/>
        </w:rPr>
        <w:tab/>
      </w:r>
      <w:r w:rsidRPr="00653421">
        <w:fldChar w:fldCharType="begin"/>
      </w:r>
      <w:r w:rsidRPr="00CE7565">
        <w:rPr>
          <w:lang w:val="fr-FR"/>
        </w:rPr>
        <w:instrText xml:space="preserve"> PAGEREF _Toc353470945 \h </w:instrText>
      </w:r>
      <w:r w:rsidRPr="00653421">
        <w:fldChar w:fldCharType="separate"/>
      </w:r>
      <w:r w:rsidR="00CE7565" w:rsidRPr="00CE7565">
        <w:rPr>
          <w:lang w:val="fr-FR"/>
        </w:rPr>
        <w:t>135</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fr-FR"/>
        </w:rPr>
      </w:pPr>
      <w:r w:rsidRPr="00CE7565">
        <w:rPr>
          <w:caps/>
          <w:vertAlign w:val="superscript"/>
          <w:lang w:val="fr-FR"/>
        </w:rPr>
        <w:t>40</w:t>
      </w:r>
      <w:r w:rsidRPr="00CE7565">
        <w:rPr>
          <w:lang w:val="fr-FR"/>
        </w:rPr>
        <w:t xml:space="preserve"> Core Infrastructure Server Suite Datacenter</w:t>
      </w:r>
      <w:r w:rsidRPr="00CE7565">
        <w:rPr>
          <w:lang w:val="fr-FR"/>
        </w:rPr>
        <w:tab/>
      </w:r>
      <w:r w:rsidRPr="00653421">
        <w:fldChar w:fldCharType="begin"/>
      </w:r>
      <w:r w:rsidRPr="00CE7565">
        <w:rPr>
          <w:lang w:val="fr-FR"/>
        </w:rPr>
        <w:instrText xml:space="preserve"> PAGEREF _Toc353470946 \h </w:instrText>
      </w:r>
      <w:r w:rsidRPr="00653421">
        <w:fldChar w:fldCharType="separate"/>
      </w:r>
      <w:r w:rsidR="00CE7565" w:rsidRPr="00CE7565">
        <w:rPr>
          <w:lang w:val="fr-FR"/>
        </w:rPr>
        <w:t>136</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eastAsia="Times New Roman" w:cs="Tahoma"/>
          <w:caps/>
          <w:vertAlign w:val="superscript"/>
          <w:lang w:val="pt-BR"/>
        </w:rPr>
        <w:t>41</w:t>
      </w:r>
      <w:r w:rsidRPr="00CE7565">
        <w:rPr>
          <w:rFonts w:eastAsia="Times New Roman" w:cs="Tahoma"/>
          <w:caps/>
          <w:lang w:val="pt-BR"/>
        </w:rPr>
        <w:t xml:space="preserve"> </w:t>
      </w:r>
      <w:r w:rsidRPr="00CE7565">
        <w:rPr>
          <w:rFonts w:eastAsia="Times New Roman" w:cs="Tahoma"/>
          <w:lang w:val="pt-BR"/>
        </w:rPr>
        <w:t>Duet Enterprise 2.0</w:t>
      </w:r>
      <w:r w:rsidRPr="00CE7565">
        <w:rPr>
          <w:lang w:val="pt-BR"/>
        </w:rPr>
        <w:tab/>
      </w:r>
      <w:r w:rsidRPr="00653421">
        <w:fldChar w:fldCharType="begin"/>
      </w:r>
      <w:r w:rsidRPr="00CE7565">
        <w:rPr>
          <w:lang w:val="pt-BR"/>
        </w:rPr>
        <w:instrText xml:space="preserve"> PAGEREF _Toc353470947 \h </w:instrText>
      </w:r>
      <w:r w:rsidRPr="00653421">
        <w:fldChar w:fldCharType="separate"/>
      </w:r>
      <w:r w:rsidR="00CE7565" w:rsidRPr="00CE7565">
        <w:rPr>
          <w:lang w:val="pt-BR"/>
        </w:rPr>
        <w:t>137</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42</w:t>
      </w:r>
      <w:r w:rsidRPr="00CE7565">
        <w:rPr>
          <w:lang w:val="pt-BR"/>
        </w:rPr>
        <w:t xml:space="preserve"> Dynamics CRM Online</w:t>
      </w:r>
      <w:r w:rsidRPr="00CE7565">
        <w:rPr>
          <w:lang w:val="pt-BR"/>
        </w:rPr>
        <w:tab/>
      </w:r>
      <w:r w:rsidRPr="00653421">
        <w:fldChar w:fldCharType="begin"/>
      </w:r>
      <w:r w:rsidRPr="00CE7565">
        <w:rPr>
          <w:lang w:val="pt-BR"/>
        </w:rPr>
        <w:instrText xml:space="preserve"> PAGEREF _Toc353470948 \h </w:instrText>
      </w:r>
      <w:r w:rsidRPr="00653421">
        <w:fldChar w:fldCharType="separate"/>
      </w:r>
      <w:r w:rsidR="00CE7565" w:rsidRPr="00CE7565">
        <w:rPr>
          <w:lang w:val="pt-BR"/>
        </w:rPr>
        <w:t>137</w:t>
      </w:r>
      <w:r w:rsidRPr="00653421">
        <w:fldChar w:fldCharType="end"/>
      </w:r>
    </w:p>
    <w:p w:rsidR="00554623" w:rsidRPr="00CE7565" w:rsidRDefault="00554623" w:rsidP="0095190D">
      <w:pPr>
        <w:pStyle w:val="TOC3"/>
        <w:ind w:left="187" w:hanging="187"/>
        <w:rPr>
          <w:rFonts w:asciiTheme="minorHAnsi" w:eastAsiaTheme="minorEastAsia" w:hAnsiTheme="minorHAnsi" w:cstheme="minorBidi"/>
          <w:sz w:val="22"/>
          <w:szCs w:val="22"/>
          <w:lang w:val="pt-BR"/>
        </w:rPr>
      </w:pPr>
      <w:r w:rsidRPr="00CE7565">
        <w:rPr>
          <w:caps/>
          <w:vertAlign w:val="superscript"/>
          <w:lang w:val="pt-BR"/>
        </w:rPr>
        <w:t>43</w:t>
      </w:r>
      <w:r w:rsidRPr="00CE7565">
        <w:rPr>
          <w:caps/>
          <w:lang w:val="pt-BR"/>
        </w:rPr>
        <w:t xml:space="preserve"> </w:t>
      </w:r>
      <w:r w:rsidRPr="00CE7565">
        <w:rPr>
          <w:lang w:val="pt-BR"/>
        </w:rPr>
        <w:t>Bridge do Pacote de CALs Empresariais para Office 365, Bridge do Pacote de CALs Empresariais para Office</w:t>
      </w:r>
      <w:r w:rsidR="003A0CB8" w:rsidRPr="00CE7565">
        <w:rPr>
          <w:lang w:val="pt-BR"/>
        </w:rPr>
        <w:t> </w:t>
      </w:r>
      <w:r w:rsidRPr="00CE7565">
        <w:rPr>
          <w:lang w:val="pt-BR"/>
        </w:rPr>
        <w:t>365</w:t>
      </w:r>
      <w:r w:rsidR="003A0CB8" w:rsidRPr="00CE7565">
        <w:rPr>
          <w:lang w:val="pt-BR"/>
        </w:rPr>
        <w:t> </w:t>
      </w:r>
      <w:r w:rsidRPr="00CE7565">
        <w:rPr>
          <w:lang w:val="pt-BR"/>
        </w:rPr>
        <w:t>e</w:t>
      </w:r>
      <w:r w:rsidR="003A0CB8" w:rsidRPr="00CE7565">
        <w:rPr>
          <w:lang w:val="pt-BR"/>
        </w:rPr>
        <w:t> </w:t>
      </w:r>
      <w:r w:rsidRPr="00CE7565">
        <w:rPr>
          <w:lang w:val="pt-BR"/>
        </w:rPr>
        <w:t>Windows Intune e Bridge do Pacote de CALs Empresariais para Windows Intune</w:t>
      </w:r>
      <w:r w:rsidRPr="00CE7565">
        <w:rPr>
          <w:lang w:val="pt-BR"/>
        </w:rPr>
        <w:tab/>
      </w:r>
      <w:r w:rsidRPr="00653421">
        <w:fldChar w:fldCharType="begin"/>
      </w:r>
      <w:r w:rsidRPr="00CE7565">
        <w:rPr>
          <w:lang w:val="pt-BR"/>
        </w:rPr>
        <w:instrText xml:space="preserve"> PAGEREF _Toc353470949 \h </w:instrText>
      </w:r>
      <w:r w:rsidRPr="00653421">
        <w:fldChar w:fldCharType="separate"/>
      </w:r>
      <w:r w:rsidR="00CE7565" w:rsidRPr="00CE7565">
        <w:rPr>
          <w:lang w:val="pt-BR"/>
        </w:rPr>
        <w:t>138</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44</w:t>
      </w:r>
      <w:r w:rsidRPr="00CE7565">
        <w:rPr>
          <w:lang w:val="pt-BR"/>
        </w:rPr>
        <w:t xml:space="preserve"> Pacotes CAL Empresarial</w:t>
      </w:r>
      <w:r w:rsidRPr="00CE7565">
        <w:rPr>
          <w:lang w:val="pt-BR"/>
        </w:rPr>
        <w:tab/>
      </w:r>
      <w:r w:rsidRPr="00653421">
        <w:fldChar w:fldCharType="begin"/>
      </w:r>
      <w:r w:rsidRPr="00CE7565">
        <w:rPr>
          <w:lang w:val="pt-BR"/>
        </w:rPr>
        <w:instrText xml:space="preserve"> PAGEREF _Toc353470950 \h </w:instrText>
      </w:r>
      <w:r w:rsidRPr="00653421">
        <w:fldChar w:fldCharType="separate"/>
      </w:r>
      <w:r w:rsidR="00CE7565" w:rsidRPr="00CE7565">
        <w:rPr>
          <w:lang w:val="pt-BR"/>
        </w:rPr>
        <w:t>139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vertAlign w:val="superscript"/>
          <w:lang w:val="pt-BR"/>
        </w:rPr>
        <w:t>45</w:t>
      </w:r>
      <w:r w:rsidRPr="00CE7565">
        <w:rPr>
          <w:rFonts w:cs="Tahoma"/>
          <w:lang w:val="pt-BR"/>
        </w:rPr>
        <w:t xml:space="preserve"> Arquivamento do Exchange Online (SL de Usuário)</w:t>
      </w:r>
      <w:r w:rsidRPr="00CE7565">
        <w:rPr>
          <w:lang w:val="pt-BR"/>
        </w:rPr>
        <w:tab/>
      </w:r>
      <w:r w:rsidRPr="00653421">
        <w:fldChar w:fldCharType="begin"/>
      </w:r>
      <w:r w:rsidRPr="00CE7565">
        <w:rPr>
          <w:lang w:val="pt-BR"/>
        </w:rPr>
        <w:instrText xml:space="preserve"> PAGEREF _Toc353470951 \h </w:instrText>
      </w:r>
      <w:r w:rsidRPr="00653421">
        <w:fldChar w:fldCharType="separate"/>
      </w:r>
      <w:r w:rsidR="00CE7565" w:rsidRPr="00CE7565">
        <w:rPr>
          <w:lang w:val="pt-BR"/>
        </w:rPr>
        <w:t>143</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vertAlign w:val="superscript"/>
          <w:lang w:val="pt-BR"/>
        </w:rPr>
        <w:t>46</w:t>
      </w:r>
      <w:r w:rsidRPr="00CE7565">
        <w:rPr>
          <w:rFonts w:cs="Tahoma"/>
          <w:lang w:val="pt-BR"/>
        </w:rPr>
        <w:t xml:space="preserve"> Exchange Hosted Archive (SL de Usuário), Exchange Hosted Archive Extra Storage (SL Complementar)</w:t>
      </w:r>
      <w:r w:rsidRPr="00CE7565">
        <w:rPr>
          <w:lang w:val="pt-BR"/>
        </w:rPr>
        <w:tab/>
      </w:r>
      <w:r w:rsidRPr="00653421">
        <w:fldChar w:fldCharType="begin"/>
      </w:r>
      <w:r w:rsidRPr="00CE7565">
        <w:rPr>
          <w:lang w:val="pt-BR"/>
        </w:rPr>
        <w:instrText xml:space="preserve"> PAGEREF _Toc353470952 \h </w:instrText>
      </w:r>
      <w:r w:rsidRPr="00653421">
        <w:fldChar w:fldCharType="separate"/>
      </w:r>
      <w:r w:rsidR="00CE7565" w:rsidRPr="00CE7565">
        <w:rPr>
          <w:lang w:val="pt-BR"/>
        </w:rPr>
        <w:t>143</w:t>
      </w:r>
      <w:r w:rsidRPr="00653421">
        <w:fldChar w:fldCharType="end"/>
      </w:r>
    </w:p>
    <w:p w:rsidR="00554623" w:rsidRPr="00CE7565" w:rsidRDefault="00554623">
      <w:pPr>
        <w:pStyle w:val="TOC2"/>
        <w:rPr>
          <w:rFonts w:asciiTheme="minorHAnsi" w:eastAsiaTheme="minorEastAsia" w:hAnsiTheme="minorHAnsi" w:cstheme="minorBidi"/>
          <w:sz w:val="22"/>
          <w:szCs w:val="22"/>
          <w:lang w:val="da-DK"/>
        </w:rPr>
      </w:pPr>
      <w:r w:rsidRPr="00CE7565">
        <w:rPr>
          <w:rFonts w:cs="Tahoma"/>
          <w:vertAlign w:val="superscript"/>
          <w:lang w:val="da-DK"/>
        </w:rPr>
        <w:t>47</w:t>
      </w:r>
      <w:r w:rsidRPr="00CE7565">
        <w:rPr>
          <w:rFonts w:cs="Tahoma"/>
          <w:lang w:val="da-DK"/>
        </w:rPr>
        <w:t xml:space="preserve"> Exchange Hosted Encryption (SL de Usuário)</w:t>
      </w:r>
      <w:r w:rsidRPr="00CE7565">
        <w:rPr>
          <w:lang w:val="da-DK"/>
        </w:rPr>
        <w:tab/>
      </w:r>
      <w:r w:rsidRPr="00653421">
        <w:fldChar w:fldCharType="begin"/>
      </w:r>
      <w:r w:rsidRPr="00CE7565">
        <w:rPr>
          <w:lang w:val="da-DK"/>
        </w:rPr>
        <w:instrText xml:space="preserve"> PAGEREF _Toc353470953 \h </w:instrText>
      </w:r>
      <w:r w:rsidRPr="00653421">
        <w:fldChar w:fldCharType="separate"/>
      </w:r>
      <w:r w:rsidR="00CE7565" w:rsidRPr="00CE7565">
        <w:rPr>
          <w:lang w:val="da-DK"/>
        </w:rPr>
        <w:t>144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48</w:t>
      </w:r>
      <w:r w:rsidRPr="00CE7565">
        <w:rPr>
          <w:lang w:val="pt-BR"/>
        </w:rPr>
        <w:t xml:space="preserve"> Quiosque do Exchange Online (SL de Usuário)</w:t>
      </w:r>
      <w:r w:rsidRPr="00CE7565">
        <w:rPr>
          <w:lang w:val="pt-BR"/>
        </w:rPr>
        <w:tab/>
      </w:r>
      <w:r w:rsidRPr="00653421">
        <w:fldChar w:fldCharType="begin"/>
      </w:r>
      <w:r w:rsidRPr="00CE7565">
        <w:rPr>
          <w:lang w:val="pt-BR"/>
        </w:rPr>
        <w:instrText xml:space="preserve"> PAGEREF _Toc353470954 \h </w:instrText>
      </w:r>
      <w:r w:rsidRPr="00653421">
        <w:fldChar w:fldCharType="separate"/>
      </w:r>
      <w:r w:rsidR="00CE7565" w:rsidRPr="00CE7565">
        <w:rPr>
          <w:lang w:val="pt-BR"/>
        </w:rPr>
        <w:t>144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49</w:t>
      </w:r>
      <w:r w:rsidRPr="00CE7565">
        <w:rPr>
          <w:lang w:val="pt-BR"/>
        </w:rPr>
        <w:t xml:space="preserve"> Exchange Online Plano 1</w:t>
      </w:r>
      <w:r w:rsidRPr="00CE7565">
        <w:rPr>
          <w:lang w:val="pt-BR"/>
        </w:rPr>
        <w:tab/>
      </w:r>
      <w:r w:rsidRPr="00653421">
        <w:fldChar w:fldCharType="begin"/>
      </w:r>
      <w:r w:rsidRPr="00CE7565">
        <w:rPr>
          <w:lang w:val="pt-BR"/>
        </w:rPr>
        <w:instrText xml:space="preserve"> PAGEREF _Toc353470955 \h </w:instrText>
      </w:r>
      <w:r w:rsidRPr="00653421">
        <w:fldChar w:fldCharType="separate"/>
      </w:r>
      <w:r w:rsidR="00CE7565" w:rsidRPr="00CE7565">
        <w:rPr>
          <w:lang w:val="pt-BR"/>
        </w:rPr>
        <w:t>145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50</w:t>
      </w:r>
      <w:r w:rsidRPr="00CE7565">
        <w:rPr>
          <w:rFonts w:cs="Tahoma"/>
          <w:lang w:val="pt-BR"/>
        </w:rPr>
        <w:t xml:space="preserve"> Exchange Online Plano 2</w:t>
      </w:r>
      <w:r w:rsidRPr="00CE7565">
        <w:rPr>
          <w:lang w:val="pt-BR"/>
        </w:rPr>
        <w:tab/>
      </w:r>
      <w:r w:rsidRPr="00653421">
        <w:fldChar w:fldCharType="begin"/>
      </w:r>
      <w:r w:rsidRPr="00CE7565">
        <w:rPr>
          <w:lang w:val="pt-BR"/>
        </w:rPr>
        <w:instrText xml:space="preserve"> PAGEREF _Toc353470956 \h </w:instrText>
      </w:r>
      <w:r w:rsidRPr="00653421">
        <w:fldChar w:fldCharType="separate"/>
      </w:r>
      <w:r w:rsidR="00CE7565" w:rsidRPr="00CE7565">
        <w:rPr>
          <w:lang w:val="pt-BR"/>
        </w:rPr>
        <w:t>145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 xml:space="preserve">51 </w:t>
      </w:r>
      <w:r w:rsidRPr="00CE7565">
        <w:rPr>
          <w:rFonts w:cs="Tahoma"/>
          <w:lang w:val="pt-BR"/>
        </w:rPr>
        <w:t>Exchange Online Protection (SL de Usuário)</w:t>
      </w:r>
      <w:r w:rsidRPr="00CE7565">
        <w:rPr>
          <w:lang w:val="pt-BR"/>
        </w:rPr>
        <w:tab/>
      </w:r>
      <w:r w:rsidRPr="00653421">
        <w:fldChar w:fldCharType="begin"/>
      </w:r>
      <w:r w:rsidRPr="00CE7565">
        <w:rPr>
          <w:lang w:val="pt-BR"/>
        </w:rPr>
        <w:instrText xml:space="preserve"> PAGEREF _Toc353470957 \h </w:instrText>
      </w:r>
      <w:r w:rsidRPr="00653421">
        <w:fldChar w:fldCharType="separate"/>
      </w:r>
      <w:r w:rsidR="00CE7565" w:rsidRPr="00CE7565">
        <w:rPr>
          <w:lang w:val="pt-BR"/>
        </w:rPr>
        <w:t>145</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52</w:t>
      </w:r>
      <w:r w:rsidRPr="00CE7565">
        <w:rPr>
          <w:rFonts w:cs="Tahoma"/>
          <w:caps/>
          <w:lang w:val="pt-BR"/>
        </w:rPr>
        <w:t xml:space="preserve"> </w:t>
      </w:r>
      <w:r w:rsidRPr="00CE7565">
        <w:rPr>
          <w:rFonts w:cs="Tahoma"/>
          <w:lang w:val="pt-BR"/>
        </w:rPr>
        <w:t>Exchange Server 2013 Enterprise e Standard Editions</w:t>
      </w:r>
      <w:r w:rsidRPr="00CE7565">
        <w:rPr>
          <w:lang w:val="pt-BR"/>
        </w:rPr>
        <w:tab/>
      </w:r>
      <w:r w:rsidRPr="00653421">
        <w:fldChar w:fldCharType="begin"/>
      </w:r>
      <w:r w:rsidRPr="00CE7565">
        <w:rPr>
          <w:lang w:val="pt-BR"/>
        </w:rPr>
        <w:instrText xml:space="preserve"> PAGEREF _Toc353470958 \h </w:instrText>
      </w:r>
      <w:r w:rsidRPr="00653421">
        <w:fldChar w:fldCharType="separate"/>
      </w:r>
      <w:r w:rsidR="00CE7565" w:rsidRPr="00CE7565">
        <w:rPr>
          <w:lang w:val="pt-BR"/>
        </w:rPr>
        <w:t>146</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53</w:t>
      </w:r>
      <w:r w:rsidRPr="00CE7565">
        <w:rPr>
          <w:lang w:val="pt-BR"/>
        </w:rPr>
        <w:t xml:space="preserve"> CAL Padrão do Exchange Server 2010</w:t>
      </w:r>
      <w:r w:rsidRPr="00CE7565">
        <w:rPr>
          <w:lang w:val="pt-BR"/>
        </w:rPr>
        <w:tab/>
      </w:r>
      <w:r w:rsidRPr="00653421">
        <w:fldChar w:fldCharType="begin"/>
      </w:r>
      <w:r w:rsidRPr="00CE7565">
        <w:rPr>
          <w:lang w:val="pt-BR"/>
        </w:rPr>
        <w:instrText xml:space="preserve"> PAGEREF _Toc353470959 \h </w:instrText>
      </w:r>
      <w:r w:rsidRPr="00653421">
        <w:fldChar w:fldCharType="separate"/>
      </w:r>
      <w:r w:rsidR="00CE7565" w:rsidRPr="00CE7565">
        <w:rPr>
          <w:lang w:val="pt-BR"/>
        </w:rPr>
        <w:t>147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54</w:t>
      </w:r>
      <w:r w:rsidRPr="00653421">
        <w:t xml:space="preserve"> Forefront Endpoint Protection</w:t>
      </w:r>
      <w:r w:rsidRPr="00653421">
        <w:tab/>
      </w:r>
      <w:r w:rsidRPr="00653421">
        <w:fldChar w:fldCharType="begin"/>
      </w:r>
      <w:r w:rsidRPr="00653421">
        <w:instrText xml:space="preserve"> PAGEREF _Toc353470960 \h </w:instrText>
      </w:r>
      <w:r w:rsidRPr="00653421">
        <w:fldChar w:fldCharType="separate"/>
      </w:r>
      <w:r w:rsidR="00CE7565">
        <w:t>147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55</w:t>
      </w:r>
      <w:r w:rsidRPr="00653421">
        <w:rPr>
          <w:caps/>
        </w:rPr>
        <w:t xml:space="preserve"> </w:t>
      </w:r>
      <w:r w:rsidRPr="00653421">
        <w:t>Forefront Identity Manager 2010 R2</w:t>
      </w:r>
      <w:r w:rsidRPr="00653421">
        <w:tab/>
      </w:r>
      <w:r w:rsidRPr="00653421">
        <w:fldChar w:fldCharType="begin"/>
      </w:r>
      <w:r w:rsidRPr="00653421">
        <w:instrText xml:space="preserve"> PAGEREF _Toc353470961 \h </w:instrText>
      </w:r>
      <w:r w:rsidRPr="00653421">
        <w:fldChar w:fldCharType="separate"/>
      </w:r>
      <w:r w:rsidR="00CE7565">
        <w:t>147</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56</w:t>
      </w:r>
      <w:r w:rsidRPr="00653421">
        <w:rPr>
          <w:rFonts w:cs="Tahoma"/>
        </w:rPr>
        <w:t xml:space="preserve"> Forefront Identity Manager 2010 – Windows Live Edition</w:t>
      </w:r>
      <w:r w:rsidRPr="00653421">
        <w:tab/>
      </w:r>
      <w:r w:rsidRPr="00653421">
        <w:fldChar w:fldCharType="begin"/>
      </w:r>
      <w:r w:rsidRPr="00653421">
        <w:instrText xml:space="preserve"> PAGEREF _Toc353470962 \h </w:instrText>
      </w:r>
      <w:r w:rsidRPr="00653421">
        <w:fldChar w:fldCharType="separate"/>
      </w:r>
      <w:r w:rsidR="00CE7565">
        <w:t>147</w:t>
      </w:r>
      <w:r w:rsidRPr="00653421">
        <w:fldChar w:fldCharType="end"/>
      </w:r>
    </w:p>
    <w:p w:rsidR="00554623" w:rsidRPr="00653421" w:rsidRDefault="00554623" w:rsidP="0095190D">
      <w:pPr>
        <w:pStyle w:val="TOC3"/>
        <w:ind w:left="187" w:hanging="187"/>
        <w:rPr>
          <w:rFonts w:asciiTheme="minorHAnsi" w:eastAsiaTheme="minorEastAsia" w:hAnsiTheme="minorHAnsi" w:cstheme="minorBidi"/>
          <w:sz w:val="22"/>
          <w:szCs w:val="22"/>
        </w:rPr>
      </w:pPr>
      <w:r w:rsidRPr="00653421">
        <w:rPr>
          <w:caps/>
          <w:vertAlign w:val="superscript"/>
        </w:rPr>
        <w:t>57</w:t>
      </w:r>
      <w:r w:rsidRPr="00653421">
        <w:t xml:space="preserve"> Forefront Protection 2010 para Exchange Server (SL de Usuário e Dispositivo), </w:t>
      </w:r>
      <w:r w:rsidR="003A0CB8" w:rsidRPr="00653421">
        <w:br/>
      </w:r>
      <w:r w:rsidRPr="00653421">
        <w:t xml:space="preserve">Forefront Protection 2010 para SharePoint (SL de Usuário e Dispositivo) e </w:t>
      </w:r>
      <w:r w:rsidR="003A0CB8" w:rsidRPr="00653421">
        <w:br/>
      </w:r>
      <w:r w:rsidRPr="00653421">
        <w:t>Forefront Protection 2010 para Sites de Internet (SL Complementar)</w:t>
      </w:r>
      <w:r w:rsidRPr="00653421">
        <w:tab/>
      </w:r>
      <w:r w:rsidRPr="00653421">
        <w:fldChar w:fldCharType="begin"/>
      </w:r>
      <w:r w:rsidRPr="00653421">
        <w:instrText xml:space="preserve"> PAGEREF _Toc353470963 \h </w:instrText>
      </w:r>
      <w:r w:rsidRPr="00653421">
        <w:fldChar w:fldCharType="separate"/>
      </w:r>
      <w:r w:rsidR="00CE7565">
        <w:t>148</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58</w:t>
      </w:r>
      <w:r w:rsidRPr="00653421">
        <w:t xml:space="preserve"> Forefront Protection Suite (Dispositivo e Usuário)</w:t>
      </w:r>
      <w:r w:rsidRPr="00653421">
        <w:tab/>
      </w:r>
      <w:r w:rsidRPr="00653421">
        <w:fldChar w:fldCharType="begin"/>
      </w:r>
      <w:r w:rsidRPr="00653421">
        <w:instrText xml:space="preserve"> PAGEREF _Toc353470964 \h </w:instrText>
      </w:r>
      <w:r w:rsidRPr="00653421">
        <w:fldChar w:fldCharType="separate"/>
      </w:r>
      <w:r w:rsidR="00CE7565">
        <w:t>148</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59</w:t>
      </w:r>
      <w:r w:rsidRPr="00653421">
        <w:rPr>
          <w:caps/>
        </w:rPr>
        <w:t xml:space="preserve"> </w:t>
      </w:r>
      <w:r w:rsidRPr="00653421">
        <w:t>Forefront Security para Office Communications Server (SL de Usuário e Dispositivo)</w:t>
      </w:r>
      <w:r w:rsidRPr="00653421">
        <w:tab/>
      </w:r>
      <w:r w:rsidRPr="00653421">
        <w:fldChar w:fldCharType="begin"/>
      </w:r>
      <w:r w:rsidRPr="00653421">
        <w:instrText xml:space="preserve"> PAGEREF _Toc353470965 \h </w:instrText>
      </w:r>
      <w:r w:rsidRPr="00653421">
        <w:fldChar w:fldCharType="separate"/>
      </w:r>
      <w:r w:rsidR="00CE7565">
        <w:t>149</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60</w:t>
      </w:r>
      <w:r w:rsidRPr="00653421">
        <w:rPr>
          <w:caps/>
        </w:rPr>
        <w:t xml:space="preserve"> </w:t>
      </w:r>
      <w:r w:rsidRPr="00653421">
        <w:t>Forefront Threat Management Gateway Web Protection Service</w:t>
      </w:r>
      <w:r w:rsidRPr="00653421">
        <w:tab/>
      </w:r>
      <w:r w:rsidRPr="00653421">
        <w:fldChar w:fldCharType="begin"/>
      </w:r>
      <w:r w:rsidRPr="00653421">
        <w:instrText xml:space="preserve"> PAGEREF _Toc353470966 \h </w:instrText>
      </w:r>
      <w:r w:rsidRPr="00653421">
        <w:fldChar w:fldCharType="separate"/>
      </w:r>
      <w:r w:rsidR="00CE7565">
        <w:t>149</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61</w:t>
      </w:r>
      <w:r w:rsidRPr="00653421">
        <w:rPr>
          <w:caps/>
        </w:rPr>
        <w:t xml:space="preserve"> </w:t>
      </w:r>
      <w:r w:rsidRPr="00653421">
        <w:t>Forefront Unified Access Gateway 2010</w:t>
      </w:r>
      <w:r w:rsidRPr="00653421">
        <w:tab/>
      </w:r>
      <w:r w:rsidRPr="00653421">
        <w:fldChar w:fldCharType="begin"/>
      </w:r>
      <w:r w:rsidRPr="00653421">
        <w:instrText xml:space="preserve"> PAGEREF _Toc353470967 \h </w:instrText>
      </w:r>
      <w:r w:rsidRPr="00653421">
        <w:fldChar w:fldCharType="separate"/>
      </w:r>
      <w:r w:rsidR="00CE7565">
        <w:t>149</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62</w:t>
      </w:r>
      <w:r w:rsidRPr="00653421">
        <w:rPr>
          <w:caps/>
        </w:rPr>
        <w:t xml:space="preserve"> </w:t>
      </w:r>
      <w:r w:rsidRPr="00653421">
        <w:t>HPC Pack 2008 R2 Enterprise</w:t>
      </w:r>
      <w:r w:rsidRPr="00653421">
        <w:tab/>
      </w:r>
      <w:r w:rsidRPr="00653421">
        <w:fldChar w:fldCharType="begin"/>
      </w:r>
      <w:r w:rsidRPr="00653421">
        <w:instrText xml:space="preserve"> PAGEREF _Toc353470968 \h </w:instrText>
      </w:r>
      <w:r w:rsidRPr="00653421">
        <w:fldChar w:fldCharType="separate"/>
      </w:r>
      <w:r w:rsidR="00CE7565">
        <w:t>149</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63</w:t>
      </w:r>
      <w:r w:rsidRPr="00653421">
        <w:t xml:space="preserve"> Learning Solutions MCP Exam Vouchers</w:t>
      </w:r>
      <w:r w:rsidRPr="00653421">
        <w:tab/>
      </w:r>
      <w:r w:rsidRPr="00653421">
        <w:fldChar w:fldCharType="begin"/>
      </w:r>
      <w:r w:rsidRPr="00653421">
        <w:instrText xml:space="preserve"> PAGEREF _Toc353470969 \h </w:instrText>
      </w:r>
      <w:r w:rsidRPr="00653421">
        <w:fldChar w:fldCharType="separate"/>
      </w:r>
      <w:r w:rsidR="00CE7565">
        <w:t>150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64</w:t>
      </w:r>
      <w:r w:rsidRPr="00CE7565">
        <w:rPr>
          <w:rFonts w:cs="Tahoma"/>
          <w:lang w:val="pt-BR"/>
        </w:rPr>
        <w:t xml:space="preserve"> Lync Online Planos 1, 2 e 3</w:t>
      </w:r>
      <w:r w:rsidRPr="00CE7565">
        <w:rPr>
          <w:lang w:val="pt-BR"/>
        </w:rPr>
        <w:tab/>
      </w:r>
      <w:r w:rsidRPr="00653421">
        <w:fldChar w:fldCharType="begin"/>
      </w:r>
      <w:r w:rsidRPr="00CE7565">
        <w:rPr>
          <w:lang w:val="pt-BR"/>
        </w:rPr>
        <w:instrText xml:space="preserve"> PAGEREF _Toc353470970 \h </w:instrText>
      </w:r>
      <w:r w:rsidRPr="00653421">
        <w:fldChar w:fldCharType="separate"/>
      </w:r>
      <w:r w:rsidR="00CE7565" w:rsidRPr="00CE7565">
        <w:rPr>
          <w:lang w:val="pt-BR"/>
        </w:rPr>
        <w:t>150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65</w:t>
      </w:r>
      <w:r w:rsidRPr="00CE7565">
        <w:rPr>
          <w:rFonts w:cs="Tahoma"/>
          <w:caps/>
          <w:lang w:val="pt-BR"/>
        </w:rPr>
        <w:t xml:space="preserve"> </w:t>
      </w:r>
      <w:r w:rsidRPr="00CE7565">
        <w:rPr>
          <w:rFonts w:cs="Tahoma"/>
          <w:lang w:val="pt-BR"/>
        </w:rPr>
        <w:t>Lync Server 2013</w:t>
      </w:r>
      <w:r w:rsidRPr="00CE7565">
        <w:rPr>
          <w:lang w:val="pt-BR"/>
        </w:rPr>
        <w:tab/>
      </w:r>
      <w:r w:rsidRPr="00653421">
        <w:fldChar w:fldCharType="begin"/>
      </w:r>
      <w:r w:rsidRPr="00CE7565">
        <w:rPr>
          <w:lang w:val="pt-BR"/>
        </w:rPr>
        <w:instrText xml:space="preserve"> PAGEREF _Toc353470971 \h </w:instrText>
      </w:r>
      <w:r w:rsidRPr="00653421">
        <w:fldChar w:fldCharType="separate"/>
      </w:r>
      <w:r w:rsidR="00CE7565" w:rsidRPr="00CE7565">
        <w:rPr>
          <w:lang w:val="pt-BR"/>
        </w:rPr>
        <w:t>151</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vertAlign w:val="superscript"/>
          <w:lang w:val="pt-BR"/>
        </w:rPr>
        <w:t>66</w:t>
      </w:r>
      <w:r w:rsidRPr="00CE7565">
        <w:rPr>
          <w:lang w:val="pt-BR"/>
        </w:rPr>
        <w:t xml:space="preserve"> Microsoft Dynamics AX 2012 R2</w:t>
      </w:r>
      <w:r w:rsidRPr="00CE7565">
        <w:rPr>
          <w:lang w:val="pt-BR"/>
        </w:rPr>
        <w:tab/>
      </w:r>
      <w:r w:rsidRPr="00653421">
        <w:fldChar w:fldCharType="begin"/>
      </w:r>
      <w:r w:rsidRPr="00CE7565">
        <w:rPr>
          <w:lang w:val="pt-BR"/>
        </w:rPr>
        <w:instrText xml:space="preserve"> PAGEREF _Toc353470972 \h </w:instrText>
      </w:r>
      <w:r w:rsidRPr="00653421">
        <w:fldChar w:fldCharType="separate"/>
      </w:r>
      <w:r w:rsidR="00CE7565" w:rsidRPr="00CE7565">
        <w:rPr>
          <w:lang w:val="pt-BR"/>
        </w:rPr>
        <w:t>152</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vertAlign w:val="superscript"/>
          <w:lang w:val="pt-BR"/>
        </w:rPr>
        <w:t>67</w:t>
      </w:r>
      <w:r w:rsidRPr="00CE7565">
        <w:rPr>
          <w:lang w:val="pt-BR"/>
        </w:rPr>
        <w:t xml:space="preserve"> Microsoft Dynamics CRM 2011</w:t>
      </w:r>
      <w:r w:rsidRPr="00CE7565">
        <w:rPr>
          <w:lang w:val="pt-BR"/>
        </w:rPr>
        <w:tab/>
      </w:r>
      <w:r w:rsidRPr="00653421">
        <w:fldChar w:fldCharType="begin"/>
      </w:r>
      <w:r w:rsidRPr="00CE7565">
        <w:rPr>
          <w:lang w:val="pt-BR"/>
        </w:rPr>
        <w:instrText xml:space="preserve"> PAGEREF _Toc353470973 \h </w:instrText>
      </w:r>
      <w:r w:rsidRPr="00653421">
        <w:fldChar w:fldCharType="separate"/>
      </w:r>
      <w:r w:rsidR="00CE7565" w:rsidRPr="00CE7565">
        <w:rPr>
          <w:lang w:val="pt-BR"/>
        </w:rPr>
        <w:t>154</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68</w:t>
      </w:r>
      <w:r w:rsidRPr="00CE7565">
        <w:rPr>
          <w:rFonts w:cs="Tahoma"/>
          <w:caps/>
          <w:lang w:val="pt-BR"/>
        </w:rPr>
        <w:t xml:space="preserve"> </w:t>
      </w:r>
      <w:r w:rsidRPr="00CE7565">
        <w:rPr>
          <w:rFonts w:cs="Tahoma"/>
          <w:lang w:val="pt-BR"/>
        </w:rPr>
        <w:t>Microsoft Dynamics CRM 2011 Server</w:t>
      </w:r>
      <w:r w:rsidRPr="00CE7565">
        <w:rPr>
          <w:lang w:val="pt-BR"/>
        </w:rPr>
        <w:tab/>
      </w:r>
      <w:r w:rsidRPr="00653421">
        <w:fldChar w:fldCharType="begin"/>
      </w:r>
      <w:r w:rsidRPr="00CE7565">
        <w:rPr>
          <w:lang w:val="pt-BR"/>
        </w:rPr>
        <w:instrText xml:space="preserve"> PAGEREF _Toc353470974 \h </w:instrText>
      </w:r>
      <w:r w:rsidRPr="00653421">
        <w:fldChar w:fldCharType="separate"/>
      </w:r>
      <w:r w:rsidR="00CE7565" w:rsidRPr="00CE7565">
        <w:rPr>
          <w:lang w:val="pt-BR"/>
        </w:rPr>
        <w:t>162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69</w:t>
      </w:r>
      <w:r w:rsidRPr="00CE7565">
        <w:rPr>
          <w:rFonts w:cs="Tahoma"/>
          <w:lang w:val="pt-BR"/>
        </w:rPr>
        <w:t xml:space="preserve"> Office 365 Enterprise E1</w:t>
      </w:r>
      <w:r w:rsidRPr="00CE7565">
        <w:rPr>
          <w:lang w:val="pt-BR"/>
        </w:rPr>
        <w:tab/>
      </w:r>
      <w:r w:rsidRPr="00653421">
        <w:fldChar w:fldCharType="begin"/>
      </w:r>
      <w:r w:rsidRPr="00CE7565">
        <w:rPr>
          <w:lang w:val="pt-BR"/>
        </w:rPr>
        <w:instrText xml:space="preserve"> PAGEREF _Toc353470975 \h </w:instrText>
      </w:r>
      <w:r w:rsidRPr="00653421">
        <w:fldChar w:fldCharType="separate"/>
      </w:r>
      <w:r w:rsidR="00CE7565" w:rsidRPr="00CE7565">
        <w:rPr>
          <w:lang w:val="pt-BR"/>
        </w:rPr>
        <w:t>162</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70</w:t>
      </w:r>
      <w:r w:rsidRPr="00CE7565">
        <w:rPr>
          <w:rFonts w:cs="Tahoma"/>
          <w:caps/>
          <w:lang w:val="pt-BR"/>
        </w:rPr>
        <w:t xml:space="preserve"> </w:t>
      </w:r>
      <w:r w:rsidRPr="00CE7565">
        <w:rPr>
          <w:rFonts w:cs="Tahoma"/>
          <w:lang w:val="pt-BR"/>
        </w:rPr>
        <w:t>Office 365 Enterprise K1 e K2 (SL de Usuário)</w:t>
      </w:r>
      <w:r w:rsidRPr="00CE7565">
        <w:rPr>
          <w:lang w:val="pt-BR"/>
        </w:rPr>
        <w:tab/>
      </w:r>
      <w:r w:rsidRPr="00653421">
        <w:fldChar w:fldCharType="begin"/>
      </w:r>
      <w:r w:rsidRPr="00CE7565">
        <w:rPr>
          <w:lang w:val="pt-BR"/>
        </w:rPr>
        <w:instrText xml:space="preserve"> PAGEREF _Toc353470976 \h </w:instrText>
      </w:r>
      <w:r w:rsidRPr="00653421">
        <w:fldChar w:fldCharType="separate"/>
      </w:r>
      <w:r w:rsidR="00CE7565" w:rsidRPr="00CE7565">
        <w:rPr>
          <w:lang w:val="pt-BR"/>
        </w:rPr>
        <w:t>162</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71</w:t>
      </w:r>
      <w:r w:rsidRPr="00653421">
        <w:rPr>
          <w:rFonts w:cs="Tahoma"/>
        </w:rPr>
        <w:t xml:space="preserve"> Office 365 Government G1-G4</w:t>
      </w:r>
      <w:r w:rsidRPr="00653421">
        <w:tab/>
      </w:r>
      <w:r w:rsidRPr="00653421">
        <w:fldChar w:fldCharType="begin"/>
      </w:r>
      <w:r w:rsidRPr="00653421">
        <w:instrText xml:space="preserve"> PAGEREF _Toc353470977 \h </w:instrText>
      </w:r>
      <w:r w:rsidRPr="00653421">
        <w:fldChar w:fldCharType="separate"/>
      </w:r>
      <w:r w:rsidR="00CE7565">
        <w:t>163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72</w:t>
      </w:r>
      <w:r w:rsidRPr="00653421">
        <w:rPr>
          <w:rFonts w:cs="Tahoma"/>
        </w:rPr>
        <w:t xml:space="preserve"> SharePoint Online Planos 1 e 2</w:t>
      </w:r>
      <w:r w:rsidRPr="00653421">
        <w:tab/>
      </w:r>
      <w:r w:rsidRPr="00653421">
        <w:fldChar w:fldCharType="begin"/>
      </w:r>
      <w:r w:rsidRPr="00653421">
        <w:instrText xml:space="preserve"> PAGEREF _Toc353470978 \h </w:instrText>
      </w:r>
      <w:r w:rsidRPr="00653421">
        <w:fldChar w:fldCharType="separate"/>
      </w:r>
      <w:r w:rsidR="00CE7565">
        <w:t>163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73</w:t>
      </w:r>
      <w:r w:rsidRPr="00653421">
        <w:rPr>
          <w:rFonts w:cs="Tahoma"/>
          <w:caps/>
        </w:rPr>
        <w:t xml:space="preserve"> </w:t>
      </w:r>
      <w:r w:rsidRPr="00653421">
        <w:rPr>
          <w:rFonts w:cs="Tahoma"/>
        </w:rPr>
        <w:t>SharePoint Server 2013</w:t>
      </w:r>
      <w:r w:rsidRPr="00653421">
        <w:tab/>
      </w:r>
      <w:r w:rsidRPr="00653421">
        <w:fldChar w:fldCharType="begin"/>
      </w:r>
      <w:r w:rsidRPr="00653421">
        <w:instrText xml:space="preserve"> PAGEREF _Toc353470979 \h </w:instrText>
      </w:r>
      <w:r w:rsidRPr="00653421">
        <w:fldChar w:fldCharType="separate"/>
      </w:r>
      <w:r w:rsidR="00CE7565">
        <w:t>164</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74</w:t>
      </w:r>
      <w:r w:rsidRPr="00653421">
        <w:t xml:space="preserve"> SQL Server</w:t>
      </w:r>
      <w:r w:rsidRPr="00653421">
        <w:rPr>
          <w:vertAlign w:val="superscript"/>
        </w:rPr>
        <w:t>®</w:t>
      </w:r>
      <w:r w:rsidRPr="00653421">
        <w:t xml:space="preserve"> 2008 R2 Datacenter</w:t>
      </w:r>
      <w:r w:rsidRPr="00653421">
        <w:tab/>
      </w:r>
      <w:r w:rsidRPr="00653421">
        <w:fldChar w:fldCharType="begin"/>
      </w:r>
      <w:r w:rsidRPr="00653421">
        <w:instrText xml:space="preserve"> PAGEREF _Toc353470980 \h </w:instrText>
      </w:r>
      <w:r w:rsidRPr="00653421">
        <w:fldChar w:fldCharType="separate"/>
      </w:r>
      <w:r w:rsidR="00CE7565">
        <w:t>166</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75</w:t>
      </w:r>
      <w:r w:rsidRPr="00653421">
        <w:rPr>
          <w:caps/>
        </w:rPr>
        <w:t xml:space="preserve"> </w:t>
      </w:r>
      <w:r w:rsidRPr="00653421">
        <w:t>SQL Server</w:t>
      </w:r>
      <w:r w:rsidRPr="00653421">
        <w:rPr>
          <w:vertAlign w:val="superscript"/>
        </w:rPr>
        <w:t>®</w:t>
      </w:r>
      <w:r w:rsidRPr="00653421">
        <w:t xml:space="preserve"> 2008 R2 Small Business</w:t>
      </w:r>
      <w:r w:rsidRPr="00653421">
        <w:tab/>
      </w:r>
      <w:r w:rsidRPr="00653421">
        <w:fldChar w:fldCharType="begin"/>
      </w:r>
      <w:r w:rsidRPr="00653421">
        <w:instrText xml:space="preserve"> PAGEREF _Toc353470981 \h </w:instrText>
      </w:r>
      <w:r w:rsidRPr="00653421">
        <w:fldChar w:fldCharType="separate"/>
      </w:r>
      <w:r w:rsidR="00CE7565">
        <w:t>168</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lastRenderedPageBreak/>
        <w:t>76</w:t>
      </w:r>
      <w:r w:rsidRPr="00CE7565">
        <w:rPr>
          <w:lang w:val="pt-BR"/>
        </w:rPr>
        <w:t xml:space="preserve"> SQL Server</w:t>
      </w:r>
      <w:r w:rsidRPr="00CE7565">
        <w:rPr>
          <w:vertAlign w:val="superscript"/>
          <w:lang w:val="pt-BR"/>
        </w:rPr>
        <w:t>®</w:t>
      </w:r>
      <w:r w:rsidRPr="00CE7565">
        <w:rPr>
          <w:lang w:val="pt-BR"/>
        </w:rPr>
        <w:t xml:space="preserve"> 2008 R2 Web Processor</w:t>
      </w:r>
      <w:r w:rsidRPr="00CE7565">
        <w:rPr>
          <w:lang w:val="pt-BR"/>
        </w:rPr>
        <w:tab/>
      </w:r>
      <w:r w:rsidRPr="00653421">
        <w:fldChar w:fldCharType="begin"/>
      </w:r>
      <w:r w:rsidRPr="00CE7565">
        <w:rPr>
          <w:lang w:val="pt-BR"/>
        </w:rPr>
        <w:instrText xml:space="preserve"> PAGEREF _Toc353470982 \h </w:instrText>
      </w:r>
      <w:r w:rsidRPr="00653421">
        <w:fldChar w:fldCharType="separate"/>
      </w:r>
      <w:r w:rsidR="00CE7565" w:rsidRPr="00CE7565">
        <w:rPr>
          <w:lang w:val="pt-BR"/>
        </w:rPr>
        <w:t>168</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vertAlign w:val="superscript"/>
          <w:lang w:val="pt-BR"/>
        </w:rPr>
        <w:t>77</w:t>
      </w:r>
      <w:r w:rsidRPr="00CE7565">
        <w:rPr>
          <w:lang w:val="pt-BR"/>
        </w:rPr>
        <w:t xml:space="preserve"> SQL Server</w:t>
      </w:r>
      <w:r w:rsidRPr="00CE7565">
        <w:rPr>
          <w:vertAlign w:val="superscript"/>
          <w:lang w:val="pt-BR"/>
        </w:rPr>
        <w:t>®</w:t>
      </w:r>
      <w:r w:rsidRPr="00CE7565">
        <w:rPr>
          <w:lang w:val="pt-BR"/>
        </w:rPr>
        <w:t xml:space="preserve"> 2008 R2 Workgroup (5 Clientes Complementares)</w:t>
      </w:r>
      <w:r w:rsidRPr="00CE7565">
        <w:rPr>
          <w:lang w:val="pt-BR"/>
        </w:rPr>
        <w:tab/>
      </w:r>
      <w:r w:rsidRPr="00653421">
        <w:fldChar w:fldCharType="begin"/>
      </w:r>
      <w:r w:rsidRPr="00CE7565">
        <w:rPr>
          <w:lang w:val="pt-BR"/>
        </w:rPr>
        <w:instrText xml:space="preserve"> PAGEREF _Toc353470983 \h </w:instrText>
      </w:r>
      <w:r w:rsidRPr="00653421">
        <w:fldChar w:fldCharType="separate"/>
      </w:r>
      <w:r w:rsidR="00CE7565" w:rsidRPr="00CE7565">
        <w:rPr>
          <w:lang w:val="pt-BR"/>
        </w:rPr>
        <w:t>171</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vertAlign w:val="superscript"/>
          <w:lang w:val="pt-BR"/>
        </w:rPr>
        <w:t>78</w:t>
      </w:r>
      <w:r w:rsidRPr="00CE7565">
        <w:rPr>
          <w:lang w:val="pt-BR"/>
        </w:rPr>
        <w:t xml:space="preserve"> SQL Server</w:t>
      </w:r>
      <w:r w:rsidRPr="00CE7565">
        <w:rPr>
          <w:vertAlign w:val="superscript"/>
          <w:lang w:val="pt-BR"/>
        </w:rPr>
        <w:t>®</w:t>
      </w:r>
      <w:r w:rsidRPr="00CE7565">
        <w:rPr>
          <w:lang w:val="pt-BR"/>
        </w:rPr>
        <w:t xml:space="preserve"> 2008 R2 Workgroup Processor</w:t>
      </w:r>
      <w:r w:rsidRPr="00CE7565">
        <w:rPr>
          <w:lang w:val="pt-BR"/>
        </w:rPr>
        <w:tab/>
      </w:r>
      <w:r w:rsidRPr="00653421">
        <w:fldChar w:fldCharType="begin"/>
      </w:r>
      <w:r w:rsidRPr="00CE7565">
        <w:rPr>
          <w:lang w:val="pt-BR"/>
        </w:rPr>
        <w:instrText xml:space="preserve"> PAGEREF _Toc353470984 \h </w:instrText>
      </w:r>
      <w:r w:rsidRPr="00653421">
        <w:fldChar w:fldCharType="separate"/>
      </w:r>
      <w:r w:rsidR="00CE7565" w:rsidRPr="00CE7565">
        <w:rPr>
          <w:lang w:val="pt-BR"/>
        </w:rPr>
        <w:t>171</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vertAlign w:val="superscript"/>
          <w:lang w:val="pt-BR"/>
        </w:rPr>
        <w:t>79</w:t>
      </w:r>
      <w:r w:rsidRPr="00CE7565">
        <w:rPr>
          <w:lang w:val="pt-BR"/>
        </w:rPr>
        <w:t xml:space="preserve"> SQL Server</w:t>
      </w:r>
      <w:r w:rsidRPr="00CE7565">
        <w:rPr>
          <w:vertAlign w:val="superscript"/>
          <w:lang w:val="pt-BR"/>
        </w:rPr>
        <w:t>®</w:t>
      </w:r>
      <w:r w:rsidRPr="00CE7565">
        <w:rPr>
          <w:lang w:val="pt-BR"/>
        </w:rPr>
        <w:t xml:space="preserve"> 2012 Developer</w:t>
      </w:r>
      <w:r w:rsidRPr="00CE7565">
        <w:rPr>
          <w:lang w:val="pt-BR"/>
        </w:rPr>
        <w:tab/>
      </w:r>
      <w:r w:rsidRPr="00653421">
        <w:fldChar w:fldCharType="begin"/>
      </w:r>
      <w:r w:rsidRPr="00CE7565">
        <w:rPr>
          <w:lang w:val="pt-BR"/>
        </w:rPr>
        <w:instrText xml:space="preserve"> PAGEREF _Toc353470985 \h </w:instrText>
      </w:r>
      <w:r w:rsidRPr="00653421">
        <w:fldChar w:fldCharType="separate"/>
      </w:r>
      <w:r w:rsidR="00CE7565" w:rsidRPr="00CE7565">
        <w:rPr>
          <w:lang w:val="pt-BR"/>
        </w:rPr>
        <w:t>174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vertAlign w:val="superscript"/>
          <w:lang w:val="pt-BR"/>
        </w:rPr>
        <w:t>80</w:t>
      </w:r>
      <w:r w:rsidRPr="00CE7565">
        <w:rPr>
          <w:lang w:val="pt-BR"/>
        </w:rPr>
        <w:t xml:space="preserve"> SQL Server</w:t>
      </w:r>
      <w:r w:rsidRPr="00CE7565">
        <w:rPr>
          <w:vertAlign w:val="superscript"/>
          <w:lang w:val="pt-BR"/>
        </w:rPr>
        <w:t>®</w:t>
      </w:r>
      <w:r w:rsidRPr="00CE7565">
        <w:rPr>
          <w:lang w:val="pt-BR"/>
        </w:rPr>
        <w:t xml:space="preserve"> 2012 Enterprise</w:t>
      </w:r>
      <w:r w:rsidRPr="00CE7565">
        <w:rPr>
          <w:lang w:val="pt-BR"/>
        </w:rPr>
        <w:tab/>
      </w:r>
      <w:r w:rsidRPr="00653421">
        <w:fldChar w:fldCharType="begin"/>
      </w:r>
      <w:r w:rsidRPr="00CE7565">
        <w:rPr>
          <w:lang w:val="pt-BR"/>
        </w:rPr>
        <w:instrText xml:space="preserve"> PAGEREF _Toc353470986 \h </w:instrText>
      </w:r>
      <w:r w:rsidRPr="00653421">
        <w:fldChar w:fldCharType="separate"/>
      </w:r>
      <w:r w:rsidR="00CE7565" w:rsidRPr="00CE7565">
        <w:rPr>
          <w:lang w:val="pt-BR"/>
        </w:rPr>
        <w:t>174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81</w:t>
      </w:r>
      <w:r w:rsidRPr="00CE7565">
        <w:rPr>
          <w:caps/>
          <w:lang w:val="pt-BR"/>
        </w:rPr>
        <w:t xml:space="preserve"> </w:t>
      </w:r>
      <w:r w:rsidRPr="00CE7565">
        <w:rPr>
          <w:lang w:val="pt-BR"/>
        </w:rPr>
        <w:t>SQL Server</w:t>
      </w:r>
      <w:r w:rsidRPr="00CE7565">
        <w:rPr>
          <w:vertAlign w:val="superscript"/>
          <w:lang w:val="pt-BR"/>
        </w:rPr>
        <w:t>®</w:t>
      </w:r>
      <w:r w:rsidRPr="00CE7565">
        <w:rPr>
          <w:lang w:val="pt-BR"/>
        </w:rPr>
        <w:t xml:space="preserve"> 2012 Enterprise Core</w:t>
      </w:r>
      <w:r w:rsidRPr="00CE7565">
        <w:rPr>
          <w:lang w:val="pt-BR"/>
        </w:rPr>
        <w:tab/>
      </w:r>
      <w:r w:rsidRPr="00653421">
        <w:fldChar w:fldCharType="begin"/>
      </w:r>
      <w:r w:rsidRPr="00CE7565">
        <w:rPr>
          <w:lang w:val="pt-BR"/>
        </w:rPr>
        <w:instrText xml:space="preserve"> PAGEREF _Toc353470987 \h </w:instrText>
      </w:r>
      <w:r w:rsidRPr="00653421">
        <w:fldChar w:fldCharType="separate"/>
      </w:r>
      <w:r w:rsidR="00CE7565" w:rsidRPr="00CE7565">
        <w:rPr>
          <w:lang w:val="pt-BR"/>
        </w:rPr>
        <w:t>175</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82</w:t>
      </w:r>
      <w:r w:rsidR="005B07BD" w:rsidRPr="00653421">
        <w:t xml:space="preserve"> SQL Server</w:t>
      </w:r>
      <w:r w:rsidRPr="00653421">
        <w:rPr>
          <w:vertAlign w:val="superscript"/>
        </w:rPr>
        <w:t>®</w:t>
      </w:r>
      <w:r w:rsidRPr="00653421">
        <w:t xml:space="preserve"> 2012 Parallel Data Warehouse</w:t>
      </w:r>
      <w:r w:rsidRPr="00653421">
        <w:tab/>
      </w:r>
      <w:r w:rsidRPr="00653421">
        <w:fldChar w:fldCharType="begin"/>
      </w:r>
      <w:r w:rsidRPr="00653421">
        <w:instrText xml:space="preserve"> PAGEREF _Toc353470988 \h </w:instrText>
      </w:r>
      <w:r w:rsidRPr="00653421">
        <w:fldChar w:fldCharType="separate"/>
      </w:r>
      <w:r w:rsidR="00CE7565">
        <w:t>177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83</w:t>
      </w:r>
      <w:r w:rsidRPr="00653421">
        <w:t xml:space="preserve"> SQL Server</w:t>
      </w:r>
      <w:r w:rsidRPr="00653421">
        <w:rPr>
          <w:vertAlign w:val="superscript"/>
        </w:rPr>
        <w:t>®</w:t>
      </w:r>
      <w:r w:rsidRPr="00653421">
        <w:t xml:space="preserve"> 2012 Standard</w:t>
      </w:r>
      <w:r w:rsidRPr="00653421">
        <w:tab/>
      </w:r>
      <w:r w:rsidRPr="00653421">
        <w:fldChar w:fldCharType="begin"/>
      </w:r>
      <w:r w:rsidRPr="00653421">
        <w:instrText xml:space="preserve"> PAGEREF _Toc353470989 \h </w:instrText>
      </w:r>
      <w:r w:rsidRPr="00653421">
        <w:fldChar w:fldCharType="separate"/>
      </w:r>
      <w:r w:rsidR="00CE7565">
        <w:t>178</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84</w:t>
      </w:r>
      <w:r w:rsidRPr="00653421">
        <w:t xml:space="preserve"> SQL Server</w:t>
      </w:r>
      <w:r w:rsidRPr="00653421">
        <w:rPr>
          <w:vertAlign w:val="superscript"/>
        </w:rPr>
        <w:t>®</w:t>
      </w:r>
      <w:r w:rsidRPr="00653421">
        <w:t xml:space="preserve"> 2012 Standard</w:t>
      </w:r>
      <w:r w:rsidRPr="00653421">
        <w:rPr>
          <w:rFonts w:eastAsia="Calibri"/>
        </w:rPr>
        <w:t xml:space="preserve"> Core</w:t>
      </w:r>
      <w:r w:rsidRPr="00653421">
        <w:tab/>
      </w:r>
      <w:r w:rsidRPr="00653421">
        <w:fldChar w:fldCharType="begin"/>
      </w:r>
      <w:r w:rsidRPr="00653421">
        <w:instrText xml:space="preserve"> PAGEREF _Toc353470990 \h </w:instrText>
      </w:r>
      <w:r w:rsidRPr="00653421">
        <w:fldChar w:fldCharType="separate"/>
      </w:r>
      <w:r w:rsidR="00CE7565">
        <w:t>178</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85</w:t>
      </w:r>
      <w:r w:rsidRPr="00653421">
        <w:t xml:space="preserve"> System Center Essentials 2010</w:t>
      </w:r>
      <w:r w:rsidRPr="00653421">
        <w:tab/>
      </w:r>
      <w:r w:rsidRPr="00653421">
        <w:fldChar w:fldCharType="begin"/>
      </w:r>
      <w:r w:rsidRPr="00653421">
        <w:instrText xml:space="preserve"> PAGEREF _Toc353470991 \h </w:instrText>
      </w:r>
      <w:r w:rsidRPr="00653421">
        <w:fldChar w:fldCharType="separate"/>
      </w:r>
      <w:r w:rsidR="00CE7565">
        <w:t>181</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86</w:t>
      </w:r>
      <w:r w:rsidRPr="00653421">
        <w:t xml:space="preserve"> System Center Reporting Manager 2006</w:t>
      </w:r>
      <w:r w:rsidRPr="00653421">
        <w:tab/>
      </w:r>
      <w:r w:rsidRPr="00653421">
        <w:fldChar w:fldCharType="begin"/>
      </w:r>
      <w:r w:rsidRPr="00653421">
        <w:instrText xml:space="preserve"> PAGEREF _Toc353470992 \h </w:instrText>
      </w:r>
      <w:r w:rsidRPr="00653421">
        <w:fldChar w:fldCharType="separate"/>
      </w:r>
      <w:r w:rsidR="00CE7565">
        <w:t>182</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87</w:t>
      </w:r>
      <w:r w:rsidRPr="00653421">
        <w:rPr>
          <w:caps/>
        </w:rPr>
        <w:t xml:space="preserve"> </w:t>
      </w:r>
      <w:r w:rsidRPr="00653421">
        <w:t>System Center Server Management Suite Enterprise</w:t>
      </w:r>
      <w:r w:rsidRPr="00653421">
        <w:tab/>
      </w:r>
      <w:r w:rsidRPr="00653421">
        <w:fldChar w:fldCharType="begin"/>
      </w:r>
      <w:r w:rsidRPr="00653421">
        <w:instrText xml:space="preserve"> PAGEREF _Toc353470993 \h </w:instrText>
      </w:r>
      <w:r w:rsidRPr="00653421">
        <w:fldChar w:fldCharType="separate"/>
      </w:r>
      <w:r w:rsidR="00CE7565">
        <w:t>183</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88</w:t>
      </w:r>
      <w:r w:rsidRPr="00CE7565">
        <w:rPr>
          <w:caps/>
          <w:lang w:val="pt-BR"/>
        </w:rPr>
        <w:t xml:space="preserve"> </w:t>
      </w:r>
      <w:r w:rsidRPr="00CE7565">
        <w:rPr>
          <w:lang w:val="pt-BR"/>
        </w:rPr>
        <w:t>System Center Server Management Suite Datacenter</w:t>
      </w:r>
      <w:r w:rsidRPr="00CE7565">
        <w:rPr>
          <w:lang w:val="pt-BR"/>
        </w:rPr>
        <w:tab/>
      </w:r>
      <w:r w:rsidRPr="00653421">
        <w:fldChar w:fldCharType="begin"/>
      </w:r>
      <w:r w:rsidRPr="00CE7565">
        <w:rPr>
          <w:lang w:val="pt-BR"/>
        </w:rPr>
        <w:instrText xml:space="preserve"> PAGEREF _Toc353470994 \h </w:instrText>
      </w:r>
      <w:r w:rsidRPr="00653421">
        <w:fldChar w:fldCharType="separate"/>
      </w:r>
      <w:r w:rsidR="00CE7565" w:rsidRPr="00CE7565">
        <w:rPr>
          <w:lang w:val="pt-BR"/>
        </w:rPr>
        <w:t>184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89</w:t>
      </w:r>
      <w:r w:rsidRPr="00CE7565">
        <w:rPr>
          <w:lang w:val="pt-BR"/>
        </w:rPr>
        <w:t xml:space="preserve"> System Center Virtual Machine Manager 2008 R2 – Licenças de Gerenciamento de Cliente e Servidor</w:t>
      </w:r>
      <w:r w:rsidRPr="00CE7565">
        <w:rPr>
          <w:lang w:val="pt-BR"/>
        </w:rPr>
        <w:tab/>
      </w:r>
      <w:r w:rsidRPr="00653421">
        <w:fldChar w:fldCharType="begin"/>
      </w:r>
      <w:r w:rsidRPr="00CE7565">
        <w:rPr>
          <w:lang w:val="pt-BR"/>
        </w:rPr>
        <w:instrText xml:space="preserve"> PAGEREF _Toc353470995 \h </w:instrText>
      </w:r>
      <w:r w:rsidRPr="00653421">
        <w:fldChar w:fldCharType="separate"/>
      </w:r>
      <w:r w:rsidR="00CE7565" w:rsidRPr="00CE7565">
        <w:rPr>
          <w:lang w:val="pt-BR"/>
        </w:rPr>
        <w:t>185</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da-DK"/>
        </w:rPr>
      </w:pPr>
      <w:r w:rsidRPr="00CE7565">
        <w:rPr>
          <w:caps/>
          <w:vertAlign w:val="superscript"/>
          <w:lang w:val="da-DK"/>
        </w:rPr>
        <w:t>90</w:t>
      </w:r>
      <w:r w:rsidRPr="00CE7565">
        <w:rPr>
          <w:lang w:val="da-DK"/>
        </w:rPr>
        <w:t xml:space="preserve"> System Center 2012</w:t>
      </w:r>
      <w:r w:rsidRPr="00CE7565">
        <w:rPr>
          <w:lang w:val="da-DK"/>
        </w:rPr>
        <w:tab/>
      </w:r>
      <w:r w:rsidRPr="00653421">
        <w:fldChar w:fldCharType="begin"/>
      </w:r>
      <w:r w:rsidRPr="00CE7565">
        <w:rPr>
          <w:lang w:val="da-DK"/>
        </w:rPr>
        <w:instrText xml:space="preserve"> PAGEREF _Toc353470996 \h </w:instrText>
      </w:r>
      <w:r w:rsidRPr="00653421">
        <w:fldChar w:fldCharType="separate"/>
      </w:r>
      <w:r w:rsidR="00CE7565" w:rsidRPr="00CE7565">
        <w:rPr>
          <w:lang w:val="da-DK"/>
        </w:rPr>
        <w:t>185</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da-DK"/>
        </w:rPr>
      </w:pPr>
      <w:r w:rsidRPr="00CE7565">
        <w:rPr>
          <w:caps/>
          <w:vertAlign w:val="superscript"/>
          <w:lang w:val="da-DK"/>
        </w:rPr>
        <w:t>91</w:t>
      </w:r>
      <w:r w:rsidRPr="00CE7565">
        <w:rPr>
          <w:lang w:val="da-DK"/>
        </w:rPr>
        <w:t xml:space="preserve"> System Center 2012 Endpoint Protection</w:t>
      </w:r>
      <w:r w:rsidRPr="00CE7565">
        <w:rPr>
          <w:lang w:val="da-DK"/>
        </w:rPr>
        <w:tab/>
      </w:r>
      <w:r w:rsidRPr="00653421">
        <w:fldChar w:fldCharType="begin"/>
      </w:r>
      <w:r w:rsidRPr="00CE7565">
        <w:rPr>
          <w:lang w:val="da-DK"/>
        </w:rPr>
        <w:instrText xml:space="preserve"> PAGEREF _Toc353470997 \h </w:instrText>
      </w:r>
      <w:r w:rsidRPr="00653421">
        <w:fldChar w:fldCharType="separate"/>
      </w:r>
      <w:r w:rsidR="00CE7565" w:rsidRPr="00CE7565">
        <w:rPr>
          <w:lang w:val="da-DK"/>
        </w:rPr>
        <w:t>188</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92</w:t>
      </w:r>
      <w:r w:rsidRPr="00CE7565">
        <w:rPr>
          <w:lang w:val="pt-BR"/>
        </w:rPr>
        <w:t xml:space="preserve"> TechNet Plus Single User</w:t>
      </w:r>
      <w:r w:rsidRPr="00CE7565">
        <w:rPr>
          <w:lang w:val="pt-BR"/>
        </w:rPr>
        <w:tab/>
      </w:r>
      <w:r w:rsidRPr="00653421">
        <w:fldChar w:fldCharType="begin"/>
      </w:r>
      <w:r w:rsidRPr="00CE7565">
        <w:rPr>
          <w:lang w:val="pt-BR"/>
        </w:rPr>
        <w:instrText xml:space="preserve"> PAGEREF _Toc353470998 \h </w:instrText>
      </w:r>
      <w:r w:rsidRPr="00653421">
        <w:fldChar w:fldCharType="separate"/>
      </w:r>
      <w:r w:rsidR="00CE7565" w:rsidRPr="00CE7565">
        <w:rPr>
          <w:lang w:val="pt-BR"/>
        </w:rPr>
        <w:t>189</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93</w:t>
      </w:r>
      <w:r w:rsidRPr="00CE7565">
        <w:rPr>
          <w:caps/>
          <w:lang w:val="pt-BR"/>
        </w:rPr>
        <w:t xml:space="preserve"> </w:t>
      </w:r>
      <w:r w:rsidRPr="00CE7565">
        <w:rPr>
          <w:lang w:val="pt-BR"/>
        </w:rPr>
        <w:t>VDI Standard e Premium Suites</w:t>
      </w:r>
      <w:r w:rsidRPr="00CE7565">
        <w:rPr>
          <w:lang w:val="pt-BR"/>
        </w:rPr>
        <w:tab/>
      </w:r>
      <w:r w:rsidRPr="00653421">
        <w:fldChar w:fldCharType="begin"/>
      </w:r>
      <w:r w:rsidRPr="00CE7565">
        <w:rPr>
          <w:lang w:val="pt-BR"/>
        </w:rPr>
        <w:instrText xml:space="preserve"> PAGEREF _Toc353470999 \h </w:instrText>
      </w:r>
      <w:r w:rsidRPr="00653421">
        <w:fldChar w:fldCharType="separate"/>
      </w:r>
      <w:r w:rsidR="00CE7565" w:rsidRPr="00CE7565">
        <w:rPr>
          <w:lang w:val="pt-BR"/>
        </w:rPr>
        <w:t>189</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94</w:t>
      </w:r>
      <w:r w:rsidRPr="00CE7565">
        <w:rPr>
          <w:caps/>
          <w:lang w:val="pt-BR"/>
        </w:rPr>
        <w:t xml:space="preserve"> </w:t>
      </w:r>
      <w:r w:rsidRPr="00CE7565">
        <w:rPr>
          <w:lang w:val="pt-BR"/>
        </w:rPr>
        <w:t>Vexcel Server e Vexcel Server com Pacote de Conteúdo Aprimorado</w:t>
      </w:r>
      <w:r w:rsidRPr="00CE7565">
        <w:rPr>
          <w:lang w:val="pt-BR"/>
        </w:rPr>
        <w:tab/>
      </w:r>
      <w:r w:rsidRPr="00653421">
        <w:fldChar w:fldCharType="begin"/>
      </w:r>
      <w:r w:rsidRPr="00CE7565">
        <w:rPr>
          <w:lang w:val="pt-BR"/>
        </w:rPr>
        <w:instrText xml:space="preserve"> PAGEREF _Toc353471000 \h </w:instrText>
      </w:r>
      <w:r w:rsidRPr="00653421">
        <w:fldChar w:fldCharType="separate"/>
      </w:r>
      <w:r w:rsidR="00CE7565" w:rsidRPr="00CE7565">
        <w:rPr>
          <w:lang w:val="pt-BR"/>
        </w:rPr>
        <w:t>189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95</w:t>
      </w:r>
      <w:r w:rsidRPr="00CE7565">
        <w:rPr>
          <w:rFonts w:cs="Tahoma"/>
          <w:caps/>
          <w:lang w:val="pt-BR"/>
        </w:rPr>
        <w:t xml:space="preserve"> </w:t>
      </w:r>
      <w:r w:rsidRPr="00CE7565">
        <w:rPr>
          <w:rFonts w:cs="Tahoma"/>
          <w:lang w:val="pt-BR"/>
        </w:rPr>
        <w:t>Serviços do Windows Azure</w:t>
      </w:r>
      <w:r w:rsidRPr="00CE7565">
        <w:rPr>
          <w:lang w:val="pt-BR"/>
        </w:rPr>
        <w:tab/>
      </w:r>
      <w:r w:rsidRPr="00653421">
        <w:fldChar w:fldCharType="begin"/>
      </w:r>
      <w:r w:rsidRPr="00CE7565">
        <w:rPr>
          <w:lang w:val="pt-BR"/>
        </w:rPr>
        <w:instrText xml:space="preserve"> PAGEREF _Toc353471001 \h </w:instrText>
      </w:r>
      <w:r w:rsidRPr="00653421">
        <w:fldChar w:fldCharType="separate"/>
      </w:r>
      <w:r w:rsidR="00CE7565" w:rsidRPr="00CE7565">
        <w:rPr>
          <w:lang w:val="pt-BR"/>
        </w:rPr>
        <w:t>189</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96</w:t>
      </w:r>
      <w:r w:rsidRPr="00CE7565">
        <w:rPr>
          <w:rFonts w:cs="Tahoma"/>
          <w:lang w:val="pt-BR"/>
        </w:rPr>
        <w:t xml:space="preserve"> Windows Embedded Device Manager 2011 – Licença do Servidor de Gerenciamento</w:t>
      </w:r>
      <w:r w:rsidRPr="00CE7565">
        <w:rPr>
          <w:lang w:val="pt-BR"/>
        </w:rPr>
        <w:tab/>
      </w:r>
      <w:r w:rsidRPr="00653421">
        <w:fldChar w:fldCharType="begin"/>
      </w:r>
      <w:r w:rsidRPr="00CE7565">
        <w:rPr>
          <w:lang w:val="pt-BR"/>
        </w:rPr>
        <w:instrText xml:space="preserve"> PAGEREF _Toc353471002 \h </w:instrText>
      </w:r>
      <w:r w:rsidRPr="00653421">
        <w:fldChar w:fldCharType="separate"/>
      </w:r>
      <w:r w:rsidR="00CE7565" w:rsidRPr="00CE7565">
        <w:rPr>
          <w:lang w:val="pt-BR"/>
        </w:rPr>
        <w:t>190</w:t>
      </w:r>
      <w:r w:rsidRPr="00653421">
        <w:fldChar w:fldCharType="end"/>
      </w:r>
    </w:p>
    <w:p w:rsidR="00554623" w:rsidRPr="00CE7565" w:rsidRDefault="00554623">
      <w:pPr>
        <w:pStyle w:val="TOC2"/>
        <w:rPr>
          <w:rFonts w:asciiTheme="minorHAnsi" w:eastAsiaTheme="minorEastAsia" w:hAnsiTheme="minorHAnsi" w:cstheme="minorBidi"/>
          <w:sz w:val="22"/>
          <w:szCs w:val="22"/>
          <w:lang w:val="pt-BR"/>
        </w:rPr>
      </w:pPr>
      <w:r w:rsidRPr="00CE7565">
        <w:rPr>
          <w:rFonts w:cs="Tahoma"/>
          <w:caps/>
          <w:vertAlign w:val="superscript"/>
          <w:lang w:val="pt-BR"/>
        </w:rPr>
        <w:t>97</w:t>
      </w:r>
      <w:r w:rsidRPr="00CE7565">
        <w:rPr>
          <w:rFonts w:cs="Tahoma"/>
          <w:lang w:val="pt-BR"/>
        </w:rPr>
        <w:t xml:space="preserve"> Windows Embedded Device Manager 2011 – Licença de Gerenciamento de Clientes</w:t>
      </w:r>
      <w:r w:rsidRPr="00CE7565">
        <w:rPr>
          <w:lang w:val="pt-BR"/>
        </w:rPr>
        <w:tab/>
      </w:r>
      <w:r w:rsidRPr="00653421">
        <w:fldChar w:fldCharType="begin"/>
      </w:r>
      <w:r w:rsidRPr="00CE7565">
        <w:rPr>
          <w:lang w:val="pt-BR"/>
        </w:rPr>
        <w:instrText xml:space="preserve"> PAGEREF _Toc353471003 \h </w:instrText>
      </w:r>
      <w:r w:rsidRPr="00653421">
        <w:fldChar w:fldCharType="separate"/>
      </w:r>
      <w:r w:rsidR="00CE7565" w:rsidRPr="00CE7565">
        <w:rPr>
          <w:lang w:val="pt-BR"/>
        </w:rPr>
        <w:t>190</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de-DE"/>
        </w:rPr>
      </w:pPr>
      <w:r w:rsidRPr="00CE7565">
        <w:rPr>
          <w:caps/>
          <w:vertAlign w:val="superscript"/>
          <w:lang w:val="de-DE"/>
        </w:rPr>
        <w:t>98</w:t>
      </w:r>
      <w:r w:rsidRPr="00CE7565">
        <w:rPr>
          <w:caps/>
          <w:lang w:val="de-DE"/>
        </w:rPr>
        <w:t xml:space="preserve"> </w:t>
      </w:r>
      <w:r w:rsidRPr="00CE7565">
        <w:rPr>
          <w:lang w:val="de-DE"/>
        </w:rPr>
        <w:t>Windows EBS 2008 Standard e EBS 2008 Premium</w:t>
      </w:r>
      <w:r w:rsidRPr="00CE7565">
        <w:rPr>
          <w:lang w:val="de-DE"/>
        </w:rPr>
        <w:tab/>
      </w:r>
      <w:r w:rsidRPr="00653421">
        <w:fldChar w:fldCharType="begin"/>
      </w:r>
      <w:r w:rsidRPr="00CE7565">
        <w:rPr>
          <w:lang w:val="de-DE"/>
        </w:rPr>
        <w:instrText xml:space="preserve"> PAGEREF _Toc353471004 \h </w:instrText>
      </w:r>
      <w:r w:rsidRPr="00653421">
        <w:fldChar w:fldCharType="separate"/>
      </w:r>
      <w:r w:rsidR="00CE7565" w:rsidRPr="00CE7565">
        <w:rPr>
          <w:lang w:val="de-DE"/>
        </w:rPr>
        <w:t>191</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99</w:t>
      </w:r>
      <w:r w:rsidRPr="00653421">
        <w:rPr>
          <w:caps/>
        </w:rPr>
        <w:t xml:space="preserve"> </w:t>
      </w:r>
      <w:r w:rsidRPr="00653421">
        <w:t>Windows HPC Server 2008 R2 Suite</w:t>
      </w:r>
      <w:r w:rsidRPr="00653421">
        <w:tab/>
      </w:r>
      <w:r w:rsidRPr="00653421">
        <w:fldChar w:fldCharType="begin"/>
      </w:r>
      <w:r w:rsidRPr="00653421">
        <w:instrText xml:space="preserve"> PAGEREF _Toc353471005 \h </w:instrText>
      </w:r>
      <w:r w:rsidRPr="00653421">
        <w:fldChar w:fldCharType="separate"/>
      </w:r>
      <w:r w:rsidR="00CE7565">
        <w:t>193</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100</w:t>
      </w:r>
      <w:r w:rsidRPr="00653421">
        <w:rPr>
          <w:rFonts w:cs="Tahoma"/>
          <w:caps/>
        </w:rPr>
        <w:t xml:space="preserve"> </w:t>
      </w:r>
      <w:r w:rsidRPr="00653421">
        <w:rPr>
          <w:rFonts w:cs="Tahoma"/>
        </w:rPr>
        <w:t>Windows Multipoint Server 2012 Standard</w:t>
      </w:r>
      <w:r w:rsidRPr="00653421">
        <w:tab/>
      </w:r>
      <w:r w:rsidRPr="00653421">
        <w:fldChar w:fldCharType="begin"/>
      </w:r>
      <w:r w:rsidRPr="00653421">
        <w:instrText xml:space="preserve"> PAGEREF _Toc353471006 \h </w:instrText>
      </w:r>
      <w:r w:rsidRPr="00653421">
        <w:fldChar w:fldCharType="separate"/>
      </w:r>
      <w:r w:rsidR="00CE7565">
        <w:t>194</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101</w:t>
      </w:r>
      <w:r w:rsidRPr="00653421">
        <w:rPr>
          <w:rFonts w:cs="Tahoma"/>
          <w:caps/>
        </w:rPr>
        <w:t xml:space="preserve"> </w:t>
      </w:r>
      <w:r w:rsidRPr="00653421">
        <w:rPr>
          <w:rFonts w:cs="Tahoma"/>
        </w:rPr>
        <w:t>Windows Multipoint Server 2012 Premium</w:t>
      </w:r>
      <w:r w:rsidRPr="00653421">
        <w:tab/>
      </w:r>
      <w:r w:rsidRPr="00653421">
        <w:fldChar w:fldCharType="begin"/>
      </w:r>
      <w:r w:rsidRPr="00653421">
        <w:instrText xml:space="preserve"> PAGEREF _Toc353471007 \h </w:instrText>
      </w:r>
      <w:r w:rsidRPr="00653421">
        <w:fldChar w:fldCharType="separate"/>
      </w:r>
      <w:r w:rsidR="00CE7565">
        <w:t>194</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102</w:t>
      </w:r>
      <w:r w:rsidRPr="00653421">
        <w:rPr>
          <w:rFonts w:cs="Tahoma"/>
        </w:rPr>
        <w:t xml:space="preserve"> CAL do Windows Multipoint Server 2012</w:t>
      </w:r>
      <w:r w:rsidRPr="00653421">
        <w:tab/>
      </w:r>
      <w:r w:rsidRPr="00653421">
        <w:fldChar w:fldCharType="begin"/>
      </w:r>
      <w:r w:rsidRPr="00653421">
        <w:instrText xml:space="preserve"> PAGEREF _Toc353471008 \h </w:instrText>
      </w:r>
      <w:r w:rsidRPr="00653421">
        <w:fldChar w:fldCharType="separate"/>
      </w:r>
      <w:r w:rsidR="00CE7565">
        <w:t>194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103</w:t>
      </w:r>
      <w:r w:rsidRPr="00CE7565">
        <w:rPr>
          <w:lang w:val="pt-BR"/>
        </w:rPr>
        <w:t xml:space="preserve"> Windows Server 2008 R2 HPC Edition</w:t>
      </w:r>
      <w:r w:rsidRPr="00CE7565">
        <w:rPr>
          <w:lang w:val="pt-BR"/>
        </w:rPr>
        <w:tab/>
      </w:r>
      <w:r w:rsidRPr="00653421">
        <w:fldChar w:fldCharType="begin"/>
      </w:r>
      <w:r w:rsidRPr="00CE7565">
        <w:rPr>
          <w:lang w:val="pt-BR"/>
        </w:rPr>
        <w:instrText xml:space="preserve"> PAGEREF _Toc353471009 \h </w:instrText>
      </w:r>
      <w:r w:rsidRPr="00653421">
        <w:fldChar w:fldCharType="separate"/>
      </w:r>
      <w:r w:rsidR="00CE7565" w:rsidRPr="00CE7565">
        <w:rPr>
          <w:lang w:val="pt-BR"/>
        </w:rPr>
        <w:t>194</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104</w:t>
      </w:r>
      <w:r w:rsidRPr="00CE7565">
        <w:rPr>
          <w:lang w:val="pt-BR"/>
        </w:rPr>
        <w:t xml:space="preserve"> Windows Server 2008 R2 Enterprise</w:t>
      </w:r>
      <w:r w:rsidRPr="00CE7565">
        <w:rPr>
          <w:lang w:val="pt-BR"/>
        </w:rPr>
        <w:tab/>
      </w:r>
      <w:r w:rsidRPr="00653421">
        <w:fldChar w:fldCharType="begin"/>
      </w:r>
      <w:r w:rsidRPr="00CE7565">
        <w:rPr>
          <w:lang w:val="pt-BR"/>
        </w:rPr>
        <w:instrText xml:space="preserve"> PAGEREF _Toc353471010 \h </w:instrText>
      </w:r>
      <w:r w:rsidRPr="00653421">
        <w:fldChar w:fldCharType="separate"/>
      </w:r>
      <w:r w:rsidR="00CE7565" w:rsidRPr="00CE7565">
        <w:rPr>
          <w:lang w:val="pt-BR"/>
        </w:rPr>
        <w:t>195</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105</w:t>
      </w:r>
      <w:r w:rsidRPr="00CE7565">
        <w:rPr>
          <w:lang w:val="pt-BR"/>
        </w:rPr>
        <w:t xml:space="preserve"> Windows Server 2008 R2 para Sistemas Baseados no Itanium</w:t>
      </w:r>
      <w:r w:rsidRPr="00CE7565">
        <w:rPr>
          <w:lang w:val="pt-BR"/>
        </w:rPr>
        <w:tab/>
      </w:r>
      <w:r w:rsidRPr="00653421">
        <w:fldChar w:fldCharType="begin"/>
      </w:r>
      <w:r w:rsidRPr="00CE7565">
        <w:rPr>
          <w:lang w:val="pt-BR"/>
        </w:rPr>
        <w:instrText xml:space="preserve"> PAGEREF _Toc353471011 \h </w:instrText>
      </w:r>
      <w:r w:rsidRPr="00653421">
        <w:fldChar w:fldCharType="separate"/>
      </w:r>
      <w:r w:rsidR="00CE7565" w:rsidRPr="00CE7565">
        <w:rPr>
          <w:lang w:val="pt-BR"/>
        </w:rPr>
        <w:t>196</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106</w:t>
      </w:r>
      <w:r w:rsidRPr="00CE7565">
        <w:rPr>
          <w:caps/>
          <w:lang w:val="pt-BR"/>
        </w:rPr>
        <w:t xml:space="preserve"> </w:t>
      </w:r>
      <w:r w:rsidRPr="00CE7565">
        <w:rPr>
          <w:lang w:val="pt-BR"/>
        </w:rPr>
        <w:t>CAL do Windows Server 2012</w:t>
      </w:r>
      <w:r w:rsidRPr="00CE7565">
        <w:rPr>
          <w:lang w:val="pt-BR"/>
        </w:rPr>
        <w:tab/>
      </w:r>
      <w:r w:rsidRPr="00653421">
        <w:fldChar w:fldCharType="begin"/>
      </w:r>
      <w:r w:rsidRPr="00CE7565">
        <w:rPr>
          <w:lang w:val="pt-BR"/>
        </w:rPr>
        <w:instrText xml:space="preserve"> PAGEREF _Toc353471012 \h </w:instrText>
      </w:r>
      <w:r w:rsidRPr="00653421">
        <w:fldChar w:fldCharType="separate"/>
      </w:r>
      <w:r w:rsidR="00CE7565" w:rsidRPr="00CE7565">
        <w:rPr>
          <w:lang w:val="pt-BR"/>
        </w:rPr>
        <w:t>196</w:t>
      </w:r>
      <w:r w:rsidRPr="00653421">
        <w:fldChar w:fldCharType="end"/>
      </w:r>
    </w:p>
    <w:p w:rsidR="00554623" w:rsidRPr="00CE7565" w:rsidRDefault="00554623" w:rsidP="0095190D">
      <w:pPr>
        <w:pStyle w:val="TOC3"/>
        <w:rPr>
          <w:rFonts w:asciiTheme="minorHAnsi" w:eastAsiaTheme="minorEastAsia" w:hAnsiTheme="minorHAnsi" w:cstheme="minorBidi"/>
          <w:sz w:val="22"/>
          <w:szCs w:val="22"/>
          <w:lang w:val="pt-BR"/>
        </w:rPr>
      </w:pPr>
      <w:r w:rsidRPr="00CE7565">
        <w:rPr>
          <w:caps/>
          <w:vertAlign w:val="superscript"/>
          <w:lang w:val="pt-BR"/>
        </w:rPr>
        <w:t>107</w:t>
      </w:r>
      <w:r w:rsidRPr="00CE7565">
        <w:rPr>
          <w:caps/>
          <w:lang w:val="pt-BR"/>
        </w:rPr>
        <w:t xml:space="preserve"> </w:t>
      </w:r>
      <w:r w:rsidRPr="00CE7565">
        <w:rPr>
          <w:lang w:val="pt-BR"/>
        </w:rPr>
        <w:t>Windows Server 2008 R2 Datacenter</w:t>
      </w:r>
      <w:r w:rsidRPr="00CE7565">
        <w:rPr>
          <w:lang w:val="pt-BR"/>
        </w:rPr>
        <w:tab/>
      </w:r>
      <w:r w:rsidRPr="00653421">
        <w:fldChar w:fldCharType="begin"/>
      </w:r>
      <w:r w:rsidRPr="00CE7565">
        <w:rPr>
          <w:lang w:val="pt-BR"/>
        </w:rPr>
        <w:instrText xml:space="preserve"> PAGEREF _Toc353471013 \h </w:instrText>
      </w:r>
      <w:r w:rsidRPr="00653421">
        <w:fldChar w:fldCharType="separate"/>
      </w:r>
      <w:r w:rsidR="00CE7565" w:rsidRPr="00CE7565">
        <w:rPr>
          <w:lang w:val="pt-BR"/>
        </w:rPr>
        <w:t>197</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108</w:t>
      </w:r>
      <w:r w:rsidRPr="00653421">
        <w:rPr>
          <w:caps/>
        </w:rPr>
        <w:t xml:space="preserve"> </w:t>
      </w:r>
      <w:r w:rsidRPr="00653421">
        <w:t>Windows Server 2008 R2 Standard</w:t>
      </w:r>
      <w:r w:rsidRPr="00653421">
        <w:tab/>
      </w:r>
      <w:r w:rsidRPr="00653421">
        <w:fldChar w:fldCharType="begin"/>
      </w:r>
      <w:r w:rsidRPr="00653421">
        <w:instrText xml:space="preserve"> PAGEREF _Toc353471014 \h </w:instrText>
      </w:r>
      <w:r w:rsidRPr="00653421">
        <w:fldChar w:fldCharType="separate"/>
      </w:r>
      <w:r w:rsidR="00CE7565">
        <w:t>198</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109</w:t>
      </w:r>
      <w:r w:rsidRPr="00653421">
        <w:t xml:space="preserve"> Windows Web Server</w:t>
      </w:r>
      <w:r w:rsidRPr="00653421">
        <w:rPr>
          <w:vertAlign w:val="superscript"/>
        </w:rPr>
        <w:t>®</w:t>
      </w:r>
      <w:r w:rsidRPr="00653421">
        <w:t xml:space="preserve"> 2008 R2</w:t>
      </w:r>
      <w:r w:rsidRPr="00653421">
        <w:tab/>
      </w:r>
      <w:r w:rsidRPr="00653421">
        <w:fldChar w:fldCharType="begin"/>
      </w:r>
      <w:r w:rsidRPr="00653421">
        <w:instrText xml:space="preserve"> PAGEREF _Toc353471015 \h </w:instrText>
      </w:r>
      <w:r w:rsidRPr="00653421">
        <w:fldChar w:fldCharType="separate"/>
      </w:r>
      <w:r w:rsidR="00CE7565">
        <w:t>199</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110</w:t>
      </w:r>
      <w:r w:rsidRPr="00653421">
        <w:rPr>
          <w:rFonts w:cs="Tahoma"/>
        </w:rPr>
        <w:t xml:space="preserve"> Windows Small Business Server (SBS) 2008 Premium</w:t>
      </w:r>
      <w:r w:rsidRPr="00653421">
        <w:tab/>
      </w:r>
      <w:r w:rsidRPr="00653421">
        <w:fldChar w:fldCharType="begin"/>
      </w:r>
      <w:r w:rsidRPr="00653421">
        <w:instrText xml:space="preserve"> PAGEREF _Toc353471016 \h </w:instrText>
      </w:r>
      <w:r w:rsidRPr="00653421">
        <w:fldChar w:fldCharType="separate"/>
      </w:r>
      <w:r w:rsidR="00CE7565">
        <w:t>199</w:t>
      </w:r>
      <w:r w:rsidRPr="00653421">
        <w:fldChar w:fldCharType="end"/>
      </w:r>
    </w:p>
    <w:p w:rsidR="00554623" w:rsidRPr="00653421" w:rsidRDefault="00554623" w:rsidP="0095190D">
      <w:pPr>
        <w:pStyle w:val="TOC3"/>
        <w:rPr>
          <w:rFonts w:asciiTheme="minorHAnsi" w:eastAsiaTheme="minorEastAsia" w:hAnsiTheme="minorHAnsi" w:cstheme="minorBidi"/>
          <w:sz w:val="22"/>
          <w:szCs w:val="22"/>
        </w:rPr>
      </w:pPr>
      <w:r w:rsidRPr="00653421">
        <w:rPr>
          <w:caps/>
          <w:vertAlign w:val="superscript"/>
        </w:rPr>
        <w:t>111</w:t>
      </w:r>
      <w:r w:rsidRPr="00653421">
        <w:t xml:space="preserve"> Windows Small Business Server (SBS) 2011 Standard</w:t>
      </w:r>
      <w:r w:rsidRPr="00653421">
        <w:tab/>
      </w:r>
      <w:r w:rsidRPr="00653421">
        <w:fldChar w:fldCharType="begin"/>
      </w:r>
      <w:r w:rsidRPr="00653421">
        <w:instrText xml:space="preserve"> PAGEREF _Toc353471017 \h </w:instrText>
      </w:r>
      <w:r w:rsidRPr="00653421">
        <w:fldChar w:fldCharType="separate"/>
      </w:r>
      <w:r w:rsidR="00CE7565">
        <w:t>200</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112</w:t>
      </w:r>
      <w:r w:rsidRPr="00653421">
        <w:rPr>
          <w:rFonts w:cs="Tahoma"/>
          <w:caps/>
        </w:rPr>
        <w:t xml:space="preserve"> </w:t>
      </w:r>
      <w:r w:rsidRPr="00653421">
        <w:rPr>
          <w:rFonts w:cs="Tahoma"/>
        </w:rPr>
        <w:t>Pacote de CALs do Windows Small Business Server (SBS) 2011</w:t>
      </w:r>
      <w:r w:rsidRPr="00653421">
        <w:tab/>
      </w:r>
      <w:r w:rsidRPr="00653421">
        <w:fldChar w:fldCharType="begin"/>
      </w:r>
      <w:r w:rsidRPr="00653421">
        <w:instrText xml:space="preserve"> PAGEREF _Toc353471018 \h </w:instrText>
      </w:r>
      <w:r w:rsidRPr="00653421">
        <w:fldChar w:fldCharType="separate"/>
      </w:r>
      <w:r w:rsidR="00CE7565">
        <w:t>201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113</w:t>
      </w:r>
      <w:r w:rsidRPr="00653421">
        <w:rPr>
          <w:rFonts w:cs="Tahoma"/>
          <w:caps/>
        </w:rPr>
        <w:t xml:space="preserve"> </w:t>
      </w:r>
      <w:r w:rsidRPr="00653421">
        <w:rPr>
          <w:rFonts w:cs="Tahoma"/>
        </w:rPr>
        <w:t>Complemento do Windows Small Business Server (SBS) 2011 Premium</w:t>
      </w:r>
      <w:r w:rsidRPr="00653421">
        <w:tab/>
      </w:r>
      <w:r w:rsidRPr="00653421">
        <w:fldChar w:fldCharType="begin"/>
      </w:r>
      <w:r w:rsidRPr="00653421">
        <w:instrText xml:space="preserve"> PAGEREF _Toc353471019 \h </w:instrText>
      </w:r>
      <w:r w:rsidRPr="00653421">
        <w:fldChar w:fldCharType="separate"/>
      </w:r>
      <w:r w:rsidR="00CE7565">
        <w:t>201</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caps/>
          <w:vertAlign w:val="superscript"/>
        </w:rPr>
        <w:t>114</w:t>
      </w:r>
      <w:r w:rsidRPr="00653421">
        <w:rPr>
          <w:rFonts w:cs="Tahoma"/>
        </w:rPr>
        <w:t xml:space="preserve"> Pacote de CALs Complementares do Windows Small Business Server (SBS) 2011 Premium</w:t>
      </w:r>
      <w:r w:rsidRPr="00653421">
        <w:tab/>
      </w:r>
      <w:r w:rsidRPr="00653421">
        <w:fldChar w:fldCharType="begin"/>
      </w:r>
      <w:r w:rsidRPr="00653421">
        <w:instrText xml:space="preserve"> PAGEREF _Toc353471020 \h </w:instrText>
      </w:r>
      <w:r w:rsidRPr="00653421">
        <w:fldChar w:fldCharType="separate"/>
      </w:r>
      <w:r w:rsidR="00CE7565">
        <w:t>202</w:t>
      </w:r>
      <w:r w:rsidRPr="00653421">
        <w:fldChar w:fldCharType="end"/>
      </w:r>
    </w:p>
    <w:p w:rsidR="00554623" w:rsidRPr="00653421" w:rsidRDefault="00554623">
      <w:pPr>
        <w:pStyle w:val="TOC2"/>
        <w:rPr>
          <w:rFonts w:asciiTheme="minorHAnsi" w:eastAsiaTheme="minorEastAsia" w:hAnsiTheme="minorHAnsi" w:cstheme="minorBidi"/>
          <w:sz w:val="22"/>
          <w:szCs w:val="22"/>
        </w:rPr>
      </w:pPr>
      <w:r w:rsidRPr="00653421">
        <w:rPr>
          <w:rFonts w:cs="Tahoma"/>
          <w:vertAlign w:val="superscript"/>
        </w:rPr>
        <w:t>115</w:t>
      </w:r>
      <w:r w:rsidRPr="00653421">
        <w:rPr>
          <w:rFonts w:cs="Tahoma"/>
        </w:rPr>
        <w:t xml:space="preserve"> Windows Small Business Server 2011 Essentials</w:t>
      </w:r>
      <w:r w:rsidRPr="00653421">
        <w:tab/>
      </w:r>
      <w:r w:rsidRPr="00653421">
        <w:fldChar w:fldCharType="begin"/>
      </w:r>
      <w:r w:rsidRPr="00653421">
        <w:instrText xml:space="preserve"> PAGEREF _Toc353471021 \h </w:instrText>
      </w:r>
      <w:r w:rsidRPr="00653421">
        <w:fldChar w:fldCharType="separate"/>
      </w:r>
      <w:r w:rsidR="00CE7565">
        <w:t>203</w:t>
      </w:r>
      <w:r w:rsidRPr="00653421">
        <w:fldChar w:fldCharType="end"/>
      </w:r>
    </w:p>
    <w:p w:rsidR="007E0CC6" w:rsidRPr="00653421" w:rsidRDefault="00955428" w:rsidP="00461CA9">
      <w:pPr>
        <w:pStyle w:val="TOC4"/>
        <w:tabs>
          <w:tab w:val="clear" w:pos="9360"/>
          <w:tab w:val="center" w:pos="4680"/>
        </w:tabs>
      </w:pPr>
      <w:r w:rsidRPr="00653421">
        <w:rPr>
          <w:rFonts w:cs="Tahoma"/>
          <w:szCs w:val="18"/>
        </w:rPr>
        <w:fldChar w:fldCharType="end"/>
      </w:r>
    </w:p>
    <w:p w:rsidR="00023FE7" w:rsidRPr="00734B50" w:rsidRDefault="00ED3854" w:rsidP="007E0CC6">
      <w:pPr>
        <w:pStyle w:val="Heading2"/>
        <w:rPr>
          <w:lang w:val="pt-BR"/>
        </w:rPr>
      </w:pPr>
      <w:bookmarkStart w:id="7" w:name="_Toc246850065"/>
      <w:r w:rsidRPr="00CE7565">
        <w:rPr>
          <w:rFonts w:ascii="Tahoma" w:hAnsi="Tahoma" w:cs="Tahoma"/>
          <w:sz w:val="36"/>
          <w:lang w:val="pt-BR"/>
        </w:rPr>
        <w:br w:type="page"/>
      </w:r>
      <w:bookmarkStart w:id="8" w:name="_Toc336337840"/>
      <w:bookmarkStart w:id="9" w:name="_Toc353470490"/>
      <w:r w:rsidRPr="00734B50">
        <w:rPr>
          <w:rFonts w:ascii="Tahoma" w:hAnsi="Tahoma" w:cs="Tahoma"/>
          <w:sz w:val="36"/>
          <w:lang w:val="pt-BR"/>
        </w:rPr>
        <w:lastRenderedPageBreak/>
        <w:t>Legenda da Tabela</w:t>
      </w:r>
      <w:bookmarkEnd w:id="7"/>
      <w:bookmarkEnd w:id="8"/>
      <w:bookmarkEnd w:id="9"/>
    </w:p>
    <w:p w:rsidR="00023FE7" w:rsidRPr="00734B50" w:rsidRDefault="00023FE7">
      <w:pPr>
        <w:pStyle w:val="ChartKeyHeadings"/>
        <w:ind w:right="-180"/>
        <w:rPr>
          <w:lang w:val="pt-BR"/>
        </w:rPr>
      </w:pPr>
    </w:p>
    <w:p w:rsidR="00023FE7" w:rsidRPr="00734B50" w:rsidRDefault="00023FE7">
      <w:pPr>
        <w:pStyle w:val="ChartKeyHeadings"/>
        <w:ind w:right="-180"/>
        <w:rPr>
          <w:lang w:val="pt-BR"/>
        </w:rPr>
      </w:pPr>
      <w:r w:rsidRPr="00734B50">
        <w:rPr>
          <w:rFonts w:ascii="Tahoma" w:hAnsi="Tahoma" w:cs="Tahoma"/>
          <w:szCs w:val="24"/>
          <w:lang w:val="pt-BR"/>
        </w:rPr>
        <w:t>Títulos das colunas</w:t>
      </w:r>
    </w:p>
    <w:p w:rsidR="00023FE7" w:rsidRPr="00734B50" w:rsidRDefault="00023FE7">
      <w:pPr>
        <w:pStyle w:val="ChartKeyHeadings"/>
        <w:ind w:right="-180"/>
        <w:rPr>
          <w:lang w:val="pt-BR"/>
        </w:rPr>
      </w:pPr>
    </w:p>
    <w:p w:rsidR="00664EE9" w:rsidRPr="00734B50" w:rsidRDefault="00664EE9" w:rsidP="00664EE9">
      <w:pPr>
        <w:pStyle w:val="Bodywithspace"/>
        <w:spacing w:before="0" w:after="0" w:line="276" w:lineRule="auto"/>
        <w:ind w:right="-180"/>
        <w:rPr>
          <w:lang w:val="pt-BR"/>
        </w:rPr>
      </w:pPr>
      <w:r w:rsidRPr="00734B50">
        <w:rPr>
          <w:rStyle w:val="BodyChar"/>
          <w:rFonts w:ascii="Tahoma" w:hAnsi="Tahoma" w:cs="Tahoma"/>
          <w:b/>
          <w:color w:val="000000"/>
          <w:sz w:val="18"/>
          <w:szCs w:val="18"/>
          <w:lang w:val="pt-BR"/>
        </w:rPr>
        <w:t>Unidades Campus e School =</w:t>
      </w:r>
      <w:r w:rsidRPr="00734B50">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 Os</w:t>
      </w:r>
      <w:r w:rsidR="0095190D" w:rsidRPr="00734B50">
        <w:rPr>
          <w:rFonts w:ascii="Tahoma" w:hAnsi="Tahoma" w:cs="Tahoma"/>
          <w:color w:val="000000"/>
          <w:sz w:val="18"/>
          <w:szCs w:val="18"/>
          <w:lang w:val="pt-BR"/>
        </w:rPr>
        <w:t> </w:t>
      </w:r>
      <w:r w:rsidRPr="00734B50">
        <w:rPr>
          <w:rFonts w:ascii="Tahoma" w:hAnsi="Tahoma" w:cs="Tahoma"/>
          <w:color w:val="000000"/>
          <w:sz w:val="18"/>
          <w:szCs w:val="18"/>
          <w:lang w:val="pt-BR"/>
        </w:rPr>
        <w:t>produtos</w:t>
      </w:r>
      <w:r w:rsidR="00FF5F3C" w:rsidRPr="00734B50">
        <w:rPr>
          <w:rFonts w:ascii="Tahoma" w:hAnsi="Tahoma" w:cs="Tahoma"/>
          <w:color w:val="000000"/>
          <w:sz w:val="18"/>
          <w:szCs w:val="18"/>
          <w:lang w:val="pt-BR"/>
        </w:rPr>
        <w:t> </w:t>
      </w:r>
      <w:r w:rsidRPr="00734B50">
        <w:rPr>
          <w:rFonts w:ascii="Tahoma" w:hAnsi="Tahoma" w:cs="Tahoma"/>
          <w:color w:val="000000"/>
          <w:sz w:val="18"/>
          <w:szCs w:val="18"/>
          <w:lang w:val="pt-BR"/>
        </w:rPr>
        <w:t>não são oferecidos nesses programas quando a coluna CA/SA está vazia.</w:t>
      </w:r>
    </w:p>
    <w:p w:rsidR="00023FE7" w:rsidRPr="00734B50" w:rsidRDefault="00023FE7" w:rsidP="0095190D">
      <w:pPr>
        <w:pStyle w:val="Bodywithspace"/>
        <w:spacing w:before="0" w:after="0" w:line="276" w:lineRule="auto"/>
        <w:rPr>
          <w:lang w:val="pt-BR"/>
        </w:rPr>
      </w:pPr>
      <w:r w:rsidRPr="00734B50">
        <w:rPr>
          <w:rStyle w:val="BodyChar"/>
          <w:rFonts w:ascii="Tahoma" w:hAnsi="Tahoma" w:cs="Tahoma"/>
          <w:b/>
          <w:sz w:val="18"/>
          <w:szCs w:val="18"/>
          <w:lang w:val="pt-BR"/>
        </w:rPr>
        <w:t>Data disponível =</w:t>
      </w:r>
      <w:r w:rsidRPr="00734B50">
        <w:rPr>
          <w:rStyle w:val="BodyChar"/>
          <w:rFonts w:ascii="Tahoma" w:hAnsi="Tahoma" w:cs="Tahoma"/>
          <w:sz w:val="18"/>
          <w:szCs w:val="18"/>
          <w:lang w:val="pt-BR"/>
        </w:rPr>
        <w:t xml:space="preserve"> Esta é a data em que um produto está disponível pela primeira vez,</w:t>
      </w:r>
      <w:r w:rsidRPr="00734B50">
        <w:rPr>
          <w:rStyle w:val="BodyChar"/>
          <w:rFonts w:ascii="Tahoma" w:hAnsi="Tahoma" w:cs="Tahoma"/>
          <w:color w:val="000000"/>
          <w:sz w:val="18"/>
          <w:szCs w:val="18"/>
          <w:lang w:val="pt-BR"/>
        </w:rPr>
        <w:t xml:space="preserve"> designada como</w:t>
      </w:r>
      <w:r w:rsidR="00FF5F3C" w:rsidRPr="00734B50">
        <w:rPr>
          <w:rStyle w:val="BodyChar"/>
          <w:rFonts w:ascii="Tahoma" w:hAnsi="Tahoma" w:cs="Tahoma"/>
          <w:color w:val="000000"/>
          <w:sz w:val="18"/>
          <w:szCs w:val="18"/>
          <w:lang w:val="pt-BR"/>
        </w:rPr>
        <w:t> </w:t>
      </w:r>
      <w:r w:rsidRPr="00734B50">
        <w:rPr>
          <w:rStyle w:val="BodyChar"/>
          <w:rFonts w:ascii="Tahoma" w:hAnsi="Tahoma" w:cs="Tahoma"/>
          <w:color w:val="000000"/>
          <w:sz w:val="18"/>
          <w:szCs w:val="18"/>
          <w:lang w:val="pt-BR"/>
        </w:rPr>
        <w:t xml:space="preserve">mês/ano. </w:t>
      </w:r>
      <w:r w:rsidRPr="00734B50">
        <w:rPr>
          <w:rStyle w:val="BodyChar"/>
          <w:rFonts w:ascii="Tahoma" w:hAnsi="Tahoma" w:cs="Tahoma"/>
          <w:sz w:val="18"/>
          <w:szCs w:val="18"/>
          <w:lang w:val="pt-BR"/>
        </w:rPr>
        <w:t>Trata-se da data em que a Microsoft coloca as licenças desse produto à disposição para</w:t>
      </w:r>
      <w:r w:rsidR="0095190D" w:rsidRPr="00734B50">
        <w:rPr>
          <w:rStyle w:val="BodyChar"/>
          <w:rFonts w:ascii="Tahoma" w:hAnsi="Tahoma" w:cs="Tahoma"/>
          <w:sz w:val="18"/>
          <w:szCs w:val="18"/>
          <w:lang w:val="pt-BR"/>
        </w:rPr>
        <w:t xml:space="preserve"> </w:t>
      </w:r>
      <w:r w:rsidRPr="00734B50">
        <w:rPr>
          <w:rStyle w:val="BodyChar"/>
          <w:rFonts w:ascii="Tahoma" w:hAnsi="Tahoma" w:cs="Tahoma"/>
          <w:sz w:val="18"/>
          <w:szCs w:val="18"/>
          <w:lang w:val="pt-BR"/>
        </w:rPr>
        <w:t>solicitação ou coloca o software desse produto à disposição para download no Centro de Atendimento de</w:t>
      </w:r>
      <w:r w:rsidR="0095190D" w:rsidRPr="00734B50">
        <w:rPr>
          <w:rStyle w:val="BodyChar"/>
          <w:rFonts w:ascii="Tahoma" w:hAnsi="Tahoma" w:cs="Tahoma"/>
          <w:sz w:val="18"/>
          <w:szCs w:val="18"/>
          <w:lang w:val="pt-BR"/>
        </w:rPr>
        <w:t> </w:t>
      </w:r>
      <w:r w:rsidRPr="00734B50">
        <w:rPr>
          <w:rStyle w:val="BodyChar"/>
          <w:rFonts w:ascii="Tahoma" w:hAnsi="Tahoma" w:cs="Tahoma"/>
          <w:sz w:val="18"/>
          <w:szCs w:val="18"/>
          <w:lang w:val="pt-BR"/>
        </w:rPr>
        <w:t>Licenciamento por Volume (VLSC), o que ocorrer primeiro.</w:t>
      </w: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EA (Contrato Enterprise) =</w:t>
      </w:r>
      <w:r w:rsidRPr="00734B50">
        <w:rPr>
          <w:rFonts w:ascii="Tahoma" w:hAnsi="Tahoma" w:cs="Tahoma"/>
          <w:sz w:val="18"/>
          <w:szCs w:val="18"/>
          <w:lang w:val="pt-BR"/>
        </w:rPr>
        <w:t xml:space="preserve"> Contrato Enterprise 20xx.</w:t>
      </w: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EA Sub (Contrato Enterprise Subscription) =</w:t>
      </w:r>
      <w:r w:rsidRPr="00734B50">
        <w:rPr>
          <w:rStyle w:val="BodyChar"/>
          <w:rFonts w:ascii="Tahoma" w:hAnsi="Tahoma" w:cs="Tahoma"/>
          <w:sz w:val="18"/>
          <w:szCs w:val="18"/>
          <w:lang w:val="pt-BR"/>
        </w:rPr>
        <w:t xml:space="preserve"> </w:t>
      </w:r>
      <w:r w:rsidRPr="00734B50">
        <w:rPr>
          <w:rFonts w:ascii="Tahoma" w:hAnsi="Tahoma" w:cs="Tahoma"/>
          <w:sz w:val="18"/>
          <w:szCs w:val="18"/>
          <w:lang w:val="pt-BR"/>
        </w:rPr>
        <w:t>Contrato Enterprise Subscription 200x.</w:t>
      </w:r>
      <w:r w:rsidR="00DD7735" w:rsidRPr="00734B50">
        <w:rPr>
          <w:rFonts w:ascii="Tahoma" w:hAnsi="Tahoma" w:cs="Tahoma"/>
          <w:sz w:val="18"/>
          <w:szCs w:val="18"/>
          <w:lang w:val="pt-BR"/>
        </w:rPr>
        <w:t xml:space="preserve"> </w:t>
      </w:r>
    </w:p>
    <w:p w:rsidR="00456002" w:rsidRPr="00734B50" w:rsidRDefault="00456002" w:rsidP="00456002">
      <w:pPr>
        <w:pStyle w:val="Bodywithspace"/>
        <w:spacing w:before="0" w:after="0" w:line="276" w:lineRule="auto"/>
        <w:ind w:right="-180"/>
        <w:rPr>
          <w:lang w:val="pt-BR"/>
        </w:rPr>
      </w:pPr>
      <w:r w:rsidRPr="00734B50">
        <w:rPr>
          <w:rStyle w:val="BodyChar"/>
          <w:rFonts w:ascii="Tahoma" w:hAnsi="Tahoma" w:cs="Tahoma"/>
          <w:b/>
          <w:sz w:val="18"/>
          <w:szCs w:val="18"/>
          <w:lang w:val="pt-BR"/>
        </w:rPr>
        <w:t>Mínimo de Licenças Open =</w:t>
      </w:r>
      <w:r w:rsidRPr="00734B50">
        <w:rPr>
          <w:rFonts w:ascii="Tahoma" w:hAnsi="Tahoma" w:cs="Tahoma"/>
          <w:sz w:val="18"/>
          <w:szCs w:val="18"/>
          <w:lang w:val="pt-BR"/>
        </w:rPr>
        <w:t xml:space="preserve"> Cada Licença conta unicamente como cinco Licenças para fins do pedido inicial</w:t>
      </w:r>
      <w:r w:rsidR="00FF5F3C" w:rsidRPr="00734B50">
        <w:rPr>
          <w:rFonts w:ascii="Tahoma" w:hAnsi="Tahoma" w:cs="Tahoma"/>
          <w:sz w:val="18"/>
          <w:szCs w:val="18"/>
          <w:lang w:val="pt-BR"/>
        </w:rPr>
        <w:t> </w:t>
      </w:r>
      <w:r w:rsidRPr="00734B50">
        <w:rPr>
          <w:rFonts w:ascii="Tahoma" w:hAnsi="Tahoma" w:cs="Tahoma"/>
          <w:sz w:val="18"/>
          <w:szCs w:val="18"/>
          <w:lang w:val="pt-BR"/>
        </w:rPr>
        <w:t>mínimo nos programas Licença Open e/ou Open Value. O valor indica para qual programa essa condição</w:t>
      </w:r>
      <w:r w:rsidR="00FF5F3C" w:rsidRPr="00734B50">
        <w:rPr>
          <w:rFonts w:ascii="Tahoma" w:hAnsi="Tahoma" w:cs="Tahoma"/>
          <w:sz w:val="18"/>
          <w:szCs w:val="18"/>
          <w:lang w:val="pt-BR"/>
        </w:rPr>
        <w:t> </w:t>
      </w:r>
      <w:r w:rsidRPr="00734B50">
        <w:rPr>
          <w:rFonts w:ascii="Tahoma" w:hAnsi="Tahoma" w:cs="Tahoma"/>
          <w:sz w:val="18"/>
          <w:szCs w:val="18"/>
          <w:lang w:val="pt-BR"/>
        </w:rPr>
        <w:t>está em vigor.</w:t>
      </w:r>
    </w:p>
    <w:p w:rsidR="00456002" w:rsidRPr="00734B50" w:rsidRDefault="00456002" w:rsidP="00456002">
      <w:pPr>
        <w:pStyle w:val="Bodywithspace"/>
        <w:spacing w:before="0" w:after="0" w:line="276" w:lineRule="auto"/>
        <w:ind w:right="-180"/>
        <w:rPr>
          <w:lang w:val="pt-BR"/>
        </w:rPr>
      </w:pPr>
      <w:r w:rsidRPr="00734B50">
        <w:rPr>
          <w:rStyle w:val="BodyChar"/>
          <w:rFonts w:ascii="Tahoma" w:hAnsi="Tahoma" w:cs="Tahoma"/>
          <w:b/>
          <w:sz w:val="18"/>
          <w:szCs w:val="18"/>
          <w:lang w:val="pt-BR"/>
        </w:rPr>
        <w:t>Licença Open =</w:t>
      </w:r>
      <w:r w:rsidRPr="00734B50">
        <w:rPr>
          <w:rFonts w:ascii="Tahoma" w:hAnsi="Tahoma" w:cs="Tahoma"/>
          <w:sz w:val="18"/>
          <w:szCs w:val="18"/>
          <w:lang w:val="pt-BR"/>
        </w:rPr>
        <w:t xml:space="preserve"> O componente exclusivamente Licença Open dos Programas Open. A Licença Open inclui Licença Open, Licença Open para Academic, Licença Open para Government e Licença Open para Charity, onde estiverem disponíveis.</w:t>
      </w:r>
    </w:p>
    <w:p w:rsidR="00456002" w:rsidRPr="00653421" w:rsidRDefault="00456002" w:rsidP="00456002">
      <w:pPr>
        <w:pStyle w:val="Bodywithspace"/>
        <w:spacing w:before="0" w:after="0" w:line="276" w:lineRule="auto"/>
        <w:ind w:right="-180"/>
      </w:pPr>
      <w:r w:rsidRPr="00653421">
        <w:rPr>
          <w:rStyle w:val="BodyChar"/>
          <w:rFonts w:ascii="Tahoma" w:hAnsi="Tahoma" w:cs="Tahoma"/>
          <w:b/>
          <w:sz w:val="18"/>
          <w:szCs w:val="18"/>
        </w:rPr>
        <w:t>Open Value (OV) =</w:t>
      </w:r>
      <w:r w:rsidRPr="00653421">
        <w:rPr>
          <w:rFonts w:ascii="Tahoma" w:hAnsi="Tahoma" w:cs="Tahoma"/>
          <w:sz w:val="18"/>
          <w:szCs w:val="18"/>
        </w:rPr>
        <w:t xml:space="preserve"> Open Value inclui Open Value e Open Value for Government.</w:t>
      </w:r>
    </w:p>
    <w:p w:rsidR="00456002" w:rsidRPr="00653421" w:rsidRDefault="00456002" w:rsidP="00456002">
      <w:pPr>
        <w:pStyle w:val="Bodywithspace"/>
        <w:spacing w:before="0" w:after="0" w:line="276" w:lineRule="auto"/>
        <w:ind w:right="-180"/>
      </w:pPr>
      <w:r w:rsidRPr="00653421">
        <w:rPr>
          <w:rStyle w:val="BodyChar"/>
          <w:rFonts w:ascii="Tahoma" w:hAnsi="Tahoma" w:cs="Tahoma"/>
          <w:b/>
          <w:sz w:val="18"/>
          <w:szCs w:val="18"/>
        </w:rPr>
        <w:t>Open Value Subscription (OVS) =</w:t>
      </w:r>
      <w:r w:rsidRPr="00653421">
        <w:rPr>
          <w:rFonts w:ascii="Tahoma" w:hAnsi="Tahoma" w:cs="Tahoma"/>
          <w:sz w:val="18"/>
          <w:szCs w:val="18"/>
        </w:rPr>
        <w:t xml:space="preserve"> Open Value Subscription inclui Open Value Subscription e Open Value Subecription for Government. </w:t>
      </w:r>
    </w:p>
    <w:p w:rsidR="00456002" w:rsidRPr="00653421" w:rsidRDefault="00456002" w:rsidP="00456002">
      <w:pPr>
        <w:pStyle w:val="Bodywithspace"/>
        <w:spacing w:before="0" w:after="0" w:line="276" w:lineRule="auto"/>
        <w:ind w:right="-180"/>
      </w:pPr>
      <w:r w:rsidRPr="00653421">
        <w:rPr>
          <w:rStyle w:val="BodyChar"/>
          <w:rFonts w:ascii="Tahoma" w:hAnsi="Tahoma" w:cs="Tahoma"/>
          <w:b/>
          <w:sz w:val="18"/>
          <w:szCs w:val="18"/>
        </w:rPr>
        <w:t xml:space="preserve">EES/OVS-ES = </w:t>
      </w:r>
      <w:r w:rsidRPr="00653421">
        <w:rPr>
          <w:rStyle w:val="BodyChar"/>
          <w:rFonts w:ascii="Tahoma" w:hAnsi="Tahoma" w:cs="Tahoma"/>
          <w:sz w:val="18"/>
          <w:szCs w:val="18"/>
        </w:rPr>
        <w:t>Enrollment for Education Solutions/Open Value Subscription – Education Solutions</w:t>
      </w:r>
    </w:p>
    <w:p w:rsidR="00456002" w:rsidRPr="00734B50" w:rsidRDefault="00456002" w:rsidP="00456002">
      <w:pPr>
        <w:pStyle w:val="Bodywithspace"/>
        <w:spacing w:before="0" w:after="0" w:line="276" w:lineRule="auto"/>
        <w:ind w:right="-180"/>
        <w:rPr>
          <w:lang w:val="pt-BR"/>
        </w:rPr>
      </w:pPr>
      <w:r w:rsidRPr="00734B50">
        <w:rPr>
          <w:rStyle w:val="BodyChar"/>
          <w:rFonts w:ascii="Tahoma" w:hAnsi="Tahoma" w:cs="Tahoma"/>
          <w:b/>
          <w:sz w:val="18"/>
          <w:szCs w:val="18"/>
          <w:lang w:val="pt-BR"/>
        </w:rPr>
        <w:t>Promoções e Migrações =</w:t>
      </w:r>
      <w:r w:rsidRPr="00734B50">
        <w:rPr>
          <w:rFonts w:ascii="Tahoma" w:hAnsi="Tahoma" w:cs="Tahoma"/>
          <w:sz w:val="18"/>
          <w:szCs w:val="18"/>
          <w:lang w:val="pt-BR"/>
        </w:rPr>
        <w:t xml:space="preserve"> Há uma promoção ou migração de software disponível.</w:t>
      </w:r>
    </w:p>
    <w:p w:rsidR="00456002" w:rsidRPr="00734B50" w:rsidRDefault="00456002" w:rsidP="00456002">
      <w:pPr>
        <w:pStyle w:val="Bodywithspace"/>
        <w:spacing w:before="0" w:after="0" w:line="276" w:lineRule="auto"/>
        <w:ind w:right="-180"/>
        <w:rPr>
          <w:lang w:val="pt-BR"/>
        </w:rPr>
      </w:pPr>
      <w:r w:rsidRPr="00734B50">
        <w:rPr>
          <w:rStyle w:val="BodyChar"/>
          <w:rFonts w:ascii="Tahoma" w:hAnsi="Tahoma" w:cs="Tahoma"/>
          <w:b/>
          <w:sz w:val="18"/>
          <w:szCs w:val="18"/>
          <w:lang w:val="pt-BR"/>
        </w:rPr>
        <w:t>SAB =</w:t>
      </w:r>
      <w:r w:rsidRPr="00734B50">
        <w:rPr>
          <w:rFonts w:ascii="Tahoma" w:hAnsi="Tahoma" w:cs="Tahoma"/>
          <w:sz w:val="18"/>
          <w:szCs w:val="18"/>
          <w:lang w:val="pt-BR"/>
        </w:rPr>
        <w:t xml:space="preserve"> Existem Benefícios do Software Assurance para clientes qualificados deste software.</w:t>
      </w:r>
    </w:p>
    <w:p w:rsidR="00456002" w:rsidRPr="00734B50" w:rsidRDefault="00456002" w:rsidP="00456002">
      <w:pPr>
        <w:pStyle w:val="Bodywithspace"/>
        <w:spacing w:before="0" w:after="0" w:line="276" w:lineRule="auto"/>
        <w:ind w:right="-180"/>
        <w:rPr>
          <w:lang w:val="pt-BR"/>
        </w:rPr>
      </w:pPr>
      <w:r w:rsidRPr="00734B50">
        <w:rPr>
          <w:rStyle w:val="BodyChar"/>
          <w:rFonts w:ascii="Tahoma" w:hAnsi="Tahoma" w:cs="Tahoma"/>
          <w:b/>
          <w:sz w:val="18"/>
          <w:szCs w:val="18"/>
          <w:lang w:val="pt-BR"/>
        </w:rPr>
        <w:t>Select =</w:t>
      </w:r>
      <w:r w:rsidRPr="00734B50">
        <w:rPr>
          <w:rFonts w:ascii="Tahoma" w:hAnsi="Tahoma" w:cs="Tahoma"/>
          <w:sz w:val="18"/>
          <w:szCs w:val="18"/>
          <w:lang w:val="pt-BR"/>
        </w:rPr>
        <w:t xml:space="preserve"> Select 20xx. Também inclui Select para Academic e Select para Government.</w:t>
      </w:r>
    </w:p>
    <w:p w:rsidR="00456002" w:rsidRPr="00734B50" w:rsidRDefault="00456002" w:rsidP="00456002">
      <w:pPr>
        <w:pStyle w:val="Bodywithspace"/>
        <w:spacing w:before="0" w:after="0" w:line="276" w:lineRule="auto"/>
        <w:ind w:right="-180"/>
        <w:rPr>
          <w:lang w:val="pt-BR"/>
        </w:rPr>
      </w:pPr>
      <w:r w:rsidRPr="00734B50">
        <w:rPr>
          <w:rStyle w:val="BodyChar"/>
          <w:rFonts w:ascii="Tahoma" w:hAnsi="Tahoma" w:cs="Tahoma"/>
          <w:b/>
          <w:sz w:val="18"/>
          <w:szCs w:val="18"/>
          <w:lang w:val="fr-FR"/>
        </w:rPr>
        <w:t>Select Plus</w:t>
      </w:r>
      <w:r w:rsidRPr="00734B50">
        <w:rPr>
          <w:rStyle w:val="BodyChar"/>
          <w:rFonts w:ascii="Tahoma" w:hAnsi="Tahoma" w:cs="Tahoma"/>
          <w:sz w:val="18"/>
          <w:szCs w:val="18"/>
          <w:lang w:val="fr-FR"/>
        </w:rPr>
        <w:t xml:space="preserve"> </w:t>
      </w:r>
      <w:r w:rsidRPr="00734B50">
        <w:rPr>
          <w:rStyle w:val="BodyChar"/>
          <w:rFonts w:ascii="Tahoma" w:hAnsi="Tahoma" w:cs="Tahoma"/>
          <w:b/>
          <w:sz w:val="18"/>
          <w:szCs w:val="18"/>
          <w:lang w:val="fr-FR"/>
        </w:rPr>
        <w:t>=</w:t>
      </w:r>
      <w:r w:rsidRPr="00734B50">
        <w:rPr>
          <w:rStyle w:val="BodyChar"/>
          <w:rFonts w:ascii="Tahoma" w:hAnsi="Tahoma" w:cs="Tahoma"/>
          <w:sz w:val="18"/>
          <w:szCs w:val="18"/>
          <w:lang w:val="fr-FR"/>
        </w:rPr>
        <w:t xml:space="preserve"> Select Plus 20xx .</w:t>
      </w:r>
      <w:r w:rsidR="00DD7735" w:rsidRPr="00734B50">
        <w:rPr>
          <w:rStyle w:val="BodyChar"/>
          <w:rFonts w:ascii="Tahoma" w:hAnsi="Tahoma" w:cs="Tahoma"/>
          <w:sz w:val="18"/>
          <w:szCs w:val="18"/>
          <w:lang w:val="fr-FR"/>
        </w:rPr>
        <w:t xml:space="preserve"> </w:t>
      </w:r>
      <w:r w:rsidRPr="00734B50">
        <w:rPr>
          <w:rStyle w:val="BodyChar"/>
          <w:rFonts w:ascii="Tahoma" w:hAnsi="Tahoma" w:cs="Tahoma"/>
          <w:sz w:val="18"/>
          <w:szCs w:val="18"/>
          <w:lang w:val="pt-BR"/>
        </w:rPr>
        <w:t>Também inclui Select Plus para Academic e Select Plus para Government.</w:t>
      </w:r>
    </w:p>
    <w:p w:rsidR="00023FE7" w:rsidRPr="00734B50" w:rsidRDefault="00023FE7">
      <w:pPr>
        <w:pStyle w:val="Bodywithspace"/>
        <w:spacing w:before="0" w:after="0"/>
        <w:ind w:right="-180"/>
        <w:rPr>
          <w:lang w:val="pt-BR"/>
        </w:rPr>
      </w:pPr>
    </w:p>
    <w:p w:rsidR="00023FE7" w:rsidRPr="00734B50" w:rsidRDefault="00023FE7">
      <w:pPr>
        <w:pStyle w:val="ChartKeyHeadings"/>
        <w:ind w:right="-180"/>
        <w:rPr>
          <w:lang w:val="pt-BR"/>
        </w:rPr>
      </w:pPr>
      <w:r w:rsidRPr="00734B50">
        <w:rPr>
          <w:rFonts w:ascii="Tahoma" w:hAnsi="Tahoma" w:cs="Tahoma"/>
          <w:szCs w:val="28"/>
          <w:lang w:val="pt-BR"/>
        </w:rPr>
        <w:t>Valores das colunas</w:t>
      </w:r>
    </w:p>
    <w:p w:rsidR="00023FE7" w:rsidRPr="00734B50" w:rsidRDefault="00023FE7">
      <w:pPr>
        <w:pStyle w:val="ChartKeyHeadings"/>
        <w:ind w:right="-180"/>
        <w:rPr>
          <w:lang w:val="pt-BR"/>
        </w:rPr>
      </w:pP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1An =</w:t>
      </w:r>
      <w:r w:rsidRPr="00734B50">
        <w:rPr>
          <w:rStyle w:val="BodyChar"/>
          <w:rFonts w:ascii="Tahoma" w:hAnsi="Tahoma" w:cs="Tahoma"/>
          <w:sz w:val="18"/>
          <w:szCs w:val="18"/>
          <w:lang w:val="pt-BR"/>
        </w:rPr>
        <w:t xml:space="preserve"> </w:t>
      </w:r>
      <w:r w:rsidRPr="00734B50">
        <w:rPr>
          <w:rFonts w:ascii="Tahoma" w:hAnsi="Tahoma" w:cs="Tahoma"/>
          <w:sz w:val="18"/>
          <w:szCs w:val="18"/>
          <w:lang w:val="pt-BR"/>
        </w:rPr>
        <w:t>(resta 1 ano do prazo do contrato).</w:t>
      </w: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2An =</w:t>
      </w:r>
      <w:r w:rsidRPr="00734B50">
        <w:rPr>
          <w:rFonts w:ascii="Tahoma" w:hAnsi="Tahoma" w:cs="Tahoma"/>
          <w:sz w:val="18"/>
          <w:szCs w:val="18"/>
          <w:lang w:val="pt-BR"/>
        </w:rPr>
        <w:t xml:space="preserve"> (restam 2 anos do prazo do contrato).</w:t>
      </w: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3An =</w:t>
      </w:r>
      <w:r w:rsidRPr="00734B50">
        <w:rPr>
          <w:rFonts w:ascii="Tahoma" w:hAnsi="Tahoma" w:cs="Tahoma"/>
          <w:sz w:val="18"/>
          <w:szCs w:val="18"/>
          <w:lang w:val="pt-BR"/>
        </w:rPr>
        <w:t xml:space="preserve"> (restam 3 anos do prazo do contrato).</w:t>
      </w: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A =</w:t>
      </w:r>
      <w:r w:rsidRPr="00734B50">
        <w:rPr>
          <w:rFonts w:ascii="Tahoma" w:hAnsi="Tahoma" w:cs="Tahoma"/>
          <w:sz w:val="18"/>
          <w:szCs w:val="18"/>
          <w:lang w:val="pt-BR"/>
        </w:rPr>
        <w:t xml:space="preserve"> Indica que o software é oferecido como um produto adicional.</w:t>
      </w:r>
    </w:p>
    <w:p w:rsidR="009E22D0" w:rsidRPr="00734B50" w:rsidRDefault="009E22D0" w:rsidP="009E22D0">
      <w:pPr>
        <w:pStyle w:val="Bodywithspace"/>
        <w:spacing w:before="0" w:after="0" w:line="276" w:lineRule="auto"/>
        <w:ind w:right="-180"/>
        <w:rPr>
          <w:lang w:val="pt-BR"/>
        </w:rPr>
      </w:pPr>
      <w:r w:rsidRPr="00734B50">
        <w:rPr>
          <w:rStyle w:val="BodyChar"/>
          <w:rFonts w:ascii="Tahoma" w:hAnsi="Tahoma" w:cs="Tahoma"/>
          <w:b/>
          <w:sz w:val="18"/>
          <w:szCs w:val="18"/>
          <w:lang w:val="pt-BR"/>
        </w:rPr>
        <w:t>AO</w:t>
      </w:r>
      <w:r w:rsidR="00DD7735" w:rsidRPr="00734B50">
        <w:rPr>
          <w:rStyle w:val="BodyChar"/>
          <w:rFonts w:ascii="Tahoma" w:hAnsi="Tahoma" w:cs="Tahoma"/>
          <w:b/>
          <w:sz w:val="18"/>
          <w:szCs w:val="18"/>
          <w:lang w:val="pt-BR"/>
        </w:rPr>
        <w:t xml:space="preserve"> </w:t>
      </w:r>
      <w:r w:rsidRPr="00734B50">
        <w:rPr>
          <w:rStyle w:val="BodyChar"/>
          <w:rFonts w:ascii="Tahoma" w:hAnsi="Tahoma" w:cs="Tahoma"/>
          <w:b/>
          <w:sz w:val="18"/>
          <w:szCs w:val="18"/>
          <w:lang w:val="pt-BR"/>
        </w:rPr>
        <w:t>=</w:t>
      </w:r>
      <w:r w:rsidRPr="00734B50">
        <w:rPr>
          <w:rStyle w:val="BodyChar"/>
          <w:rFonts w:ascii="Tahoma" w:hAnsi="Tahoma" w:cs="Tahoma"/>
          <w:sz w:val="18"/>
          <w:szCs w:val="18"/>
          <w:lang w:val="pt-BR"/>
        </w:rPr>
        <w:t xml:space="preserve"> </w:t>
      </w:r>
      <w:r w:rsidRPr="00734B50">
        <w:rPr>
          <w:rFonts w:ascii="Tahoma" w:hAnsi="Tahoma" w:cs="Tahoma"/>
          <w:sz w:val="18"/>
          <w:szCs w:val="18"/>
          <w:lang w:val="pt-BR"/>
        </w:rPr>
        <w:t>Indica o software oferecido como um produto adicional solicitado em toda a organização.</w:t>
      </w:r>
    </w:p>
    <w:p w:rsidR="009F5F37" w:rsidRPr="00734B50" w:rsidRDefault="009F5F37">
      <w:pPr>
        <w:pStyle w:val="Bodywithspace"/>
        <w:spacing w:before="0" w:after="0" w:line="276" w:lineRule="auto"/>
        <w:ind w:right="-180"/>
        <w:rPr>
          <w:lang w:val="pt-BR"/>
        </w:rPr>
      </w:pPr>
      <w:r w:rsidRPr="00734B50">
        <w:rPr>
          <w:rStyle w:val="BodyChar"/>
          <w:rFonts w:ascii="Tahoma" w:hAnsi="Tahoma" w:cs="Tahoma"/>
          <w:b/>
          <w:sz w:val="18"/>
          <w:szCs w:val="18"/>
          <w:lang w:val="pt-BR"/>
        </w:rPr>
        <w:t xml:space="preserve">C = </w:t>
      </w:r>
      <w:r w:rsidRPr="00734B50">
        <w:rPr>
          <w:rFonts w:ascii="Tahoma" w:hAnsi="Tahoma" w:cs="Tahoma"/>
          <w:sz w:val="18"/>
          <w:szCs w:val="18"/>
          <w:lang w:val="pt-BR"/>
        </w:rPr>
        <w:t>Indica que o software é oferecido como um produto Core Infrastructure.</w:t>
      </w:r>
    </w:p>
    <w:p w:rsidR="009F5F37" w:rsidRPr="00734B50" w:rsidRDefault="009F5F37" w:rsidP="009F5F37">
      <w:pPr>
        <w:pStyle w:val="ListParagraph"/>
        <w:rPr>
          <w:lang w:val="pt-BR"/>
        </w:rPr>
      </w:pPr>
      <w:r w:rsidRPr="00734B50">
        <w:rPr>
          <w:rStyle w:val="BodyChar"/>
          <w:rFonts w:ascii="Tahoma" w:hAnsi="Tahoma" w:cs="Tahoma"/>
          <w:b/>
          <w:sz w:val="18"/>
          <w:szCs w:val="18"/>
          <w:lang w:val="pt-BR"/>
        </w:rPr>
        <w:t xml:space="preserve">D = </w:t>
      </w:r>
      <w:r w:rsidRPr="00734B50">
        <w:rPr>
          <w:rFonts w:ascii="Tahoma" w:hAnsi="Tahoma" w:cs="Tahoma"/>
          <w:sz w:val="18"/>
          <w:szCs w:val="18"/>
          <w:lang w:val="pt-BR"/>
        </w:rPr>
        <w:t>Indica que o software é oferecido como um produto de programa Industry Device.</w:t>
      </w: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DT =</w:t>
      </w:r>
      <w:r w:rsidRPr="00734B50">
        <w:rPr>
          <w:rFonts w:ascii="Tahoma" w:hAnsi="Tahoma" w:cs="Tahoma"/>
          <w:sz w:val="18"/>
          <w:szCs w:val="18"/>
          <w:lang w:val="pt-BR"/>
        </w:rPr>
        <w:t xml:space="preserve"> Benefícios do Software Assurance para Ofertas para Desktop. </w:t>
      </w:r>
    </w:p>
    <w:p w:rsidR="00F90F21" w:rsidRPr="00734B50" w:rsidRDefault="009055B7">
      <w:pPr>
        <w:pStyle w:val="Bodywithspace"/>
        <w:spacing w:before="0" w:after="0" w:line="276" w:lineRule="auto"/>
        <w:ind w:right="-180"/>
        <w:rPr>
          <w:lang w:val="pt-BR"/>
        </w:rPr>
      </w:pPr>
      <w:r w:rsidRPr="00734B50">
        <w:rPr>
          <w:rFonts w:ascii="Tahoma" w:hAnsi="Tahoma" w:cs="Times New Roman"/>
          <w:b/>
          <w:color w:val="000000"/>
          <w:sz w:val="18"/>
          <w:szCs w:val="22"/>
          <w:lang w:val="pt-BR"/>
        </w:rPr>
        <w:t>E</w:t>
      </w:r>
      <w:r w:rsidRPr="00734B50">
        <w:rPr>
          <w:rFonts w:ascii="Tahoma" w:hAnsi="Tahoma" w:cs="Times New Roman"/>
          <w:color w:val="000000"/>
          <w:sz w:val="18"/>
          <w:szCs w:val="22"/>
          <w:lang w:val="pt-BR"/>
        </w:rPr>
        <w:t xml:space="preserve"> = Indica que o produto é oferecido como um produto Enterprise ou da plataforma desktop.</w:t>
      </w:r>
    </w:p>
    <w:p w:rsidR="00B23BE6" w:rsidRPr="00734B50" w:rsidRDefault="00B23BE6" w:rsidP="0095190D">
      <w:pPr>
        <w:spacing w:line="276" w:lineRule="auto"/>
        <w:ind w:left="720"/>
        <w:rPr>
          <w:lang w:val="pt-BR"/>
        </w:rPr>
      </w:pPr>
      <w:r w:rsidRPr="00734B50">
        <w:rPr>
          <w:b/>
          <w:color w:val="000000"/>
          <w:lang w:val="pt-BR"/>
        </w:rPr>
        <w:t>EOLS =</w:t>
      </w:r>
      <w:r w:rsidRPr="00734B50">
        <w:rPr>
          <w:color w:val="000000"/>
          <w:lang w:val="pt-BR"/>
        </w:rPr>
        <w:t xml:space="preserve"> Indica que o produto é oferecido como um serviço online Enterprise ou serviço online da</w:t>
      </w:r>
      <w:r w:rsidR="0095190D" w:rsidRPr="00734B50">
        <w:rPr>
          <w:color w:val="000000"/>
          <w:lang w:val="pt-BR"/>
        </w:rPr>
        <w:t> </w:t>
      </w:r>
      <w:r w:rsidRPr="00734B50">
        <w:rPr>
          <w:color w:val="000000"/>
          <w:lang w:val="pt-BR"/>
        </w:rPr>
        <w:t>plataforma.</w:t>
      </w:r>
    </w:p>
    <w:p w:rsidR="00E97819" w:rsidRPr="00734B50" w:rsidRDefault="00E97819" w:rsidP="0095190D">
      <w:pPr>
        <w:pStyle w:val="Bodywithspace"/>
        <w:spacing w:before="0" w:after="0" w:line="276" w:lineRule="auto"/>
        <w:rPr>
          <w:lang w:val="pt-BR"/>
        </w:rPr>
      </w:pPr>
      <w:r w:rsidRPr="00734B50">
        <w:rPr>
          <w:rFonts w:ascii="Tahoma" w:hAnsi="Tahoma" w:cs="Times New Roman"/>
          <w:b/>
          <w:color w:val="000000"/>
          <w:sz w:val="18"/>
          <w:szCs w:val="22"/>
          <w:lang w:val="pt-BR"/>
        </w:rPr>
        <w:t xml:space="preserve">ST = </w:t>
      </w:r>
      <w:r w:rsidRPr="00734B50">
        <w:rPr>
          <w:rFonts w:ascii="Tahoma" w:hAnsi="Tahoma" w:cs="Times New Roman"/>
          <w:color w:val="000000"/>
          <w:sz w:val="18"/>
          <w:szCs w:val="22"/>
          <w:lang w:val="pt-BR"/>
        </w:rPr>
        <w:t>Indica se o software será oferecido como Oferta ao Aluno e deverá ser solicitado para a Contagem de</w:t>
      </w:r>
      <w:r w:rsidR="0095190D" w:rsidRPr="00734B50">
        <w:rPr>
          <w:color w:val="000000"/>
          <w:lang w:val="pt-BR"/>
        </w:rPr>
        <w:t> </w:t>
      </w:r>
      <w:r w:rsidRPr="00734B50">
        <w:rPr>
          <w:rFonts w:ascii="Tahoma" w:hAnsi="Tahoma" w:cs="Times New Roman"/>
          <w:color w:val="000000"/>
          <w:sz w:val="18"/>
          <w:szCs w:val="22"/>
          <w:lang w:val="pt-BR"/>
        </w:rPr>
        <w:t>Alunos integral.</w:t>
      </w:r>
    </w:p>
    <w:p w:rsidR="00023FE7" w:rsidRPr="00734B50" w:rsidRDefault="00023FE7" w:rsidP="0095190D">
      <w:pPr>
        <w:pStyle w:val="Bodywithspace"/>
        <w:spacing w:before="0" w:after="0" w:line="276" w:lineRule="auto"/>
        <w:rPr>
          <w:lang w:val="pt-BR"/>
        </w:rPr>
      </w:pPr>
      <w:r w:rsidRPr="00734B50">
        <w:rPr>
          <w:rStyle w:val="BodyChar"/>
          <w:rFonts w:ascii="Tahoma" w:hAnsi="Tahoma" w:cs="Tahoma"/>
          <w:b/>
          <w:sz w:val="18"/>
          <w:szCs w:val="18"/>
          <w:lang w:val="pt-BR"/>
        </w:rPr>
        <w:t>L (Licença) =</w:t>
      </w:r>
      <w:r w:rsidRPr="00734B50">
        <w:rPr>
          <w:rFonts w:ascii="Tahoma" w:hAnsi="Tahoma" w:cs="Tahoma"/>
          <w:sz w:val="18"/>
          <w:szCs w:val="18"/>
          <w:lang w:val="pt-BR"/>
        </w:rPr>
        <w:t xml:space="preserve"> Valor em pontos designado quando uma Licença Padrão é oferecida para </w:t>
      </w:r>
      <w:r w:rsidR="0095190D" w:rsidRPr="00734B50">
        <w:rPr>
          <w:rFonts w:ascii="Tahoma" w:hAnsi="Tahoma" w:cs="Tahoma"/>
          <w:sz w:val="18"/>
          <w:szCs w:val="18"/>
          <w:lang w:val="pt-BR"/>
        </w:rPr>
        <w:br/>
      </w:r>
      <w:r w:rsidRPr="00734B50">
        <w:rPr>
          <w:rFonts w:ascii="Tahoma" w:hAnsi="Tahoma" w:cs="Tahoma"/>
          <w:sz w:val="18"/>
          <w:szCs w:val="18"/>
          <w:lang w:val="pt-BR"/>
        </w:rPr>
        <w:t>o software indicado.</w:t>
      </w:r>
    </w:p>
    <w:p w:rsidR="00023FE7" w:rsidRPr="00734B50" w:rsidRDefault="00023FE7" w:rsidP="0095190D">
      <w:pPr>
        <w:pStyle w:val="Bodywithspace"/>
        <w:spacing w:before="0" w:after="0" w:line="276" w:lineRule="auto"/>
        <w:rPr>
          <w:lang w:val="pt-BR"/>
        </w:rPr>
      </w:pPr>
      <w:r w:rsidRPr="00734B50">
        <w:rPr>
          <w:rStyle w:val="BodyChar"/>
          <w:rFonts w:ascii="Tahoma" w:hAnsi="Tahoma" w:cs="Tahoma"/>
          <w:b/>
          <w:sz w:val="18"/>
          <w:szCs w:val="18"/>
          <w:lang w:val="pt-BR"/>
        </w:rPr>
        <w:t>L&amp;SA (Licença e Software Assurance) =</w:t>
      </w:r>
      <w:r w:rsidRPr="00734B50">
        <w:rPr>
          <w:rFonts w:ascii="Tahoma" w:hAnsi="Tahoma" w:cs="Tahoma"/>
          <w:sz w:val="18"/>
          <w:szCs w:val="18"/>
          <w:lang w:val="pt-BR"/>
        </w:rPr>
        <w:t xml:space="preserve"> Valor em pontos designado quando uma instância </w:t>
      </w:r>
      <w:r w:rsidR="0095190D" w:rsidRPr="00734B50">
        <w:rPr>
          <w:rFonts w:ascii="Tahoma" w:hAnsi="Tahoma" w:cs="Tahoma"/>
          <w:sz w:val="18"/>
          <w:szCs w:val="18"/>
          <w:lang w:val="pt-BR"/>
        </w:rPr>
        <w:br/>
      </w:r>
      <w:r w:rsidRPr="00734B50">
        <w:rPr>
          <w:rFonts w:ascii="Tahoma" w:hAnsi="Tahoma" w:cs="Tahoma"/>
          <w:sz w:val="18"/>
          <w:szCs w:val="18"/>
          <w:lang w:val="pt-BR"/>
        </w:rPr>
        <w:t>de Licença e</w:t>
      </w:r>
      <w:r w:rsidR="00FF5F3C" w:rsidRPr="00734B50">
        <w:rPr>
          <w:rFonts w:ascii="Tahoma" w:hAnsi="Tahoma" w:cs="Tahoma"/>
          <w:sz w:val="18"/>
          <w:szCs w:val="18"/>
          <w:lang w:val="pt-BR"/>
        </w:rPr>
        <w:t> </w:t>
      </w:r>
      <w:r w:rsidRPr="00734B50">
        <w:rPr>
          <w:rFonts w:ascii="Tahoma" w:hAnsi="Tahoma" w:cs="Tahoma"/>
          <w:sz w:val="18"/>
          <w:szCs w:val="18"/>
          <w:lang w:val="pt-BR"/>
        </w:rPr>
        <w:t>Software Assurance é oferecida para o software indicado.</w:t>
      </w:r>
    </w:p>
    <w:p w:rsidR="00023FE7" w:rsidRPr="00734B50" w:rsidRDefault="00023FE7">
      <w:pPr>
        <w:pStyle w:val="Bodywithspace"/>
        <w:spacing w:before="0" w:after="0" w:line="276" w:lineRule="auto"/>
        <w:rPr>
          <w:rFonts w:ascii="Tahoma" w:hAnsi="Tahoma" w:cs="Tahoma"/>
          <w:color w:val="000000"/>
          <w:sz w:val="18"/>
          <w:szCs w:val="18"/>
          <w:lang w:val="pt-BR"/>
        </w:rPr>
      </w:pPr>
      <w:r w:rsidRPr="00734B50">
        <w:rPr>
          <w:rStyle w:val="BodyChar"/>
          <w:rFonts w:ascii="Tahoma" w:hAnsi="Tahoma" w:cs="Tahoma"/>
          <w:b/>
          <w:bCs/>
          <w:color w:val="000000"/>
          <w:sz w:val="18"/>
          <w:szCs w:val="18"/>
          <w:lang w:val="pt-BR"/>
        </w:rPr>
        <w:t>LO =</w:t>
      </w:r>
      <w:r w:rsidRPr="00734B50">
        <w:rPr>
          <w:rFonts w:ascii="Tahoma" w:hAnsi="Tahoma" w:cs="Tahoma"/>
          <w:color w:val="000000"/>
          <w:sz w:val="18"/>
          <w:szCs w:val="18"/>
          <w:lang w:val="pt-BR"/>
        </w:rPr>
        <w:t xml:space="preserve"> Disponível na Licença Open.</w:t>
      </w:r>
    </w:p>
    <w:p w:rsidR="00FF5F3C" w:rsidRPr="00734B50" w:rsidRDefault="00FF5F3C">
      <w:pPr>
        <w:pStyle w:val="Bodywithspace"/>
        <w:spacing w:before="0" w:after="0" w:line="276" w:lineRule="auto"/>
        <w:rPr>
          <w:lang w:val="pt-BR"/>
        </w:rPr>
      </w:pPr>
    </w:p>
    <w:p w:rsidR="00FF5F3C" w:rsidRPr="00734B50" w:rsidRDefault="00FF5F3C">
      <w:pPr>
        <w:pStyle w:val="Bodywithspace"/>
        <w:spacing w:before="0" w:after="0" w:line="276" w:lineRule="auto"/>
        <w:rPr>
          <w:lang w:val="pt-BR"/>
        </w:rPr>
      </w:pPr>
    </w:p>
    <w:p w:rsidR="001D3F04" w:rsidRPr="00734B50" w:rsidRDefault="001D3F04" w:rsidP="001D3F04">
      <w:pPr>
        <w:pStyle w:val="Bodywithspace"/>
        <w:spacing w:before="0" w:after="0" w:line="276" w:lineRule="auto"/>
        <w:ind w:right="-180"/>
        <w:rPr>
          <w:lang w:val="pt-BR"/>
        </w:rPr>
      </w:pPr>
      <w:r w:rsidRPr="00734B50">
        <w:rPr>
          <w:rStyle w:val="BodyChar"/>
          <w:rFonts w:ascii="Tahoma" w:hAnsi="Tahoma" w:cs="Tahoma"/>
          <w:b/>
          <w:sz w:val="18"/>
          <w:szCs w:val="18"/>
          <w:lang w:val="pt-BR"/>
        </w:rPr>
        <w:lastRenderedPageBreak/>
        <w:t>OSB =</w:t>
      </w:r>
      <w:r w:rsidRPr="00734B50">
        <w:rPr>
          <w:rStyle w:val="BodyChar"/>
          <w:rFonts w:ascii="Tahoma" w:hAnsi="Tahoma" w:cs="Tahoma"/>
          <w:sz w:val="18"/>
          <w:szCs w:val="18"/>
          <w:lang w:val="pt-BR"/>
        </w:rPr>
        <w:t xml:space="preserve"> Benefícios de Serviços Online para clientes qualificados.</w:t>
      </w:r>
      <w:r w:rsidR="00DD7735" w:rsidRPr="00734B50">
        <w:rPr>
          <w:rStyle w:val="BodyChar"/>
          <w:rFonts w:ascii="Tahoma" w:hAnsi="Tahoma" w:cs="Tahoma"/>
          <w:sz w:val="18"/>
          <w:szCs w:val="18"/>
          <w:lang w:val="pt-BR"/>
        </w:rPr>
        <w:t xml:space="preserve"> </w:t>
      </w:r>
      <w:r w:rsidRPr="00734B50">
        <w:rPr>
          <w:rStyle w:val="BodyChar"/>
          <w:rFonts w:ascii="Tahoma" w:hAnsi="Tahoma" w:cs="Tahoma"/>
          <w:sz w:val="18"/>
          <w:szCs w:val="18"/>
          <w:lang w:val="pt-BR"/>
        </w:rPr>
        <w:t xml:space="preserve">Observe que </w:t>
      </w:r>
      <w:r w:rsidRPr="00734B50">
        <w:rPr>
          <w:rFonts w:ascii="Tahoma" w:hAnsi="Tahoma" w:cs="Tahoma"/>
          <w:sz w:val="18"/>
          <w:szCs w:val="18"/>
          <w:lang w:val="pt-BR"/>
        </w:rPr>
        <w:t>os produtos qualificados para os</w:t>
      </w:r>
      <w:r w:rsidR="00FF5F3C" w:rsidRPr="00734B50">
        <w:rPr>
          <w:rFonts w:ascii="Tahoma" w:hAnsi="Tahoma" w:cs="Tahoma"/>
          <w:sz w:val="18"/>
          <w:szCs w:val="18"/>
          <w:lang w:val="pt-BR"/>
        </w:rPr>
        <w:t> </w:t>
      </w:r>
      <w:r w:rsidRPr="00734B50">
        <w:rPr>
          <w:rFonts w:ascii="Tahoma" w:hAnsi="Tahoma" w:cs="Tahoma"/>
          <w:sz w:val="18"/>
          <w:szCs w:val="18"/>
          <w:lang w:val="pt-BR"/>
        </w:rPr>
        <w:t>benefícios de Serviços Online poderão aparecer em mais de uma tabela de pools de produtos.</w:t>
      </w:r>
      <w:r w:rsidR="00DD7735" w:rsidRPr="00734B50">
        <w:rPr>
          <w:rFonts w:ascii="Tahoma" w:hAnsi="Tahoma" w:cs="Tahoma"/>
          <w:sz w:val="18"/>
          <w:szCs w:val="18"/>
          <w:lang w:val="pt-BR"/>
        </w:rPr>
        <w:t xml:space="preserve"> </w:t>
      </w:r>
      <w:r w:rsidRPr="00734B50">
        <w:rPr>
          <w:rFonts w:ascii="Tahoma" w:hAnsi="Tahoma" w:cs="Tahoma"/>
          <w:sz w:val="18"/>
          <w:szCs w:val="18"/>
          <w:lang w:val="pt-BR"/>
        </w:rPr>
        <w:t>A razão disso</w:t>
      </w:r>
      <w:r w:rsidR="00FF5F3C" w:rsidRPr="00734B50">
        <w:rPr>
          <w:rFonts w:ascii="Tahoma" w:hAnsi="Tahoma" w:cs="Tahoma"/>
          <w:sz w:val="18"/>
          <w:szCs w:val="18"/>
          <w:lang w:val="pt-BR"/>
        </w:rPr>
        <w:t> </w:t>
      </w:r>
      <w:r w:rsidRPr="00734B50">
        <w:rPr>
          <w:rFonts w:ascii="Tahoma" w:hAnsi="Tahoma" w:cs="Tahoma"/>
          <w:sz w:val="18"/>
          <w:szCs w:val="18"/>
          <w:lang w:val="pt-BR"/>
        </w:rPr>
        <w:t>é simplesmente demonstrar que essas ofertas podem ser qualificadas para benefícios de software assurance associados a mais do que um pool de produtos e não é necessário escolher entre os benefícios de</w:t>
      </w:r>
      <w:r w:rsidR="00FF5F3C" w:rsidRPr="00734B50">
        <w:rPr>
          <w:rFonts w:ascii="Tahoma" w:hAnsi="Tahoma" w:cs="Tahoma"/>
          <w:sz w:val="18"/>
          <w:szCs w:val="18"/>
          <w:lang w:val="pt-BR"/>
        </w:rPr>
        <w:t> </w:t>
      </w:r>
      <w:r w:rsidRPr="00734B50">
        <w:rPr>
          <w:rFonts w:ascii="Tahoma" w:hAnsi="Tahoma" w:cs="Tahoma"/>
          <w:sz w:val="18"/>
          <w:szCs w:val="18"/>
          <w:lang w:val="pt-BR"/>
        </w:rPr>
        <w:t>um pool ou de outro.</w:t>
      </w:r>
    </w:p>
    <w:p w:rsidR="00023FE7" w:rsidRPr="00734B50" w:rsidRDefault="00023FE7">
      <w:pPr>
        <w:pStyle w:val="Bodywithspace"/>
        <w:spacing w:before="0" w:after="0" w:line="276" w:lineRule="auto"/>
        <w:rPr>
          <w:lang w:val="pt-BR"/>
        </w:rPr>
      </w:pPr>
      <w:r w:rsidRPr="00734B50">
        <w:rPr>
          <w:rStyle w:val="BodyChar"/>
          <w:rFonts w:ascii="Tahoma" w:hAnsi="Tahoma" w:cs="Tahoma"/>
          <w:b/>
          <w:bCs/>
          <w:color w:val="000000"/>
          <w:sz w:val="18"/>
          <w:szCs w:val="18"/>
          <w:lang w:val="pt-BR"/>
        </w:rPr>
        <w:t xml:space="preserve">OL/SA = </w:t>
      </w:r>
      <w:r w:rsidRPr="00734B50">
        <w:rPr>
          <w:rStyle w:val="BodyChar"/>
          <w:rFonts w:ascii="Tahoma" w:hAnsi="Tahoma" w:cs="Tahoma"/>
          <w:color w:val="000000"/>
          <w:sz w:val="18"/>
          <w:szCs w:val="18"/>
          <w:lang w:val="pt-BR"/>
        </w:rPr>
        <w:t>Disponível na Licença Open apenas para L&amp;SA e SA.</w:t>
      </w:r>
    </w:p>
    <w:p w:rsidR="00023FE7" w:rsidRPr="00734B50" w:rsidRDefault="00023FE7">
      <w:pPr>
        <w:pStyle w:val="Bodywithspace"/>
        <w:spacing w:before="0" w:after="0" w:line="276" w:lineRule="auto"/>
        <w:rPr>
          <w:lang w:val="pt-BR"/>
        </w:rPr>
      </w:pPr>
      <w:r w:rsidRPr="00734B50">
        <w:rPr>
          <w:rStyle w:val="BodyChar"/>
          <w:rFonts w:ascii="Tahoma" w:hAnsi="Tahoma" w:cs="Tahoma"/>
          <w:b/>
          <w:bCs/>
          <w:color w:val="000000"/>
          <w:sz w:val="18"/>
          <w:szCs w:val="18"/>
          <w:lang w:val="pt-BR"/>
        </w:rPr>
        <w:t xml:space="preserve">POS = </w:t>
      </w:r>
      <w:r w:rsidRPr="00734B50">
        <w:rPr>
          <w:rStyle w:val="BodyChar"/>
          <w:rFonts w:ascii="Tahoma" w:hAnsi="Tahoma" w:cs="Tahoma"/>
          <w:bCs/>
          <w:color w:val="000000"/>
          <w:sz w:val="18"/>
          <w:szCs w:val="18"/>
          <w:lang w:val="pt-BR"/>
        </w:rPr>
        <w:t>Disponível no programa Licença Online Subscription.</w:t>
      </w:r>
    </w:p>
    <w:p w:rsidR="00023FE7" w:rsidRPr="00734B50" w:rsidRDefault="00023FE7">
      <w:pPr>
        <w:pStyle w:val="Bodywithspace"/>
        <w:spacing w:before="0" w:after="0" w:line="276" w:lineRule="auto"/>
        <w:rPr>
          <w:lang w:val="pt-BR"/>
        </w:rPr>
      </w:pPr>
      <w:r w:rsidRPr="00734B50">
        <w:rPr>
          <w:rStyle w:val="BodyChar"/>
          <w:rFonts w:ascii="Tahoma" w:hAnsi="Tahoma" w:cs="Tahoma"/>
          <w:b/>
          <w:bCs/>
          <w:color w:val="000000"/>
          <w:sz w:val="18"/>
          <w:szCs w:val="18"/>
          <w:lang w:val="pt-BR"/>
        </w:rPr>
        <w:t>OV/OVS =</w:t>
      </w:r>
      <w:r w:rsidRPr="00734B50">
        <w:rPr>
          <w:rFonts w:ascii="Tahoma" w:hAnsi="Tahoma" w:cs="Tahoma"/>
          <w:color w:val="000000"/>
          <w:sz w:val="18"/>
          <w:szCs w:val="18"/>
          <w:lang w:val="pt-BR"/>
        </w:rPr>
        <w:t xml:space="preserve"> Disponível no programa Open Value e Open Value Subscription.</w:t>
      </w: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P =</w:t>
      </w:r>
      <w:r w:rsidRPr="00734B50">
        <w:rPr>
          <w:rFonts w:ascii="Tahoma" w:hAnsi="Tahoma" w:cs="Tahoma"/>
          <w:sz w:val="18"/>
          <w:szCs w:val="18"/>
          <w:lang w:val="pt-BR"/>
        </w:rPr>
        <w:t xml:space="preserve"> Indica software oferecido como opção de licença não extensiva a toda a empresa no Open Value. </w:t>
      </w:r>
    </w:p>
    <w:p w:rsidR="009F5F37" w:rsidRPr="00734B50" w:rsidRDefault="009F5F37">
      <w:pPr>
        <w:pStyle w:val="Bodywithspace"/>
        <w:spacing w:before="0" w:after="0" w:line="276" w:lineRule="auto"/>
        <w:rPr>
          <w:lang w:val="pt-BR"/>
        </w:rPr>
      </w:pPr>
      <w:r w:rsidRPr="00734B50">
        <w:rPr>
          <w:rStyle w:val="BodyChar"/>
          <w:rFonts w:ascii="Tahoma" w:hAnsi="Tahoma" w:cs="Tahoma"/>
          <w:b/>
          <w:sz w:val="18"/>
          <w:szCs w:val="18"/>
          <w:lang w:val="pt-BR"/>
        </w:rPr>
        <w:t xml:space="preserve">S = </w:t>
      </w:r>
      <w:r w:rsidRPr="00734B50">
        <w:rPr>
          <w:rFonts w:ascii="Tahoma" w:hAnsi="Tahoma" w:cs="Tahoma"/>
          <w:sz w:val="18"/>
          <w:szCs w:val="18"/>
          <w:lang w:val="pt-BR"/>
        </w:rPr>
        <w:t>Indica que o software é oferecido como um produto da plataforma desktop de aplicativos.</w:t>
      </w:r>
    </w:p>
    <w:p w:rsidR="00023FE7" w:rsidRPr="00734B50" w:rsidRDefault="00023FE7">
      <w:pPr>
        <w:pStyle w:val="Bodywithspace"/>
        <w:spacing w:before="0" w:after="0" w:line="276" w:lineRule="auto"/>
        <w:rPr>
          <w:lang w:val="pt-BR"/>
        </w:rPr>
      </w:pPr>
      <w:r w:rsidRPr="00734B50">
        <w:rPr>
          <w:rStyle w:val="BodyChar"/>
          <w:rFonts w:ascii="Tahoma" w:hAnsi="Tahoma" w:cs="Tahoma"/>
          <w:b/>
          <w:sz w:val="18"/>
          <w:szCs w:val="18"/>
          <w:lang w:val="pt-BR"/>
        </w:rPr>
        <w:t>SA (Software Assurance) =</w:t>
      </w:r>
      <w:r w:rsidRPr="00734B50">
        <w:rPr>
          <w:rFonts w:ascii="Tahoma" w:hAnsi="Tahoma" w:cs="Tahoma"/>
          <w:sz w:val="18"/>
          <w:szCs w:val="18"/>
          <w:lang w:val="pt-BR"/>
        </w:rPr>
        <w:t xml:space="preserve"> Valor em pontos designado quando o Software Assurance é oferecido para</w:t>
      </w:r>
      <w:r w:rsidR="0095190D" w:rsidRPr="00734B50">
        <w:rPr>
          <w:rFonts w:ascii="Tahoma" w:hAnsi="Tahoma" w:cs="Tahoma"/>
          <w:sz w:val="18"/>
          <w:szCs w:val="18"/>
          <w:lang w:val="pt-BR"/>
        </w:rPr>
        <w:t> </w:t>
      </w:r>
      <w:r w:rsidRPr="00734B50">
        <w:rPr>
          <w:rFonts w:ascii="Tahoma" w:hAnsi="Tahoma" w:cs="Tahoma"/>
          <w:sz w:val="18"/>
          <w:szCs w:val="18"/>
          <w:lang w:val="pt-BR"/>
        </w:rPr>
        <w:t>o</w:t>
      </w:r>
      <w:r w:rsidR="00FF5F3C" w:rsidRPr="00734B50">
        <w:rPr>
          <w:rFonts w:ascii="Tahoma" w:hAnsi="Tahoma" w:cs="Tahoma"/>
          <w:sz w:val="18"/>
          <w:szCs w:val="18"/>
          <w:lang w:val="pt-BR"/>
        </w:rPr>
        <w:t> </w:t>
      </w:r>
      <w:r w:rsidRPr="00734B50">
        <w:rPr>
          <w:rFonts w:ascii="Tahoma" w:hAnsi="Tahoma" w:cs="Tahoma"/>
          <w:sz w:val="18"/>
          <w:szCs w:val="18"/>
          <w:lang w:val="pt-BR"/>
        </w:rPr>
        <w:t xml:space="preserve">software indicado. </w:t>
      </w: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SRV =</w:t>
      </w:r>
      <w:r w:rsidRPr="00734B50">
        <w:rPr>
          <w:rFonts w:ascii="Tahoma" w:hAnsi="Tahoma" w:cs="Tahoma"/>
          <w:sz w:val="18"/>
          <w:szCs w:val="18"/>
          <w:lang w:val="pt-BR"/>
        </w:rPr>
        <w:t xml:space="preserve"> Benefícios do Software Assurance para Ofertas para Pool de Servidores. </w:t>
      </w:r>
    </w:p>
    <w:p w:rsidR="00023FE7" w:rsidRPr="00734B50" w:rsidRDefault="00023FE7">
      <w:pPr>
        <w:pStyle w:val="Bodywithspace"/>
        <w:tabs>
          <w:tab w:val="left" w:pos="9360"/>
        </w:tabs>
        <w:spacing w:before="0" w:after="0" w:line="276" w:lineRule="auto"/>
        <w:ind w:right="-180"/>
        <w:rPr>
          <w:lang w:val="pt-BR"/>
        </w:rPr>
      </w:pPr>
      <w:r w:rsidRPr="00734B50">
        <w:rPr>
          <w:rStyle w:val="BodyChar"/>
          <w:rFonts w:ascii="Tahoma" w:hAnsi="Tahoma" w:cs="Tahoma"/>
          <w:b/>
          <w:sz w:val="18"/>
          <w:szCs w:val="18"/>
          <w:lang w:val="pt-BR"/>
        </w:rPr>
        <w:t>U (Licença de Atualização) =</w:t>
      </w:r>
      <w:r w:rsidRPr="00734B50">
        <w:rPr>
          <w:rFonts w:ascii="Tahoma" w:hAnsi="Tahoma" w:cs="Tahoma"/>
          <w:sz w:val="18"/>
          <w:szCs w:val="18"/>
          <w:lang w:val="pt-BR"/>
        </w:rPr>
        <w:t xml:space="preserve"> Valor em pontos designado quando uma atualização é oferecida para</w:t>
      </w:r>
      <w:r w:rsidR="0095190D" w:rsidRPr="00734B50">
        <w:rPr>
          <w:rFonts w:ascii="Tahoma" w:hAnsi="Tahoma" w:cs="Tahoma"/>
          <w:sz w:val="18"/>
          <w:szCs w:val="18"/>
          <w:lang w:val="pt-BR"/>
        </w:rPr>
        <w:t> </w:t>
      </w:r>
      <w:r w:rsidRPr="00734B50">
        <w:rPr>
          <w:rFonts w:ascii="Tahoma" w:hAnsi="Tahoma" w:cs="Tahoma"/>
          <w:sz w:val="18"/>
          <w:szCs w:val="18"/>
          <w:lang w:val="pt-BR"/>
        </w:rPr>
        <w:t>o</w:t>
      </w:r>
      <w:r w:rsidR="00FF5F3C" w:rsidRPr="00734B50">
        <w:rPr>
          <w:rFonts w:ascii="Tahoma" w:hAnsi="Tahoma" w:cs="Tahoma"/>
          <w:sz w:val="18"/>
          <w:szCs w:val="18"/>
          <w:lang w:val="pt-BR"/>
        </w:rPr>
        <w:t> </w:t>
      </w:r>
      <w:r w:rsidRPr="00734B50">
        <w:rPr>
          <w:rFonts w:ascii="Tahoma" w:hAnsi="Tahoma" w:cs="Tahoma"/>
          <w:sz w:val="18"/>
          <w:szCs w:val="18"/>
          <w:lang w:val="pt-BR"/>
        </w:rPr>
        <w:t>software indicado.</w:t>
      </w:r>
    </w:p>
    <w:p w:rsidR="00023FE7" w:rsidRPr="00734B50" w:rsidRDefault="00023FE7">
      <w:pPr>
        <w:pStyle w:val="Bodywithspace"/>
        <w:spacing w:before="0" w:after="0" w:line="276" w:lineRule="auto"/>
        <w:ind w:right="-180"/>
        <w:rPr>
          <w:lang w:val="pt-BR"/>
        </w:rPr>
      </w:pPr>
      <w:r w:rsidRPr="00734B50">
        <w:rPr>
          <w:rStyle w:val="BodyChar"/>
          <w:rFonts w:ascii="Tahoma" w:hAnsi="Tahoma" w:cs="Tahoma"/>
          <w:b/>
          <w:sz w:val="18"/>
          <w:szCs w:val="18"/>
          <w:lang w:val="pt-BR"/>
        </w:rPr>
        <w:t>U &amp; SA (Atualização e Software Assurance)</w:t>
      </w:r>
      <w:r w:rsidRPr="00734B50">
        <w:rPr>
          <w:rFonts w:ascii="Tahoma" w:hAnsi="Tahoma" w:cs="Tahoma"/>
          <w:sz w:val="18"/>
          <w:szCs w:val="18"/>
          <w:lang w:val="pt-BR"/>
        </w:rPr>
        <w:t xml:space="preserve"> </w:t>
      </w:r>
      <w:r w:rsidRPr="00734B50">
        <w:rPr>
          <w:rFonts w:ascii="Tahoma" w:hAnsi="Tahoma" w:cs="Tahoma"/>
          <w:b/>
          <w:sz w:val="18"/>
          <w:szCs w:val="18"/>
          <w:lang w:val="pt-BR"/>
        </w:rPr>
        <w:t>=</w:t>
      </w:r>
      <w:r w:rsidRPr="00734B50">
        <w:rPr>
          <w:rFonts w:ascii="Tahoma" w:hAnsi="Tahoma" w:cs="Tahoma"/>
          <w:sz w:val="18"/>
          <w:szCs w:val="18"/>
          <w:lang w:val="pt-BR"/>
        </w:rPr>
        <w:t xml:space="preserve"> Valor em pontos designado quando uma instância de</w:t>
      </w:r>
      <w:r w:rsidR="00FF5F3C" w:rsidRPr="00734B50">
        <w:rPr>
          <w:rFonts w:ascii="Tahoma" w:hAnsi="Tahoma" w:cs="Tahoma"/>
          <w:sz w:val="18"/>
          <w:szCs w:val="18"/>
          <w:lang w:val="pt-BR"/>
        </w:rPr>
        <w:t> </w:t>
      </w:r>
      <w:r w:rsidRPr="00734B50">
        <w:rPr>
          <w:rFonts w:ascii="Tahoma" w:hAnsi="Tahoma" w:cs="Tahoma"/>
          <w:sz w:val="18"/>
          <w:szCs w:val="18"/>
          <w:lang w:val="pt-BR"/>
        </w:rPr>
        <w:t>atualização e Software Assurance é oferecida para o software indicado.</w:t>
      </w:r>
    </w:p>
    <w:p w:rsidR="00023FE7" w:rsidRPr="00653421" w:rsidRDefault="00023FE7" w:rsidP="006A3FBD">
      <w:pPr>
        <w:pStyle w:val="Heading1"/>
        <w:rPr>
          <w:sz w:val="36"/>
          <w:szCs w:val="36"/>
          <w:lang w:val="x-none" w:eastAsia="x-none"/>
        </w:rPr>
      </w:pPr>
      <w:r w:rsidRPr="00734B50">
        <w:rPr>
          <w:lang w:val="pt-BR"/>
        </w:rPr>
        <w:br w:type="page"/>
      </w:r>
      <w:bookmarkStart w:id="10" w:name="_Toc336337841"/>
      <w:bookmarkStart w:id="11" w:name="_Toc353470491"/>
      <w:r w:rsidRPr="00653421">
        <w:rPr>
          <w:sz w:val="36"/>
          <w:szCs w:val="36"/>
          <w:lang w:val="x-none" w:eastAsia="x-none"/>
        </w:rPr>
        <w:lastRenderedPageBreak/>
        <w:t>LISTA DE Produtos</w:t>
      </w:r>
      <w:bookmarkEnd w:id="10"/>
      <w:bookmarkEnd w:id="11"/>
    </w:p>
    <w:p w:rsidR="000E5145" w:rsidRPr="00734B50" w:rsidRDefault="000E5145" w:rsidP="004E292A">
      <w:pPr>
        <w:pStyle w:val="Heading3"/>
        <w:rPr>
          <w:lang w:val="pt-BR"/>
        </w:rPr>
      </w:pPr>
      <w:bookmarkStart w:id="12" w:name="_Toc300391149"/>
      <w:bookmarkStart w:id="13" w:name="_Toc312398873"/>
      <w:bookmarkStart w:id="14" w:name="_Toc336337842"/>
    </w:p>
    <w:p w:rsidR="00F70479" w:rsidRPr="00734B50" w:rsidRDefault="00F70479" w:rsidP="00F70479">
      <w:pPr>
        <w:rPr>
          <w:lang w:val="pt-BR"/>
        </w:rPr>
      </w:pPr>
    </w:p>
    <w:p w:rsidR="00023FE7" w:rsidRPr="00734B50" w:rsidRDefault="00023FE7" w:rsidP="004E292A">
      <w:pPr>
        <w:pStyle w:val="Heading3"/>
        <w:rPr>
          <w:lang w:val="pt-BR"/>
        </w:rPr>
      </w:pPr>
      <w:bookmarkStart w:id="15" w:name="_Toc353470492"/>
      <w:r w:rsidRPr="00734B50">
        <w:rPr>
          <w:rFonts w:ascii="Tahoma" w:hAnsi="Tahoma" w:cs="Tahoma"/>
          <w:sz w:val="22"/>
          <w:szCs w:val="22"/>
          <w:lang w:val="pt-BR"/>
        </w:rPr>
        <w:t>POOL DE APLICATIVOS</w:t>
      </w:r>
      <w:bookmarkEnd w:id="12"/>
      <w:bookmarkEnd w:id="13"/>
      <w:bookmarkEnd w:id="14"/>
      <w:bookmarkEnd w:id="15"/>
    </w:p>
    <w:p w:rsidR="006949F0" w:rsidRPr="00734B50" w:rsidRDefault="006949F0" w:rsidP="006949F0">
      <w:pPr>
        <w:rPr>
          <w:lang w:val="pt-BR"/>
        </w:rPr>
      </w:pPr>
    </w:p>
    <w:tbl>
      <w:tblPr>
        <w:tblW w:w="10505"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370"/>
        <w:gridCol w:w="360"/>
        <w:gridCol w:w="360"/>
        <w:gridCol w:w="450"/>
        <w:gridCol w:w="450"/>
        <w:gridCol w:w="450"/>
        <w:gridCol w:w="450"/>
        <w:gridCol w:w="360"/>
        <w:gridCol w:w="450"/>
        <w:gridCol w:w="450"/>
        <w:gridCol w:w="450"/>
        <w:gridCol w:w="450"/>
        <w:gridCol w:w="360"/>
        <w:gridCol w:w="630"/>
        <w:gridCol w:w="540"/>
      </w:tblGrid>
      <w:tr w:rsidR="00B27742" w:rsidRPr="00653421" w:rsidTr="00BA1576">
        <w:trPr>
          <w:cantSplit/>
          <w:trHeight w:val="728"/>
          <w:tblHeader/>
        </w:trPr>
        <w:tc>
          <w:tcPr>
            <w:tcW w:w="2638" w:type="dxa"/>
            <w:tcBorders>
              <w:top w:val="single" w:sz="4" w:space="0" w:color="FFFFFF"/>
              <w:left w:val="nil"/>
              <w:bottom w:val="nil"/>
            </w:tcBorders>
          </w:tcPr>
          <w:p w:rsidR="00B27742" w:rsidRPr="00734B50" w:rsidRDefault="00B27742" w:rsidP="00BA1576">
            <w:pPr>
              <w:widowControl w:val="0"/>
              <w:spacing w:before="30" w:after="30"/>
              <w:ind w:left="-360"/>
              <w:rPr>
                <w:rFonts w:cs="Tahoma"/>
                <w:lang w:val="pt-BR"/>
              </w:rPr>
            </w:pPr>
          </w:p>
        </w:tc>
        <w:tc>
          <w:tcPr>
            <w:tcW w:w="429" w:type="dxa"/>
            <w:textDirection w:val="btLr"/>
            <w:vAlign w:val="center"/>
          </w:tcPr>
          <w:p w:rsidR="00B27742" w:rsidRPr="00653421" w:rsidRDefault="00B27742" w:rsidP="00BA1576">
            <w:pPr>
              <w:pStyle w:val="TableVerticalText"/>
              <w:widowControl w:val="0"/>
              <w:spacing w:before="30" w:after="30"/>
              <w:rPr>
                <w:rFonts w:ascii="Tahoma" w:hAnsi="Tahoma" w:cs="Tahoma"/>
              </w:rPr>
            </w:pPr>
            <w:r w:rsidRPr="00653421">
              <w:rPr>
                <w:rFonts w:ascii="Tahoma" w:hAnsi="Tahoma" w:cs="Tahoma"/>
              </w:rPr>
              <w:t>Notas do Produto</w:t>
            </w:r>
          </w:p>
        </w:tc>
        <w:tc>
          <w:tcPr>
            <w:tcW w:w="429" w:type="dxa"/>
            <w:textDirection w:val="btLr"/>
            <w:vAlign w:val="center"/>
          </w:tcPr>
          <w:p w:rsidR="00B27742" w:rsidRPr="00653421" w:rsidRDefault="00B27742" w:rsidP="00BA1576">
            <w:pPr>
              <w:pStyle w:val="TableVerticalText"/>
              <w:widowControl w:val="0"/>
              <w:spacing w:before="30" w:after="30"/>
              <w:rPr>
                <w:rFonts w:ascii="Tahoma" w:hAnsi="Tahoma" w:cs="Tahoma"/>
              </w:rPr>
            </w:pPr>
            <w:r w:rsidRPr="00653421">
              <w:rPr>
                <w:rFonts w:ascii="Tahoma" w:hAnsi="Tahoma" w:cs="Tahoma"/>
              </w:rPr>
              <w:t>Data disponível</w:t>
            </w:r>
          </w:p>
        </w:tc>
        <w:tc>
          <w:tcPr>
            <w:tcW w:w="429" w:type="dxa"/>
            <w:tcBorders>
              <w:right w:val="single" w:sz="18" w:space="0" w:color="auto"/>
            </w:tcBorders>
            <w:textDirection w:val="btLr"/>
            <w:vAlign w:val="center"/>
          </w:tcPr>
          <w:p w:rsidR="00B27742" w:rsidRPr="00653421" w:rsidRDefault="00B27742" w:rsidP="00BA1576">
            <w:pPr>
              <w:pStyle w:val="TableVerticalText"/>
              <w:widowControl w:val="0"/>
              <w:spacing w:before="30" w:after="30"/>
              <w:rPr>
                <w:rFonts w:ascii="Tahoma" w:hAnsi="Tahoma" w:cs="Tahoma"/>
              </w:rPr>
            </w:pPr>
            <w:r w:rsidRPr="00653421">
              <w:rPr>
                <w:rFonts w:ascii="Tahoma" w:hAnsi="Tahoma" w:cs="Tahoma"/>
              </w:rPr>
              <w:t>SAB</w:t>
            </w:r>
          </w:p>
        </w:tc>
        <w:tc>
          <w:tcPr>
            <w:tcW w:w="2890" w:type="dxa"/>
            <w:gridSpan w:val="7"/>
            <w:tcBorders>
              <w:left w:val="single" w:sz="18" w:space="0" w:color="auto"/>
              <w:right w:val="single" w:sz="18" w:space="0" w:color="auto"/>
            </w:tcBorders>
            <w:vAlign w:val="center"/>
          </w:tcPr>
          <w:p w:rsidR="00B27742" w:rsidRPr="00653421" w:rsidRDefault="00B27742" w:rsidP="00BA1576">
            <w:pPr>
              <w:pStyle w:val="TableHeadingsBlack"/>
              <w:widowControl w:val="0"/>
              <w:spacing w:before="30" w:after="30"/>
              <w:rPr>
                <w:rFonts w:ascii="Tahoma" w:hAnsi="Tahoma" w:cs="Tahoma"/>
              </w:rPr>
            </w:pPr>
            <w:r w:rsidRPr="00653421">
              <w:rPr>
                <w:rFonts w:ascii="Tahoma" w:hAnsi="Tahoma" w:cs="Tahoma"/>
              </w:rPr>
              <w:t>Select/Select Plus*</w:t>
            </w:r>
          </w:p>
        </w:tc>
        <w:tc>
          <w:tcPr>
            <w:tcW w:w="1260" w:type="dxa"/>
            <w:gridSpan w:val="3"/>
            <w:tcBorders>
              <w:left w:val="single" w:sz="18" w:space="0" w:color="auto"/>
              <w:right w:val="single" w:sz="18" w:space="0" w:color="auto"/>
            </w:tcBorders>
            <w:vAlign w:val="center"/>
          </w:tcPr>
          <w:p w:rsidR="00B27742" w:rsidRPr="00653421" w:rsidRDefault="00B27742" w:rsidP="00BA1576">
            <w:pPr>
              <w:pStyle w:val="TableHeadingsBlack"/>
              <w:widowControl w:val="0"/>
              <w:spacing w:before="30" w:after="30"/>
              <w:rPr>
                <w:rFonts w:ascii="Tahoma" w:hAnsi="Tahoma" w:cs="Tahoma"/>
              </w:rPr>
            </w:pPr>
            <w:r w:rsidRPr="00653421">
              <w:rPr>
                <w:rFonts w:ascii="Tahoma" w:hAnsi="Tahoma" w:cs="Tahoma"/>
              </w:rPr>
              <w:t>Licença Open</w:t>
            </w:r>
          </w:p>
        </w:tc>
        <w:tc>
          <w:tcPr>
            <w:tcW w:w="450" w:type="dxa"/>
            <w:tcBorders>
              <w:left w:val="single" w:sz="18" w:space="0" w:color="auto"/>
            </w:tcBorders>
            <w:textDirection w:val="btLr"/>
            <w:vAlign w:val="center"/>
          </w:tcPr>
          <w:p w:rsidR="00B27742" w:rsidRPr="00653421" w:rsidRDefault="00B27742" w:rsidP="00BA1576">
            <w:pPr>
              <w:pStyle w:val="TableVerticalText"/>
              <w:widowControl w:val="0"/>
              <w:spacing w:before="30" w:after="30"/>
              <w:rPr>
                <w:rFonts w:ascii="Tahoma" w:hAnsi="Tahoma" w:cs="Tahoma"/>
              </w:rPr>
            </w:pPr>
            <w:r w:rsidRPr="00653421">
              <w:rPr>
                <w:rFonts w:ascii="Tahoma" w:hAnsi="Tahoma" w:cs="Tahoma"/>
              </w:rPr>
              <w:t>Unidades Campus e School</w:t>
            </w:r>
          </w:p>
        </w:tc>
        <w:tc>
          <w:tcPr>
            <w:tcW w:w="450" w:type="dxa"/>
            <w:tcBorders>
              <w:right w:val="single" w:sz="18" w:space="0" w:color="auto"/>
            </w:tcBorders>
            <w:textDirection w:val="btLr"/>
            <w:vAlign w:val="center"/>
          </w:tcPr>
          <w:p w:rsidR="00B27742" w:rsidRPr="00653421" w:rsidRDefault="00B27742" w:rsidP="00BA1576">
            <w:pPr>
              <w:pStyle w:val="TableVerticalText"/>
              <w:widowControl w:val="0"/>
              <w:spacing w:before="30" w:after="30"/>
              <w:rPr>
                <w:rFonts w:ascii="Tahoma" w:hAnsi="Tahoma" w:cs="Tahoma"/>
              </w:rPr>
            </w:pPr>
            <w:r w:rsidRPr="00653421">
              <w:rPr>
                <w:rFonts w:ascii="Tahoma" w:hAnsi="Tahoma" w:cs="Tahoma"/>
              </w:rPr>
              <w:t>EA e EA Sub</w:t>
            </w:r>
          </w:p>
        </w:tc>
        <w:tc>
          <w:tcPr>
            <w:tcW w:w="360" w:type="dxa"/>
            <w:tcBorders>
              <w:left w:val="single" w:sz="18" w:space="0" w:color="auto"/>
              <w:right w:val="single" w:sz="18" w:space="0" w:color="auto"/>
            </w:tcBorders>
            <w:textDirection w:val="btLr"/>
            <w:vAlign w:val="center"/>
          </w:tcPr>
          <w:p w:rsidR="00B27742" w:rsidRPr="00653421" w:rsidRDefault="00B27742" w:rsidP="00BA1576">
            <w:pPr>
              <w:pStyle w:val="TableVerticalText"/>
              <w:widowControl w:val="0"/>
              <w:spacing w:before="30" w:after="30"/>
              <w:rPr>
                <w:rFonts w:ascii="Tahoma" w:hAnsi="Tahoma" w:cs="Tahoma"/>
              </w:rPr>
            </w:pPr>
            <w:r w:rsidRPr="00653421">
              <w:rPr>
                <w:rFonts w:ascii="Tahoma" w:hAnsi="Tahoma" w:cs="Tahoma"/>
              </w:rPr>
              <w:t>OV/OVS</w:t>
            </w:r>
          </w:p>
        </w:tc>
        <w:tc>
          <w:tcPr>
            <w:tcW w:w="630" w:type="dxa"/>
            <w:textDirection w:val="btLr"/>
            <w:vAlign w:val="center"/>
          </w:tcPr>
          <w:p w:rsidR="00B27742" w:rsidRPr="00653421" w:rsidRDefault="003D272C" w:rsidP="00BA1576">
            <w:pPr>
              <w:pStyle w:val="TableVerticalText"/>
              <w:widowControl w:val="0"/>
              <w:spacing w:before="30" w:after="30"/>
              <w:rPr>
                <w:rFonts w:ascii="Tahoma" w:hAnsi="Tahoma" w:cs="Tahoma"/>
              </w:rPr>
            </w:pPr>
            <w:r w:rsidRPr="00653421">
              <w:rPr>
                <w:rFonts w:ascii="Tahoma" w:hAnsi="Tahoma" w:cs="Tahoma"/>
              </w:rPr>
              <w:t>EES</w:t>
            </w:r>
            <w:r w:rsidR="00B0036E" w:rsidRPr="00653421">
              <w:rPr>
                <w:rFonts w:ascii="Tahoma" w:hAnsi="Tahoma" w:cs="Tahoma"/>
              </w:rPr>
              <w:t>/OVS -ES</w:t>
            </w:r>
          </w:p>
        </w:tc>
        <w:tc>
          <w:tcPr>
            <w:tcW w:w="540" w:type="dxa"/>
            <w:textDirection w:val="btLr"/>
            <w:vAlign w:val="center"/>
          </w:tcPr>
          <w:p w:rsidR="00B27742" w:rsidRPr="00653421" w:rsidRDefault="00B27742" w:rsidP="00BA1576">
            <w:pPr>
              <w:pStyle w:val="TableVerticalText"/>
              <w:widowControl w:val="0"/>
              <w:spacing w:before="30" w:after="30"/>
              <w:rPr>
                <w:rFonts w:ascii="Tahoma" w:hAnsi="Tahoma" w:cs="Tahoma"/>
              </w:rPr>
            </w:pPr>
            <w:r w:rsidRPr="00653421">
              <w:rPr>
                <w:rFonts w:ascii="Tahoma" w:hAnsi="Tahoma" w:cs="Tahoma"/>
              </w:rPr>
              <w:t>Mínimo de Licenças Open</w:t>
            </w:r>
          </w:p>
        </w:tc>
      </w:tr>
      <w:tr w:rsidR="00B27742" w:rsidRPr="00653421" w:rsidTr="00BA1576">
        <w:trPr>
          <w:cantSplit/>
          <w:trHeight w:val="271"/>
          <w:tblHeader/>
        </w:trPr>
        <w:tc>
          <w:tcPr>
            <w:tcW w:w="2638" w:type="dxa"/>
            <w:vMerge w:val="restart"/>
            <w:tcBorders>
              <w:top w:val="nil"/>
              <w:left w:val="nil"/>
            </w:tcBorders>
          </w:tcPr>
          <w:p w:rsidR="00B27742" w:rsidRPr="00653421" w:rsidRDefault="00B27742" w:rsidP="00BA1576">
            <w:pPr>
              <w:widowControl w:val="0"/>
              <w:spacing w:before="30" w:after="30"/>
              <w:rPr>
                <w:rFonts w:cs="Tahoma"/>
                <w:b/>
              </w:rPr>
            </w:pPr>
          </w:p>
        </w:tc>
        <w:tc>
          <w:tcPr>
            <w:tcW w:w="429" w:type="dxa"/>
            <w:vMerge w:val="restart"/>
            <w:vAlign w:val="center"/>
          </w:tcPr>
          <w:p w:rsidR="00B27742" w:rsidRPr="00653421" w:rsidRDefault="00B27742" w:rsidP="00BA1576">
            <w:pPr>
              <w:keepNext/>
              <w:widowControl w:val="0"/>
              <w:spacing w:before="30" w:after="30"/>
              <w:jc w:val="center"/>
              <w:outlineLvl w:val="0"/>
              <w:rPr>
                <w:rFonts w:cs="Tahoma"/>
                <w:b/>
                <w:color w:val="0000FF"/>
                <w:sz w:val="10"/>
              </w:rPr>
            </w:pPr>
            <w:r w:rsidRPr="00653421">
              <w:rPr>
                <w:rFonts w:cs="Tahoma"/>
                <w:b/>
                <w:color w:val="0000FF"/>
                <w:sz w:val="10"/>
              </w:rPr>
              <w:t>(Ctrl + clique)</w:t>
            </w:r>
          </w:p>
        </w:tc>
        <w:tc>
          <w:tcPr>
            <w:tcW w:w="429" w:type="dxa"/>
            <w:vMerge w:val="restart"/>
            <w:vAlign w:val="center"/>
          </w:tcPr>
          <w:p w:rsidR="00B27742" w:rsidRPr="00653421" w:rsidRDefault="00B27742" w:rsidP="00BA1576">
            <w:pPr>
              <w:widowControl w:val="0"/>
              <w:spacing w:before="30" w:after="30"/>
              <w:jc w:val="center"/>
              <w:rPr>
                <w:rFonts w:cs="Tahoma"/>
              </w:rPr>
            </w:pPr>
          </w:p>
        </w:tc>
        <w:tc>
          <w:tcPr>
            <w:tcW w:w="429" w:type="dxa"/>
            <w:vMerge w:val="restart"/>
            <w:tcBorders>
              <w:right w:val="single" w:sz="18" w:space="0" w:color="auto"/>
            </w:tcBorders>
            <w:vAlign w:val="center"/>
          </w:tcPr>
          <w:p w:rsidR="00B27742" w:rsidRPr="00653421" w:rsidRDefault="00B27742" w:rsidP="00BA1576">
            <w:pPr>
              <w:widowControl w:val="0"/>
              <w:spacing w:before="30" w:after="30"/>
              <w:jc w:val="center"/>
              <w:rPr>
                <w:rFonts w:cs="Tahoma"/>
              </w:rPr>
            </w:pPr>
          </w:p>
        </w:tc>
        <w:tc>
          <w:tcPr>
            <w:tcW w:w="370" w:type="dxa"/>
            <w:vMerge w:val="restart"/>
            <w:tcBorders>
              <w:left w:val="single" w:sz="18" w:space="0" w:color="auto"/>
            </w:tcBorders>
            <w:vAlign w:val="center"/>
          </w:tcPr>
          <w:p w:rsidR="00B27742" w:rsidRPr="00653421" w:rsidRDefault="00B27742" w:rsidP="00BA1576">
            <w:pPr>
              <w:pStyle w:val="TableHeadingsRed"/>
              <w:widowControl w:val="0"/>
              <w:spacing w:before="30" w:after="30"/>
              <w:rPr>
                <w:rFonts w:ascii="Tahoma" w:hAnsi="Tahoma" w:cs="Tahoma"/>
              </w:rPr>
            </w:pPr>
            <w:r w:rsidRPr="00653421">
              <w:rPr>
                <w:rFonts w:ascii="Tahoma" w:hAnsi="Tahoma" w:cs="Tahoma"/>
              </w:rPr>
              <w:t>L</w:t>
            </w:r>
          </w:p>
        </w:tc>
        <w:tc>
          <w:tcPr>
            <w:tcW w:w="1170" w:type="dxa"/>
            <w:gridSpan w:val="3"/>
            <w:vAlign w:val="center"/>
          </w:tcPr>
          <w:p w:rsidR="00B27742" w:rsidRPr="00653421" w:rsidRDefault="00B27742" w:rsidP="00BA1576">
            <w:pPr>
              <w:pStyle w:val="TableHeadingsGreen"/>
              <w:widowControl w:val="0"/>
              <w:spacing w:before="30" w:after="30"/>
              <w:rPr>
                <w:rFonts w:ascii="Tahoma" w:hAnsi="Tahoma" w:cs="Tahoma"/>
              </w:rPr>
            </w:pPr>
            <w:r w:rsidRPr="00653421">
              <w:rPr>
                <w:rFonts w:ascii="Tahoma" w:hAnsi="Tahoma" w:cs="Tahoma"/>
              </w:rPr>
              <w:t>L&amp;SA</w:t>
            </w:r>
          </w:p>
        </w:tc>
        <w:tc>
          <w:tcPr>
            <w:tcW w:w="1350" w:type="dxa"/>
            <w:gridSpan w:val="3"/>
            <w:tcBorders>
              <w:right w:val="single" w:sz="18" w:space="0" w:color="auto"/>
            </w:tcBorders>
            <w:vAlign w:val="center"/>
          </w:tcPr>
          <w:p w:rsidR="00B27742" w:rsidRPr="00653421" w:rsidRDefault="00B27742" w:rsidP="00BA1576">
            <w:pPr>
              <w:pStyle w:val="TableHeadingsBlue"/>
              <w:widowControl w:val="0"/>
              <w:spacing w:before="30" w:after="30"/>
              <w:rPr>
                <w:rFonts w:ascii="Tahoma" w:hAnsi="Tahoma" w:cs="Tahoma"/>
              </w:rPr>
            </w:pPr>
            <w:r w:rsidRPr="00653421">
              <w:rPr>
                <w:rFonts w:ascii="Tahoma" w:hAnsi="Tahoma" w:cs="Tahoma"/>
              </w:rPr>
              <w:t>SA</w:t>
            </w:r>
          </w:p>
        </w:tc>
        <w:tc>
          <w:tcPr>
            <w:tcW w:w="360" w:type="dxa"/>
            <w:vMerge w:val="restart"/>
            <w:tcBorders>
              <w:left w:val="single" w:sz="18" w:space="0" w:color="auto"/>
            </w:tcBorders>
            <w:vAlign w:val="center"/>
          </w:tcPr>
          <w:p w:rsidR="00B27742" w:rsidRPr="00653421" w:rsidRDefault="00B27742" w:rsidP="00BA1576">
            <w:pPr>
              <w:pStyle w:val="TableHeadingsRed"/>
              <w:widowControl w:val="0"/>
              <w:spacing w:before="30" w:after="30"/>
              <w:rPr>
                <w:rFonts w:ascii="Tahoma" w:hAnsi="Tahoma" w:cs="Tahoma"/>
              </w:rPr>
            </w:pPr>
            <w:r w:rsidRPr="00653421">
              <w:rPr>
                <w:rFonts w:ascii="Tahoma" w:hAnsi="Tahoma" w:cs="Tahoma"/>
              </w:rPr>
              <w:t>L</w:t>
            </w:r>
          </w:p>
        </w:tc>
        <w:tc>
          <w:tcPr>
            <w:tcW w:w="450" w:type="dxa"/>
            <w:vAlign w:val="center"/>
          </w:tcPr>
          <w:p w:rsidR="00B27742" w:rsidRPr="00653421" w:rsidRDefault="00B27742" w:rsidP="00BA1576">
            <w:pPr>
              <w:pStyle w:val="TableHeadingsGreen"/>
              <w:widowControl w:val="0"/>
              <w:spacing w:before="30" w:after="30"/>
              <w:rPr>
                <w:rFonts w:ascii="Tahoma" w:hAnsi="Tahoma" w:cs="Tahoma"/>
              </w:rPr>
            </w:pPr>
            <w:r w:rsidRPr="00653421">
              <w:rPr>
                <w:rFonts w:ascii="Tahoma" w:hAnsi="Tahoma" w:cs="Tahoma"/>
              </w:rPr>
              <w:t>L&amp;SA</w:t>
            </w:r>
          </w:p>
        </w:tc>
        <w:tc>
          <w:tcPr>
            <w:tcW w:w="450" w:type="dxa"/>
            <w:vMerge w:val="restart"/>
            <w:tcBorders>
              <w:right w:val="single" w:sz="18" w:space="0" w:color="auto"/>
            </w:tcBorders>
            <w:vAlign w:val="center"/>
          </w:tcPr>
          <w:p w:rsidR="00B27742" w:rsidRPr="00653421" w:rsidRDefault="00B27742" w:rsidP="00BA1576">
            <w:pPr>
              <w:pStyle w:val="TableHeadingsBlue"/>
              <w:widowControl w:val="0"/>
              <w:spacing w:before="30" w:after="30"/>
              <w:rPr>
                <w:rFonts w:ascii="Tahoma" w:hAnsi="Tahoma" w:cs="Tahoma"/>
              </w:rPr>
            </w:pPr>
            <w:r w:rsidRPr="00653421">
              <w:rPr>
                <w:rFonts w:ascii="Tahoma" w:hAnsi="Tahoma" w:cs="Tahoma"/>
              </w:rPr>
              <w:t>SA</w:t>
            </w:r>
          </w:p>
        </w:tc>
        <w:tc>
          <w:tcPr>
            <w:tcW w:w="450" w:type="dxa"/>
            <w:vMerge w:val="restart"/>
            <w:tcBorders>
              <w:left w:val="single" w:sz="18" w:space="0" w:color="auto"/>
            </w:tcBorders>
            <w:vAlign w:val="center"/>
          </w:tcPr>
          <w:p w:rsidR="00B27742" w:rsidRPr="00653421" w:rsidRDefault="00B27742" w:rsidP="00BA1576">
            <w:pPr>
              <w:widowControl w:val="0"/>
              <w:spacing w:before="30" w:after="30"/>
              <w:jc w:val="center"/>
              <w:rPr>
                <w:rFonts w:cs="Tahoma"/>
              </w:rPr>
            </w:pPr>
          </w:p>
        </w:tc>
        <w:tc>
          <w:tcPr>
            <w:tcW w:w="450" w:type="dxa"/>
            <w:vMerge w:val="restart"/>
            <w:tcBorders>
              <w:right w:val="single" w:sz="18" w:space="0" w:color="auto"/>
            </w:tcBorders>
            <w:vAlign w:val="center"/>
          </w:tcPr>
          <w:p w:rsidR="00B27742" w:rsidRPr="00653421" w:rsidRDefault="00B27742" w:rsidP="00BA1576">
            <w:pPr>
              <w:widowControl w:val="0"/>
              <w:spacing w:before="30" w:after="30"/>
              <w:jc w:val="center"/>
              <w:rPr>
                <w:rFonts w:cs="Tahoma"/>
              </w:rPr>
            </w:pPr>
          </w:p>
        </w:tc>
        <w:tc>
          <w:tcPr>
            <w:tcW w:w="360" w:type="dxa"/>
            <w:vMerge w:val="restart"/>
            <w:tcBorders>
              <w:left w:val="single" w:sz="18" w:space="0" w:color="auto"/>
              <w:right w:val="single" w:sz="18" w:space="0" w:color="auto"/>
            </w:tcBorders>
            <w:vAlign w:val="center"/>
          </w:tcPr>
          <w:p w:rsidR="00B27742" w:rsidRPr="00653421" w:rsidRDefault="00B27742" w:rsidP="00BA1576">
            <w:pPr>
              <w:widowControl w:val="0"/>
              <w:spacing w:before="30" w:after="30"/>
              <w:jc w:val="center"/>
              <w:rPr>
                <w:rFonts w:cs="Tahoma"/>
              </w:rPr>
            </w:pPr>
          </w:p>
        </w:tc>
        <w:tc>
          <w:tcPr>
            <w:tcW w:w="630" w:type="dxa"/>
            <w:vMerge w:val="restart"/>
            <w:vAlign w:val="center"/>
          </w:tcPr>
          <w:p w:rsidR="00B27742" w:rsidRPr="00653421" w:rsidRDefault="00B27742" w:rsidP="00BA1576">
            <w:pPr>
              <w:widowControl w:val="0"/>
              <w:spacing w:before="30" w:after="30"/>
              <w:jc w:val="center"/>
              <w:rPr>
                <w:rFonts w:cs="Tahoma"/>
              </w:rPr>
            </w:pPr>
          </w:p>
        </w:tc>
        <w:tc>
          <w:tcPr>
            <w:tcW w:w="540" w:type="dxa"/>
            <w:vMerge w:val="restart"/>
            <w:vAlign w:val="center"/>
          </w:tcPr>
          <w:p w:rsidR="00B27742" w:rsidRPr="00653421" w:rsidRDefault="00B27742" w:rsidP="00BA1576">
            <w:pPr>
              <w:widowControl w:val="0"/>
              <w:spacing w:before="30" w:after="30"/>
              <w:jc w:val="center"/>
              <w:rPr>
                <w:rFonts w:cs="Tahoma"/>
              </w:rPr>
            </w:pPr>
          </w:p>
        </w:tc>
      </w:tr>
      <w:tr w:rsidR="00B27742" w:rsidRPr="00653421" w:rsidTr="00BA1576">
        <w:trPr>
          <w:cantSplit/>
          <w:trHeight w:val="262"/>
          <w:tblHeader/>
        </w:trPr>
        <w:tc>
          <w:tcPr>
            <w:tcW w:w="2638" w:type="dxa"/>
            <w:vMerge/>
            <w:tcBorders>
              <w:top w:val="single" w:sz="4" w:space="0" w:color="auto"/>
              <w:left w:val="nil"/>
              <w:bottom w:val="single" w:sz="4" w:space="0" w:color="auto"/>
            </w:tcBorders>
          </w:tcPr>
          <w:p w:rsidR="00B27742" w:rsidRPr="00653421" w:rsidRDefault="00B27742" w:rsidP="00BA1576">
            <w:pPr>
              <w:widowControl w:val="0"/>
              <w:spacing w:before="30" w:after="30"/>
              <w:rPr>
                <w:rFonts w:cs="Tahoma"/>
              </w:rPr>
            </w:pPr>
          </w:p>
        </w:tc>
        <w:tc>
          <w:tcPr>
            <w:tcW w:w="429" w:type="dxa"/>
            <w:vMerge/>
            <w:tcBorders>
              <w:bottom w:val="single" w:sz="4" w:space="0" w:color="auto"/>
            </w:tcBorders>
            <w:vAlign w:val="center"/>
          </w:tcPr>
          <w:p w:rsidR="00B27742" w:rsidRPr="00653421" w:rsidRDefault="00B27742" w:rsidP="00BA1576">
            <w:pPr>
              <w:keepNext/>
              <w:widowControl w:val="0"/>
              <w:spacing w:before="30" w:after="30"/>
              <w:jc w:val="center"/>
              <w:outlineLvl w:val="0"/>
              <w:rPr>
                <w:rFonts w:cs="Tahoma"/>
                <w:b/>
              </w:rPr>
            </w:pPr>
          </w:p>
        </w:tc>
        <w:tc>
          <w:tcPr>
            <w:tcW w:w="429" w:type="dxa"/>
            <w:vMerge/>
            <w:tcBorders>
              <w:bottom w:val="single" w:sz="4" w:space="0" w:color="auto"/>
            </w:tcBorders>
            <w:vAlign w:val="center"/>
          </w:tcPr>
          <w:p w:rsidR="00B27742" w:rsidRPr="00653421" w:rsidRDefault="00B27742" w:rsidP="00BA1576">
            <w:pPr>
              <w:widowControl w:val="0"/>
              <w:spacing w:before="30" w:after="30"/>
              <w:jc w:val="center"/>
              <w:rPr>
                <w:rFonts w:cs="Tahoma"/>
              </w:rPr>
            </w:pPr>
          </w:p>
        </w:tc>
        <w:tc>
          <w:tcPr>
            <w:tcW w:w="429" w:type="dxa"/>
            <w:vMerge/>
            <w:tcBorders>
              <w:bottom w:val="single" w:sz="4" w:space="0" w:color="auto"/>
              <w:right w:val="single" w:sz="18" w:space="0" w:color="auto"/>
            </w:tcBorders>
            <w:vAlign w:val="center"/>
          </w:tcPr>
          <w:p w:rsidR="00B27742" w:rsidRPr="00653421" w:rsidRDefault="00B27742" w:rsidP="00BA1576">
            <w:pPr>
              <w:widowControl w:val="0"/>
              <w:spacing w:before="30" w:after="30"/>
              <w:jc w:val="center"/>
              <w:rPr>
                <w:rFonts w:cs="Tahoma"/>
              </w:rPr>
            </w:pPr>
          </w:p>
        </w:tc>
        <w:tc>
          <w:tcPr>
            <w:tcW w:w="370" w:type="dxa"/>
            <w:vMerge/>
            <w:tcBorders>
              <w:left w:val="single" w:sz="18" w:space="0" w:color="auto"/>
              <w:bottom w:val="single" w:sz="4" w:space="0" w:color="auto"/>
            </w:tcBorders>
            <w:vAlign w:val="center"/>
          </w:tcPr>
          <w:p w:rsidR="00B27742" w:rsidRPr="00653421" w:rsidRDefault="00B27742" w:rsidP="00BA1576">
            <w:pPr>
              <w:widowControl w:val="0"/>
              <w:spacing w:before="30" w:after="30"/>
              <w:jc w:val="center"/>
              <w:rPr>
                <w:rFonts w:cs="Tahoma"/>
              </w:rPr>
            </w:pPr>
          </w:p>
        </w:tc>
        <w:tc>
          <w:tcPr>
            <w:tcW w:w="360" w:type="dxa"/>
            <w:tcBorders>
              <w:bottom w:val="single" w:sz="4" w:space="0" w:color="auto"/>
            </w:tcBorders>
            <w:vAlign w:val="center"/>
          </w:tcPr>
          <w:p w:rsidR="00B27742" w:rsidRPr="00653421" w:rsidRDefault="00B27742" w:rsidP="00BA1576">
            <w:pPr>
              <w:pStyle w:val="TableHeadingsGreen"/>
              <w:widowControl w:val="0"/>
              <w:spacing w:before="30" w:after="30"/>
              <w:rPr>
                <w:rFonts w:ascii="Tahoma" w:hAnsi="Tahoma" w:cs="Tahoma"/>
              </w:rPr>
            </w:pPr>
            <w:r w:rsidRPr="00653421">
              <w:rPr>
                <w:rFonts w:ascii="Tahoma" w:hAnsi="Tahoma" w:cs="Tahoma"/>
              </w:rPr>
              <w:t>3An</w:t>
            </w:r>
          </w:p>
        </w:tc>
        <w:tc>
          <w:tcPr>
            <w:tcW w:w="360" w:type="dxa"/>
            <w:tcBorders>
              <w:bottom w:val="single" w:sz="4" w:space="0" w:color="auto"/>
            </w:tcBorders>
            <w:vAlign w:val="center"/>
          </w:tcPr>
          <w:p w:rsidR="00B27742" w:rsidRPr="00653421" w:rsidRDefault="00B27742" w:rsidP="00BA1576">
            <w:pPr>
              <w:pStyle w:val="TableHeadingsGreen"/>
              <w:widowControl w:val="0"/>
              <w:spacing w:before="30" w:after="30"/>
              <w:rPr>
                <w:rFonts w:ascii="Tahoma" w:hAnsi="Tahoma" w:cs="Tahoma"/>
              </w:rPr>
            </w:pPr>
            <w:r w:rsidRPr="00653421">
              <w:rPr>
                <w:rFonts w:ascii="Tahoma" w:hAnsi="Tahoma" w:cs="Tahoma"/>
              </w:rPr>
              <w:t>2An</w:t>
            </w:r>
          </w:p>
        </w:tc>
        <w:tc>
          <w:tcPr>
            <w:tcW w:w="450" w:type="dxa"/>
            <w:tcBorders>
              <w:bottom w:val="single" w:sz="4" w:space="0" w:color="auto"/>
            </w:tcBorders>
            <w:vAlign w:val="center"/>
          </w:tcPr>
          <w:p w:rsidR="00B27742" w:rsidRPr="00653421" w:rsidRDefault="00B27742" w:rsidP="00BA1576">
            <w:pPr>
              <w:pStyle w:val="TableHeadingsGreen"/>
              <w:widowControl w:val="0"/>
              <w:spacing w:before="30" w:after="30"/>
              <w:rPr>
                <w:rFonts w:ascii="Tahoma" w:hAnsi="Tahoma" w:cs="Tahoma"/>
              </w:rPr>
            </w:pPr>
            <w:r w:rsidRPr="00653421">
              <w:rPr>
                <w:rFonts w:ascii="Tahoma" w:hAnsi="Tahoma" w:cs="Tahoma"/>
              </w:rPr>
              <w:t>1An</w:t>
            </w:r>
          </w:p>
        </w:tc>
        <w:tc>
          <w:tcPr>
            <w:tcW w:w="450" w:type="dxa"/>
            <w:tcBorders>
              <w:bottom w:val="single" w:sz="4" w:space="0" w:color="auto"/>
            </w:tcBorders>
            <w:vAlign w:val="center"/>
          </w:tcPr>
          <w:p w:rsidR="00B27742" w:rsidRPr="00653421" w:rsidRDefault="00B27742" w:rsidP="00BA1576">
            <w:pPr>
              <w:pStyle w:val="TableHeadingsBlue"/>
              <w:widowControl w:val="0"/>
              <w:spacing w:before="30" w:after="30"/>
              <w:rPr>
                <w:rFonts w:ascii="Tahoma" w:hAnsi="Tahoma" w:cs="Tahoma"/>
              </w:rPr>
            </w:pPr>
            <w:r w:rsidRPr="00653421">
              <w:rPr>
                <w:rFonts w:ascii="Tahoma" w:hAnsi="Tahoma" w:cs="Tahoma"/>
              </w:rPr>
              <w:t>3An</w:t>
            </w:r>
          </w:p>
        </w:tc>
        <w:tc>
          <w:tcPr>
            <w:tcW w:w="450" w:type="dxa"/>
            <w:tcBorders>
              <w:bottom w:val="single" w:sz="4" w:space="0" w:color="auto"/>
            </w:tcBorders>
            <w:vAlign w:val="center"/>
          </w:tcPr>
          <w:p w:rsidR="00B27742" w:rsidRPr="00653421" w:rsidRDefault="00B27742" w:rsidP="00BA1576">
            <w:pPr>
              <w:pStyle w:val="TableHeadingsBlue"/>
              <w:widowControl w:val="0"/>
              <w:spacing w:before="30" w:after="30"/>
              <w:rPr>
                <w:rFonts w:ascii="Tahoma" w:hAnsi="Tahoma" w:cs="Tahoma"/>
              </w:rPr>
            </w:pPr>
            <w:r w:rsidRPr="00653421">
              <w:rPr>
                <w:rFonts w:ascii="Tahoma" w:hAnsi="Tahoma" w:cs="Tahoma"/>
              </w:rPr>
              <w:t>2An</w:t>
            </w:r>
          </w:p>
        </w:tc>
        <w:tc>
          <w:tcPr>
            <w:tcW w:w="450" w:type="dxa"/>
            <w:tcBorders>
              <w:bottom w:val="single" w:sz="4" w:space="0" w:color="auto"/>
              <w:right w:val="single" w:sz="18" w:space="0" w:color="auto"/>
            </w:tcBorders>
            <w:vAlign w:val="center"/>
          </w:tcPr>
          <w:p w:rsidR="00B27742" w:rsidRPr="00653421" w:rsidRDefault="00B27742" w:rsidP="00BA1576">
            <w:pPr>
              <w:pStyle w:val="TableHeadingsBlue"/>
              <w:widowControl w:val="0"/>
              <w:spacing w:before="30" w:after="30"/>
              <w:rPr>
                <w:rFonts w:ascii="Tahoma" w:hAnsi="Tahoma" w:cs="Tahoma"/>
              </w:rPr>
            </w:pPr>
            <w:r w:rsidRPr="00653421">
              <w:rPr>
                <w:rFonts w:ascii="Tahoma" w:hAnsi="Tahoma" w:cs="Tahoma"/>
              </w:rPr>
              <w:t>1An</w:t>
            </w:r>
          </w:p>
        </w:tc>
        <w:tc>
          <w:tcPr>
            <w:tcW w:w="360" w:type="dxa"/>
            <w:vMerge/>
            <w:tcBorders>
              <w:left w:val="single" w:sz="18" w:space="0" w:color="auto"/>
              <w:bottom w:val="single" w:sz="4" w:space="0" w:color="auto"/>
            </w:tcBorders>
            <w:vAlign w:val="center"/>
          </w:tcPr>
          <w:p w:rsidR="00B27742" w:rsidRPr="00653421" w:rsidRDefault="00B27742" w:rsidP="00BA1576">
            <w:pPr>
              <w:widowControl w:val="0"/>
              <w:spacing w:before="30" w:after="30"/>
              <w:jc w:val="center"/>
              <w:rPr>
                <w:rFonts w:cs="Tahoma"/>
              </w:rPr>
            </w:pPr>
          </w:p>
        </w:tc>
        <w:tc>
          <w:tcPr>
            <w:tcW w:w="450" w:type="dxa"/>
            <w:tcBorders>
              <w:bottom w:val="single" w:sz="4" w:space="0" w:color="auto"/>
            </w:tcBorders>
            <w:vAlign w:val="center"/>
          </w:tcPr>
          <w:p w:rsidR="00B27742" w:rsidRPr="00653421" w:rsidRDefault="00B27742" w:rsidP="00BA1576">
            <w:pPr>
              <w:pStyle w:val="TableHeadingsGreen"/>
              <w:widowControl w:val="0"/>
              <w:spacing w:before="30" w:after="30"/>
              <w:rPr>
                <w:rFonts w:ascii="Tahoma" w:hAnsi="Tahoma" w:cs="Tahoma"/>
              </w:rPr>
            </w:pPr>
            <w:r w:rsidRPr="00653421">
              <w:rPr>
                <w:rFonts w:ascii="Tahoma" w:hAnsi="Tahoma" w:cs="Tahoma"/>
              </w:rPr>
              <w:t>P</w:t>
            </w:r>
          </w:p>
        </w:tc>
        <w:tc>
          <w:tcPr>
            <w:tcW w:w="450" w:type="dxa"/>
            <w:vMerge/>
            <w:tcBorders>
              <w:bottom w:val="single" w:sz="4" w:space="0" w:color="auto"/>
              <w:right w:val="single" w:sz="18" w:space="0" w:color="auto"/>
            </w:tcBorders>
            <w:vAlign w:val="center"/>
          </w:tcPr>
          <w:p w:rsidR="00B27742" w:rsidRPr="00653421" w:rsidRDefault="00B27742" w:rsidP="00BA1576">
            <w:pPr>
              <w:widowControl w:val="0"/>
              <w:spacing w:before="30" w:after="30"/>
              <w:jc w:val="center"/>
              <w:rPr>
                <w:rFonts w:cs="Tahoma"/>
              </w:rPr>
            </w:pPr>
          </w:p>
        </w:tc>
        <w:tc>
          <w:tcPr>
            <w:tcW w:w="450" w:type="dxa"/>
            <w:vMerge/>
            <w:tcBorders>
              <w:left w:val="single" w:sz="18" w:space="0" w:color="auto"/>
              <w:bottom w:val="single" w:sz="4" w:space="0" w:color="auto"/>
            </w:tcBorders>
            <w:vAlign w:val="center"/>
          </w:tcPr>
          <w:p w:rsidR="00B27742" w:rsidRPr="00653421" w:rsidRDefault="00B27742" w:rsidP="00BA1576">
            <w:pPr>
              <w:widowControl w:val="0"/>
              <w:spacing w:before="30" w:after="30"/>
              <w:jc w:val="center"/>
              <w:rPr>
                <w:rFonts w:cs="Tahoma"/>
              </w:rPr>
            </w:pPr>
          </w:p>
        </w:tc>
        <w:tc>
          <w:tcPr>
            <w:tcW w:w="450" w:type="dxa"/>
            <w:vMerge/>
            <w:tcBorders>
              <w:bottom w:val="single" w:sz="4" w:space="0" w:color="auto"/>
              <w:right w:val="single" w:sz="18" w:space="0" w:color="auto"/>
            </w:tcBorders>
            <w:vAlign w:val="center"/>
          </w:tcPr>
          <w:p w:rsidR="00B27742" w:rsidRPr="00653421" w:rsidRDefault="00B27742" w:rsidP="00BA1576">
            <w:pPr>
              <w:widowControl w:val="0"/>
              <w:spacing w:before="30" w:after="30"/>
              <w:jc w:val="center"/>
              <w:rPr>
                <w:rFonts w:cs="Tahoma"/>
              </w:rPr>
            </w:pPr>
          </w:p>
        </w:tc>
        <w:tc>
          <w:tcPr>
            <w:tcW w:w="360" w:type="dxa"/>
            <w:vMerge/>
            <w:tcBorders>
              <w:left w:val="single" w:sz="18" w:space="0" w:color="auto"/>
              <w:bottom w:val="single" w:sz="4" w:space="0" w:color="auto"/>
              <w:right w:val="single" w:sz="18" w:space="0" w:color="auto"/>
            </w:tcBorders>
            <w:vAlign w:val="center"/>
          </w:tcPr>
          <w:p w:rsidR="00B27742" w:rsidRPr="00653421" w:rsidRDefault="00B27742" w:rsidP="00BA1576">
            <w:pPr>
              <w:widowControl w:val="0"/>
              <w:spacing w:before="30" w:after="30"/>
              <w:jc w:val="center"/>
              <w:rPr>
                <w:rFonts w:cs="Tahoma"/>
              </w:rPr>
            </w:pPr>
          </w:p>
        </w:tc>
        <w:tc>
          <w:tcPr>
            <w:tcW w:w="630" w:type="dxa"/>
            <w:vMerge/>
            <w:tcBorders>
              <w:bottom w:val="single" w:sz="4" w:space="0" w:color="auto"/>
            </w:tcBorders>
            <w:vAlign w:val="center"/>
          </w:tcPr>
          <w:p w:rsidR="00B27742" w:rsidRPr="00653421" w:rsidRDefault="00B27742" w:rsidP="00BA1576">
            <w:pPr>
              <w:widowControl w:val="0"/>
              <w:spacing w:before="30" w:after="30"/>
              <w:jc w:val="center"/>
              <w:rPr>
                <w:rFonts w:cs="Tahoma"/>
              </w:rPr>
            </w:pPr>
          </w:p>
        </w:tc>
        <w:tc>
          <w:tcPr>
            <w:tcW w:w="540" w:type="dxa"/>
            <w:vMerge/>
            <w:tcBorders>
              <w:bottom w:val="single" w:sz="4" w:space="0" w:color="auto"/>
            </w:tcBorders>
            <w:vAlign w:val="center"/>
          </w:tcPr>
          <w:p w:rsidR="00B27742" w:rsidRPr="00653421" w:rsidRDefault="00B27742" w:rsidP="00BA1576">
            <w:pPr>
              <w:widowControl w:val="0"/>
              <w:spacing w:before="30" w:after="30"/>
              <w:jc w:val="center"/>
              <w:rPr>
                <w:rFonts w:cs="Tahoma"/>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B27742" w:rsidRPr="00653421" w:rsidRDefault="00B27742" w:rsidP="00BA1576">
            <w:pPr>
              <w:pStyle w:val="ProductNames"/>
              <w:spacing w:before="30" w:after="30"/>
              <w:rPr>
                <w:rFonts w:ascii="Tahoma" w:hAnsi="Tahoma" w:cs="Tahoma"/>
                <w:sz w:val="14"/>
              </w:rPr>
            </w:pPr>
            <w:bookmarkStart w:id="16" w:name="_Toc336337843"/>
            <w:bookmarkStart w:id="17" w:name="_Toc353470493"/>
            <w:r w:rsidRPr="00653421">
              <w:rPr>
                <w:rFonts w:ascii="Tahoma" w:hAnsi="Tahoma" w:cs="Tahoma"/>
                <w:sz w:val="14"/>
              </w:rPr>
              <w:t xml:space="preserve">Access </w:t>
            </w:r>
            <w:bookmarkEnd w:id="16"/>
            <w:r w:rsidRPr="00653421">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653421" w:rsidRDefault="00014EAD"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DT</w:t>
            </w:r>
          </w:p>
        </w:tc>
        <w:tc>
          <w:tcPr>
            <w:tcW w:w="37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FFFFF"/>
            <w:vAlign w:val="center"/>
          </w:tcPr>
          <w:p w:rsidR="00B27742" w:rsidRPr="00653421" w:rsidRDefault="00B27742" w:rsidP="00BA1576">
            <w:pPr>
              <w:pStyle w:val="ProductNames"/>
              <w:spacing w:before="30" w:after="30"/>
              <w:rPr>
                <w:rFonts w:ascii="Tahoma" w:hAnsi="Tahoma" w:cs="Tahoma"/>
                <w:sz w:val="14"/>
              </w:rPr>
            </w:pPr>
            <w:bookmarkStart w:id="18" w:name="_Toc336337844"/>
            <w:bookmarkStart w:id="19" w:name="_Toc353470494"/>
            <w:r w:rsidRPr="00653421">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653421" w:rsidRDefault="00B27742" w:rsidP="00BA1576">
            <w:pPr>
              <w:pStyle w:val="TableText"/>
              <w:widowControl w:val="0"/>
              <w:spacing w:before="30" w:after="3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653421" w:rsidRDefault="00E64830"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p>
        </w:tc>
        <w:tc>
          <w:tcPr>
            <w:tcW w:w="370" w:type="dxa"/>
            <w:tcBorders>
              <w:left w:val="single" w:sz="18" w:space="0" w:color="auto"/>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FFFFF"/>
            <w:vAlign w:val="center"/>
          </w:tcPr>
          <w:p w:rsidR="00B27742" w:rsidRPr="00653421" w:rsidRDefault="00F440F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FFFFF"/>
            <w:vAlign w:val="center"/>
          </w:tcPr>
          <w:p w:rsidR="00B27742" w:rsidRPr="00653421" w:rsidRDefault="00B27742"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B27742" w:rsidRPr="00653421" w:rsidRDefault="00B27742" w:rsidP="00BA1576">
            <w:pPr>
              <w:pStyle w:val="ProductNames"/>
              <w:spacing w:before="30" w:after="30"/>
              <w:rPr>
                <w:rFonts w:ascii="Tahoma" w:hAnsi="Tahoma" w:cs="Tahoma"/>
                <w:sz w:val="14"/>
              </w:rPr>
            </w:pPr>
            <w:bookmarkStart w:id="20" w:name="_Toc336337846"/>
            <w:bookmarkStart w:id="21" w:name="_Toc353470495"/>
            <w:r w:rsidRPr="00653421">
              <w:rPr>
                <w:rFonts w:ascii="Tahoma" w:hAnsi="Tahoma" w:cs="Tahoma"/>
                <w:sz w:val="14"/>
              </w:rPr>
              <w:t xml:space="preserve">Excel </w:t>
            </w:r>
            <w:bookmarkEnd w:id="20"/>
            <w:r w:rsidRPr="00653421">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653421" w:rsidRDefault="00014EAD"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DT</w:t>
            </w:r>
          </w:p>
        </w:tc>
        <w:tc>
          <w:tcPr>
            <w:tcW w:w="37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r>
      <w:tr w:rsidR="00B33D0E" w:rsidRPr="00653421" w:rsidTr="00BA1576">
        <w:trPr>
          <w:cantSplit/>
          <w:trHeight w:val="278"/>
        </w:trPr>
        <w:tc>
          <w:tcPr>
            <w:tcW w:w="2638" w:type="dxa"/>
            <w:tcBorders>
              <w:bottom w:val="single" w:sz="4" w:space="0" w:color="auto"/>
            </w:tcBorders>
            <w:shd w:val="clear" w:color="auto" w:fill="auto"/>
            <w:vAlign w:val="center"/>
          </w:tcPr>
          <w:p w:rsidR="00B27742" w:rsidRPr="00653421" w:rsidRDefault="00B27742" w:rsidP="00BA1576">
            <w:pPr>
              <w:pStyle w:val="ProductNames"/>
              <w:spacing w:before="30" w:after="30"/>
              <w:rPr>
                <w:rFonts w:ascii="Tahoma" w:hAnsi="Tahoma" w:cs="Tahoma"/>
                <w:sz w:val="14"/>
              </w:rPr>
            </w:pPr>
            <w:bookmarkStart w:id="22" w:name="_Toc336337847"/>
            <w:bookmarkStart w:id="23" w:name="_Toc353470496"/>
            <w:r w:rsidRPr="00653421">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DT</w:t>
            </w:r>
          </w:p>
        </w:tc>
        <w:tc>
          <w:tcPr>
            <w:tcW w:w="37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B27742" w:rsidRPr="00653421" w:rsidRDefault="00B27742" w:rsidP="00BA1576">
            <w:pPr>
              <w:pStyle w:val="Heading2"/>
              <w:spacing w:before="30" w:after="30"/>
              <w:ind w:left="0"/>
              <w:rPr>
                <w:rFonts w:ascii="Tahoma" w:hAnsi="Tahoma" w:cs="Tahoma"/>
                <w:b w:val="0"/>
                <w:sz w:val="14"/>
              </w:rPr>
            </w:pPr>
            <w:bookmarkStart w:id="24" w:name="_Toc336337850"/>
            <w:bookmarkStart w:id="25" w:name="_Toc353470497"/>
            <w:r w:rsidRPr="00653421">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653421" w:rsidRDefault="0033195D" w:rsidP="00BA1576">
            <w:pPr>
              <w:pStyle w:val="TableText"/>
              <w:widowControl w:val="0"/>
              <w:spacing w:before="30" w:after="30"/>
              <w:rPr>
                <w:rStyle w:val="EndnoteReference"/>
                <w:rFonts w:cs="Tahoma"/>
                <w:b w:val="0"/>
                <w:color w:val="0000FF"/>
                <w:sz w:val="13"/>
                <w:szCs w:val="13"/>
                <w:u w:val="single"/>
              </w:rPr>
            </w:pPr>
            <w:hyperlink w:anchor="_12_Expression_Encoder" w:history="1">
              <w:r w:rsidR="00955428" w:rsidRPr="00653421">
                <w:rPr>
                  <w:rStyle w:val="Hyperlink"/>
                  <w:b/>
                  <w:sz w:val="13"/>
                  <w:szCs w:val="13"/>
                </w:rPr>
                <w:t>1</w:t>
              </w:r>
            </w:hyperlink>
          </w:p>
        </w:tc>
        <w:tc>
          <w:tcPr>
            <w:tcW w:w="429" w:type="dxa"/>
            <w:tcBorders>
              <w:bottom w:val="single" w:sz="4" w:space="0" w:color="auto"/>
            </w:tcBorders>
            <w:shd w:val="clear" w:color="auto" w:fill="FABF8F"/>
            <w:vAlign w:val="center"/>
          </w:tcPr>
          <w:p w:rsidR="00B27742" w:rsidRPr="00653421" w:rsidRDefault="00913F3F" w:rsidP="00BA1576">
            <w:pPr>
              <w:pStyle w:val="TableText"/>
              <w:widowControl w:val="0"/>
              <w:spacing w:before="30" w:after="30"/>
              <w:rPr>
                <w:rFonts w:ascii="Tahoma" w:hAnsi="Tahoma" w:cs="Tahoma"/>
                <w:sz w:val="13"/>
              </w:rPr>
            </w:pPr>
            <w:r w:rsidRPr="00653421">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r>
      <w:tr w:rsidR="00B33D0E" w:rsidRPr="00653421" w:rsidTr="00BA1576">
        <w:trPr>
          <w:cantSplit/>
          <w:trHeight w:val="287"/>
        </w:trPr>
        <w:tc>
          <w:tcPr>
            <w:tcW w:w="2638" w:type="dxa"/>
            <w:tcBorders>
              <w:bottom w:val="single" w:sz="4" w:space="0" w:color="auto"/>
            </w:tcBorders>
            <w:shd w:val="clear" w:color="auto" w:fill="auto"/>
            <w:vAlign w:val="center"/>
          </w:tcPr>
          <w:p w:rsidR="00B27742" w:rsidRPr="00653421" w:rsidRDefault="00B27742" w:rsidP="00BA1576">
            <w:pPr>
              <w:pStyle w:val="Heading2"/>
              <w:spacing w:before="30" w:after="30"/>
              <w:ind w:left="0"/>
              <w:rPr>
                <w:rFonts w:ascii="Tahoma" w:hAnsi="Tahoma" w:cs="Tahoma"/>
                <w:b w:val="0"/>
                <w:sz w:val="14"/>
              </w:rPr>
            </w:pPr>
            <w:bookmarkStart w:id="26" w:name="_Toc336337851"/>
            <w:bookmarkStart w:id="27" w:name="_Toc353470498"/>
            <w:r w:rsidRPr="00653421">
              <w:rPr>
                <w:rFonts w:ascii="Tahoma" w:hAnsi="Tahoma" w:cs="Tahoma"/>
                <w:b w:val="0"/>
                <w:sz w:val="14"/>
              </w:rPr>
              <w:t>GeoSynther 3.0</w:t>
            </w:r>
            <w:bookmarkEnd w:id="26"/>
            <w:bookmarkEnd w:id="27"/>
          </w:p>
        </w:tc>
        <w:tc>
          <w:tcPr>
            <w:tcW w:w="429"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B27742" w:rsidRPr="00653421" w:rsidRDefault="00F440F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B27742" w:rsidRPr="00653421" w:rsidRDefault="00B27742" w:rsidP="00BA1576">
            <w:pPr>
              <w:pStyle w:val="Heading2"/>
              <w:spacing w:before="30" w:after="30"/>
              <w:ind w:left="0"/>
              <w:rPr>
                <w:rFonts w:ascii="Tahoma" w:hAnsi="Tahoma" w:cs="Tahoma"/>
                <w:b w:val="0"/>
                <w:sz w:val="14"/>
              </w:rPr>
            </w:pPr>
            <w:bookmarkStart w:id="28" w:name="_Toc336337852"/>
            <w:bookmarkStart w:id="29" w:name="_Toc353470499"/>
            <w:r w:rsidRPr="00653421">
              <w:rPr>
                <w:rFonts w:ascii="Tahoma" w:hAnsi="Tahoma" w:cs="Tahoma"/>
                <w:b w:val="0"/>
                <w:sz w:val="14"/>
              </w:rPr>
              <w:t>GeoSynth Viewer 3.0</w:t>
            </w:r>
            <w:bookmarkEnd w:id="28"/>
            <w:bookmarkEnd w:id="29"/>
          </w:p>
        </w:tc>
        <w:tc>
          <w:tcPr>
            <w:tcW w:w="429"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B27742" w:rsidRPr="00653421" w:rsidRDefault="006A33F3"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r>
      <w:tr w:rsidR="00B33D0E" w:rsidRPr="00653421" w:rsidTr="00BA1576">
        <w:trPr>
          <w:cantSplit/>
          <w:trHeight w:val="287"/>
        </w:trPr>
        <w:tc>
          <w:tcPr>
            <w:tcW w:w="2638" w:type="dxa"/>
            <w:tcBorders>
              <w:bottom w:val="single" w:sz="4" w:space="0" w:color="auto"/>
            </w:tcBorders>
            <w:shd w:val="clear" w:color="auto" w:fill="auto"/>
            <w:vAlign w:val="center"/>
          </w:tcPr>
          <w:p w:rsidR="00B27742" w:rsidRPr="00653421" w:rsidRDefault="00B27742" w:rsidP="00BA1576">
            <w:pPr>
              <w:pStyle w:val="Heading2"/>
              <w:spacing w:before="30" w:after="30"/>
              <w:ind w:left="0"/>
              <w:rPr>
                <w:rFonts w:ascii="Tahoma" w:hAnsi="Tahoma" w:cs="Tahoma"/>
                <w:b w:val="0"/>
                <w:sz w:val="14"/>
              </w:rPr>
            </w:pPr>
            <w:bookmarkStart w:id="30" w:name="_Toc336337853"/>
            <w:bookmarkStart w:id="31" w:name="_Toc353470500"/>
            <w:r w:rsidRPr="00653421">
              <w:rPr>
                <w:rFonts w:ascii="Tahoma" w:hAnsi="Tahoma" w:cs="Tahoma"/>
                <w:b w:val="0"/>
                <w:sz w:val="14"/>
              </w:rPr>
              <w:t>InfoPath</w:t>
            </w:r>
            <w:r w:rsidRPr="00653421">
              <w:rPr>
                <w:rFonts w:ascii="Tahoma" w:hAnsi="Tahoma" w:cs="Tahoma"/>
                <w:b w:val="0"/>
                <w:sz w:val="14"/>
                <w:vertAlign w:val="superscript"/>
              </w:rPr>
              <w:t>®</w:t>
            </w:r>
            <w:r w:rsidRPr="00653421">
              <w:rPr>
                <w:rFonts w:ascii="Tahoma" w:hAnsi="Tahoma" w:cs="Tahoma"/>
                <w:b w:val="0"/>
                <w:sz w:val="14"/>
              </w:rPr>
              <w:t xml:space="preserve"> </w:t>
            </w:r>
            <w:bookmarkEnd w:id="30"/>
            <w:r w:rsidRPr="00653421">
              <w:rPr>
                <w:rFonts w:ascii="Tahoma" w:hAnsi="Tahoma" w:cs="Tahoma"/>
                <w:b w:val="0"/>
                <w:sz w:val="14"/>
              </w:rPr>
              <w:t>2013</w:t>
            </w:r>
            <w:bookmarkEnd w:id="31"/>
          </w:p>
        </w:tc>
        <w:tc>
          <w:tcPr>
            <w:tcW w:w="429"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B27742" w:rsidRPr="00653421" w:rsidRDefault="00B27742" w:rsidP="00BA1576">
            <w:pPr>
              <w:pStyle w:val="Heading2"/>
              <w:spacing w:before="30" w:after="30"/>
              <w:ind w:left="0"/>
              <w:rPr>
                <w:rFonts w:ascii="Tahoma" w:hAnsi="Tahoma" w:cs="Tahoma"/>
                <w:b w:val="0"/>
                <w:sz w:val="14"/>
              </w:rPr>
            </w:pPr>
            <w:bookmarkStart w:id="32" w:name="_Toc336337854"/>
            <w:bookmarkStart w:id="33" w:name="_Toc353470501"/>
            <w:r w:rsidRPr="00653421">
              <w:rPr>
                <w:rFonts w:ascii="Tahoma" w:hAnsi="Tahoma" w:cs="Tahoma"/>
                <w:b w:val="0"/>
                <w:sz w:val="14"/>
              </w:rPr>
              <w:t xml:space="preserve">Lync </w:t>
            </w:r>
            <w:bookmarkEnd w:id="32"/>
            <w:r w:rsidRPr="00653421">
              <w:rPr>
                <w:rFonts w:ascii="Tahoma" w:hAnsi="Tahoma" w:cs="Tahoma"/>
                <w:b w:val="0"/>
                <w:sz w:val="14"/>
              </w:rPr>
              <w:t>2013</w:t>
            </w:r>
            <w:bookmarkEnd w:id="33"/>
          </w:p>
        </w:tc>
        <w:tc>
          <w:tcPr>
            <w:tcW w:w="429"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Style w:val="EndnoteReference"/>
                <w:b w:val="0"/>
                <w:color w:val="0000FF"/>
                <w:sz w:val="13"/>
                <w:szCs w:val="13"/>
                <w:u w:val="single"/>
              </w:rPr>
            </w:pPr>
            <w:bookmarkStart w:id="34" w:name="_Hlt301882262"/>
            <w:bookmarkStart w:id="35" w:name="_Hlt336250688"/>
          </w:p>
        </w:tc>
        <w:bookmarkEnd w:id="34"/>
        <w:bookmarkEnd w:id="35"/>
        <w:tc>
          <w:tcPr>
            <w:tcW w:w="429"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B27742" w:rsidRPr="00653421" w:rsidRDefault="00F440FF"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r>
      <w:tr w:rsidR="00B33D0E" w:rsidRPr="00653421" w:rsidTr="00BA1576">
        <w:trPr>
          <w:cantSplit/>
          <w:trHeight w:val="287"/>
        </w:trPr>
        <w:tc>
          <w:tcPr>
            <w:tcW w:w="2638" w:type="dxa"/>
            <w:tcBorders>
              <w:bottom w:val="single" w:sz="4" w:space="0" w:color="auto"/>
            </w:tcBorders>
            <w:shd w:val="clear" w:color="auto" w:fill="auto"/>
            <w:vAlign w:val="center"/>
          </w:tcPr>
          <w:p w:rsidR="00CA606E" w:rsidRPr="00653421" w:rsidRDefault="00CA606E" w:rsidP="00BA1576">
            <w:pPr>
              <w:pStyle w:val="Heading2"/>
              <w:spacing w:before="30" w:after="30"/>
              <w:ind w:left="0"/>
              <w:rPr>
                <w:rFonts w:ascii="Tahoma" w:hAnsi="Tahoma" w:cs="Tahoma"/>
                <w:b w:val="0"/>
                <w:sz w:val="14"/>
              </w:rPr>
            </w:pPr>
            <w:bookmarkStart w:id="36" w:name="_Toc336337855"/>
            <w:bookmarkStart w:id="37" w:name="_Toc353470502"/>
            <w:r w:rsidRPr="00653421">
              <w:rPr>
                <w:rFonts w:ascii="Tahoma" w:hAnsi="Tahoma" w:cs="Tahoma"/>
                <w:b w:val="0"/>
                <w:sz w:val="14"/>
              </w:rPr>
              <w:t>Lync para Mac 2011</w:t>
            </w:r>
            <w:bookmarkEnd w:id="36"/>
            <w:bookmarkEnd w:id="37"/>
          </w:p>
        </w:tc>
        <w:tc>
          <w:tcPr>
            <w:tcW w:w="429" w:type="dxa"/>
            <w:tcBorders>
              <w:bottom w:val="single" w:sz="4" w:space="0" w:color="auto"/>
            </w:tcBorders>
            <w:shd w:val="clear" w:color="auto" w:fill="auto"/>
            <w:vAlign w:val="center"/>
          </w:tcPr>
          <w:p w:rsidR="00CA606E" w:rsidRPr="00653421" w:rsidRDefault="0033195D" w:rsidP="00BA1576">
            <w:pPr>
              <w:pStyle w:val="TableText"/>
              <w:widowControl w:val="0"/>
              <w:spacing w:before="30" w:after="30"/>
              <w:rPr>
                <w:rStyle w:val="EndnoteReference"/>
                <w:b w:val="0"/>
                <w:color w:val="0000FF"/>
                <w:sz w:val="13"/>
                <w:szCs w:val="13"/>
                <w:u w:val="single"/>
              </w:rPr>
            </w:pPr>
            <w:hyperlink w:anchor="_2_Lync_para" w:history="1">
              <w:r w:rsidR="00955428" w:rsidRPr="00653421">
                <w:rPr>
                  <w:rStyle w:val="Hyperlink"/>
                  <w:b/>
                  <w:sz w:val="13"/>
                  <w:szCs w:val="13"/>
                </w:rPr>
                <w:t>2</w:t>
              </w:r>
            </w:hyperlink>
          </w:p>
        </w:tc>
        <w:tc>
          <w:tcPr>
            <w:tcW w:w="429" w:type="dxa"/>
            <w:tcBorders>
              <w:bottom w:val="single" w:sz="4" w:space="0" w:color="auto"/>
            </w:tcBorders>
            <w:shd w:val="clear" w:color="auto" w:fill="auto"/>
            <w:vAlign w:val="center"/>
          </w:tcPr>
          <w:p w:rsidR="00CA606E" w:rsidRPr="00653421" w:rsidRDefault="00C4684B" w:rsidP="00BA1576">
            <w:pPr>
              <w:pStyle w:val="TableText"/>
              <w:widowControl w:val="0"/>
              <w:spacing w:before="30" w:after="30"/>
              <w:rPr>
                <w:rFonts w:ascii="Tahoma" w:hAnsi="Tahoma" w:cs="Tahoma"/>
                <w:sz w:val="13"/>
              </w:rPr>
            </w:pPr>
            <w:r w:rsidRPr="00653421">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CA606E" w:rsidRPr="00653421" w:rsidRDefault="00CA606E"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B27742" w:rsidRPr="00653421" w:rsidRDefault="00B27742" w:rsidP="00BA1576">
            <w:pPr>
              <w:pStyle w:val="Heading2"/>
              <w:spacing w:before="30" w:after="30"/>
              <w:ind w:left="0"/>
              <w:rPr>
                <w:rFonts w:ascii="Tahoma" w:hAnsi="Tahoma" w:cs="Tahoma"/>
                <w:b w:val="0"/>
                <w:sz w:val="14"/>
              </w:rPr>
            </w:pPr>
            <w:bookmarkStart w:id="38" w:name="_Toc235859737"/>
            <w:bookmarkStart w:id="39" w:name="_Toc336337856"/>
            <w:bookmarkStart w:id="40" w:name="_Toc353470503"/>
            <w:r w:rsidRPr="00653421">
              <w:rPr>
                <w:rFonts w:ascii="Tahoma" w:hAnsi="Tahoma" w:cs="Tahoma"/>
                <w:b w:val="0"/>
                <w:sz w:val="14"/>
              </w:rPr>
              <w:t>MapPoint</w:t>
            </w:r>
            <w:r w:rsidRPr="00653421">
              <w:rPr>
                <w:rFonts w:ascii="Tahoma" w:hAnsi="Tahoma" w:cs="Tahoma"/>
                <w:b w:val="0"/>
                <w:sz w:val="14"/>
                <w:vertAlign w:val="superscript"/>
              </w:rPr>
              <w:t>®</w:t>
            </w:r>
            <w:r w:rsidRPr="00653421">
              <w:rPr>
                <w:rFonts w:ascii="Tahoma" w:hAnsi="Tahoma" w:cs="Tahoma"/>
                <w:b w:val="0"/>
                <w:sz w:val="14"/>
              </w:rPr>
              <w:t xml:space="preserve"> Fleet Edition </w:t>
            </w:r>
            <w:bookmarkEnd w:id="38"/>
            <w:r w:rsidRPr="00653421">
              <w:rPr>
                <w:rFonts w:ascii="Tahoma" w:hAnsi="Tahoma" w:cs="Tahoma"/>
                <w:b w:val="0"/>
                <w:sz w:val="14"/>
              </w:rPr>
              <w:t>2013</w:t>
            </w:r>
            <w:bookmarkEnd w:id="39"/>
            <w:bookmarkEnd w:id="40"/>
          </w:p>
        </w:tc>
        <w:tc>
          <w:tcPr>
            <w:tcW w:w="429"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653421" w:rsidRDefault="00097B90" w:rsidP="00BA1576">
            <w:pPr>
              <w:pStyle w:val="TableText"/>
              <w:widowControl w:val="0"/>
              <w:spacing w:before="30" w:after="30"/>
              <w:rPr>
                <w:rFonts w:ascii="Tahoma" w:hAnsi="Tahoma" w:cs="Tahoma"/>
                <w:sz w:val="13"/>
              </w:rPr>
            </w:pPr>
            <w:r w:rsidRPr="0065342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4</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8</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6</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6</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8</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4</w:t>
            </w:r>
          </w:p>
        </w:tc>
        <w:tc>
          <w:tcPr>
            <w:tcW w:w="45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B27742" w:rsidRPr="00653421" w:rsidRDefault="00B27742" w:rsidP="00BA1576">
            <w:pPr>
              <w:pStyle w:val="TableText"/>
              <w:widowControl w:val="0"/>
              <w:spacing w:before="30" w:after="30"/>
              <w:rPr>
                <w:rFonts w:ascii="Tahoma" w:hAnsi="Tahoma" w:cs="Tahoma"/>
                <w:sz w:val="13"/>
              </w:rPr>
            </w:pPr>
          </w:p>
        </w:tc>
      </w:tr>
      <w:tr w:rsidR="00B33D0E" w:rsidRPr="00653421" w:rsidTr="00BA1576">
        <w:trPr>
          <w:cantSplit/>
          <w:trHeight w:val="323"/>
        </w:trPr>
        <w:tc>
          <w:tcPr>
            <w:tcW w:w="2638" w:type="dxa"/>
            <w:tcBorders>
              <w:bottom w:val="single" w:sz="4" w:space="0" w:color="auto"/>
            </w:tcBorders>
            <w:shd w:val="clear" w:color="auto" w:fill="auto"/>
            <w:vAlign w:val="center"/>
          </w:tcPr>
          <w:p w:rsidR="00B27742" w:rsidRPr="00653421" w:rsidRDefault="00B27742" w:rsidP="00BA1576">
            <w:pPr>
              <w:pStyle w:val="Heading2"/>
              <w:spacing w:before="30" w:after="30"/>
              <w:ind w:left="0"/>
              <w:rPr>
                <w:rFonts w:ascii="Tahoma" w:hAnsi="Tahoma" w:cs="Tahoma"/>
                <w:b w:val="0"/>
                <w:sz w:val="14"/>
              </w:rPr>
            </w:pPr>
            <w:bookmarkStart w:id="41" w:name="_Toc235859738"/>
            <w:bookmarkStart w:id="42" w:name="_Toc336337857"/>
            <w:bookmarkStart w:id="43" w:name="_Toc353470504"/>
            <w:r w:rsidRPr="00653421">
              <w:rPr>
                <w:rFonts w:ascii="Tahoma" w:hAnsi="Tahoma" w:cs="Tahoma"/>
                <w:b w:val="0"/>
                <w:sz w:val="14"/>
              </w:rPr>
              <w:t>MapPoint</w:t>
            </w:r>
            <w:r w:rsidRPr="00653421">
              <w:rPr>
                <w:rFonts w:ascii="Tahoma" w:hAnsi="Tahoma" w:cs="Tahoma"/>
                <w:b w:val="0"/>
                <w:sz w:val="14"/>
                <w:vertAlign w:val="superscript"/>
              </w:rPr>
              <w:t>®</w:t>
            </w:r>
            <w:r w:rsidRPr="00653421">
              <w:rPr>
                <w:rFonts w:ascii="Tahoma" w:hAnsi="Tahoma" w:cs="Tahoma"/>
                <w:b w:val="0"/>
                <w:sz w:val="14"/>
              </w:rPr>
              <w:t xml:space="preserve"> 2013 para Windows</w:t>
            </w:r>
            <w:bookmarkEnd w:id="41"/>
            <w:bookmarkEnd w:id="42"/>
            <w:bookmarkEnd w:id="43"/>
          </w:p>
        </w:tc>
        <w:tc>
          <w:tcPr>
            <w:tcW w:w="429"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B27742" w:rsidRPr="00653421" w:rsidRDefault="00097B90"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DT</w:t>
            </w:r>
          </w:p>
        </w:tc>
        <w:tc>
          <w:tcPr>
            <w:tcW w:w="37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B27742" w:rsidRPr="00653421" w:rsidRDefault="00F440FF" w:rsidP="00BA1576">
            <w:pPr>
              <w:pStyle w:val="TableText"/>
              <w:widowControl w:val="0"/>
              <w:spacing w:before="30" w:after="30"/>
              <w:rPr>
                <w:rFonts w:ascii="Tahoma" w:hAnsi="Tahoma" w:cs="Tahoma"/>
                <w:sz w:val="13"/>
              </w:rPr>
            </w:pPr>
            <w:r w:rsidRPr="00653421">
              <w:rPr>
                <w:rFonts w:ascii="Tahoma" w:hAnsi="Tahoma" w:cs="Tahoma"/>
                <w:sz w:val="13"/>
              </w:rPr>
              <w:t>A, AO, ST</w:t>
            </w:r>
          </w:p>
        </w:tc>
        <w:tc>
          <w:tcPr>
            <w:tcW w:w="54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ABF8F"/>
            <w:vAlign w:val="center"/>
          </w:tcPr>
          <w:p w:rsidR="00B27742" w:rsidRPr="00653421" w:rsidRDefault="00B27742" w:rsidP="00BA1576">
            <w:pPr>
              <w:pStyle w:val="Heading2"/>
              <w:spacing w:before="30" w:after="30"/>
              <w:ind w:left="0"/>
              <w:rPr>
                <w:rFonts w:ascii="Tahoma" w:hAnsi="Tahoma" w:cs="Tahoma"/>
                <w:b w:val="0"/>
                <w:sz w:val="14"/>
              </w:rPr>
            </w:pPr>
            <w:bookmarkStart w:id="44" w:name="_Toc336337858"/>
            <w:bookmarkStart w:id="45" w:name="_Toc353470505"/>
            <w:r w:rsidRPr="00653421">
              <w:rPr>
                <w:rFonts w:ascii="Tahoma" w:hAnsi="Tahoma" w:cs="Tahoma"/>
                <w:b w:val="0"/>
                <w:sz w:val="14"/>
              </w:rPr>
              <w:t>MSDN Operating Systems</w:t>
            </w:r>
            <w:bookmarkEnd w:id="44"/>
            <w:bookmarkEnd w:id="45"/>
          </w:p>
        </w:tc>
        <w:tc>
          <w:tcPr>
            <w:tcW w:w="429" w:type="dxa"/>
            <w:tcBorders>
              <w:bottom w:val="single" w:sz="4" w:space="0" w:color="auto"/>
            </w:tcBorders>
            <w:shd w:val="clear" w:color="auto" w:fill="FABF8F"/>
            <w:vAlign w:val="center"/>
          </w:tcPr>
          <w:p w:rsidR="00B27742" w:rsidRPr="00653421" w:rsidRDefault="0033195D" w:rsidP="00BA1576">
            <w:pPr>
              <w:pStyle w:val="TableText"/>
              <w:widowControl w:val="0"/>
              <w:spacing w:before="30" w:after="30"/>
              <w:rPr>
                <w:rStyle w:val="EndnoteReference"/>
                <w:b w:val="0"/>
                <w:color w:val="0000FF"/>
                <w:sz w:val="13"/>
                <w:szCs w:val="13"/>
                <w:u w:val="single"/>
              </w:rPr>
            </w:pPr>
            <w:hyperlink w:anchor="_3_Sistemas_Operacionais" w:history="1">
              <w:r w:rsidR="00955428" w:rsidRPr="00653421">
                <w:rPr>
                  <w:rStyle w:val="Hyperlink"/>
                  <w:b/>
                  <w:sz w:val="13"/>
                  <w:szCs w:val="13"/>
                </w:rPr>
                <w:t>3</w:t>
              </w:r>
            </w:hyperlink>
          </w:p>
        </w:tc>
        <w:tc>
          <w:tcPr>
            <w:tcW w:w="429"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p>
        </w:tc>
        <w:tc>
          <w:tcPr>
            <w:tcW w:w="37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B27742" w:rsidRPr="00653421" w:rsidRDefault="00052BF4" w:rsidP="00BA1576">
            <w:pPr>
              <w:pStyle w:val="TableText"/>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B27742" w:rsidRPr="00653421" w:rsidRDefault="00B27742" w:rsidP="00BA1576">
            <w:pPr>
              <w:pStyle w:val="TableText"/>
              <w:spacing w:before="30" w:after="30"/>
            </w:pPr>
            <w:r w:rsidRPr="00653421">
              <w:rPr>
                <w:rFonts w:ascii="Tahoma" w:hAnsi="Tahoma" w:cs="Tahoma"/>
                <w:sz w:val="13"/>
              </w:rPr>
              <w:t>LO/SA/</w:t>
            </w:r>
          </w:p>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OV</w:t>
            </w:r>
          </w:p>
        </w:tc>
      </w:tr>
      <w:tr w:rsidR="00B33D0E" w:rsidRPr="00653421" w:rsidTr="00BA1576">
        <w:trPr>
          <w:cantSplit/>
          <w:trHeight w:val="287"/>
        </w:trPr>
        <w:tc>
          <w:tcPr>
            <w:tcW w:w="2638" w:type="dxa"/>
            <w:tcBorders>
              <w:bottom w:val="single" w:sz="4" w:space="0" w:color="auto"/>
            </w:tcBorders>
            <w:shd w:val="clear" w:color="auto" w:fill="auto"/>
            <w:vAlign w:val="center"/>
          </w:tcPr>
          <w:p w:rsidR="007B2C93" w:rsidRPr="00734B50" w:rsidRDefault="007B2C93" w:rsidP="00BA1576">
            <w:pPr>
              <w:pStyle w:val="Heading2"/>
              <w:spacing w:before="30" w:after="30"/>
              <w:ind w:left="0"/>
              <w:rPr>
                <w:rFonts w:ascii="Tahoma" w:hAnsi="Tahoma" w:cs="Tahoma"/>
                <w:b w:val="0"/>
                <w:sz w:val="14"/>
                <w:lang w:val="pt-BR"/>
              </w:rPr>
            </w:pPr>
            <w:bookmarkStart w:id="46" w:name="_Toc336337859"/>
            <w:bookmarkStart w:id="47" w:name="_Toc353470506"/>
            <w:r w:rsidRPr="00734B50">
              <w:rPr>
                <w:rFonts w:ascii="Tahoma" w:hAnsi="Tahoma" w:cs="Tahoma"/>
                <w:b w:val="0"/>
                <w:sz w:val="14"/>
                <w:lang w:val="pt-BR"/>
              </w:rPr>
              <w:t>Office 365 A2 (SL de Usuário)</w:t>
            </w:r>
            <w:bookmarkEnd w:id="46"/>
            <w:bookmarkEnd w:id="47"/>
          </w:p>
        </w:tc>
        <w:tc>
          <w:tcPr>
            <w:tcW w:w="429" w:type="dxa"/>
            <w:tcBorders>
              <w:bottom w:val="single" w:sz="4" w:space="0" w:color="auto"/>
            </w:tcBorders>
            <w:shd w:val="clear" w:color="auto" w:fill="auto"/>
            <w:vAlign w:val="center"/>
          </w:tcPr>
          <w:p w:rsidR="007B2C93" w:rsidRPr="00653421" w:rsidRDefault="0033195D" w:rsidP="00BA1576">
            <w:pPr>
              <w:pStyle w:val="TableText"/>
              <w:widowControl w:val="0"/>
              <w:spacing w:before="30" w:after="30"/>
              <w:rPr>
                <w:b/>
                <w:color w:val="0000FF"/>
                <w:sz w:val="13"/>
                <w:szCs w:val="13"/>
                <w:u w:val="single"/>
              </w:rPr>
            </w:pPr>
            <w:hyperlink w:anchor="_4_Office_365" w:history="1">
              <w:r w:rsidR="00955428" w:rsidRPr="00653421">
                <w:rPr>
                  <w:rStyle w:val="Hyperlink"/>
                  <w:b/>
                  <w:sz w:val="13"/>
                  <w:szCs w:val="13"/>
                </w:rPr>
                <w:t>4</w:t>
              </w:r>
            </w:hyperlink>
          </w:p>
        </w:tc>
        <w:tc>
          <w:tcPr>
            <w:tcW w:w="429"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70" w:type="dxa"/>
            <w:tcBorders>
              <w:left w:val="single" w:sz="18" w:space="0" w:color="auto"/>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B2C93" w:rsidRPr="00653421" w:rsidDel="000365B0" w:rsidRDefault="007B2C93"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EOLS (Somente EES)</w:t>
            </w:r>
          </w:p>
        </w:tc>
        <w:tc>
          <w:tcPr>
            <w:tcW w:w="54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7B2C93" w:rsidRPr="00734B50" w:rsidRDefault="007B2C93" w:rsidP="00BA1576">
            <w:pPr>
              <w:pStyle w:val="Heading2"/>
              <w:spacing w:before="30" w:after="30"/>
              <w:ind w:left="0"/>
              <w:rPr>
                <w:rFonts w:ascii="Tahoma" w:hAnsi="Tahoma" w:cs="Tahoma"/>
                <w:b w:val="0"/>
                <w:sz w:val="14"/>
                <w:lang w:val="pt-BR"/>
              </w:rPr>
            </w:pPr>
            <w:bookmarkStart w:id="48" w:name="_Toc336337860"/>
            <w:bookmarkStart w:id="49" w:name="_Toc353470507"/>
            <w:r w:rsidRPr="00734B50">
              <w:rPr>
                <w:rFonts w:ascii="Tahoma" w:hAnsi="Tahoma" w:cs="Tahoma"/>
                <w:b w:val="0"/>
                <w:sz w:val="14"/>
                <w:lang w:val="pt-BR"/>
              </w:rPr>
              <w:t>Office 365 A3 (SL de Usuário)</w:t>
            </w:r>
            <w:bookmarkEnd w:id="48"/>
            <w:bookmarkEnd w:id="49"/>
          </w:p>
        </w:tc>
        <w:tc>
          <w:tcPr>
            <w:tcW w:w="429" w:type="dxa"/>
            <w:tcBorders>
              <w:bottom w:val="single" w:sz="4" w:space="0" w:color="auto"/>
            </w:tcBorders>
            <w:shd w:val="clear" w:color="auto" w:fill="FABF8F"/>
            <w:vAlign w:val="center"/>
          </w:tcPr>
          <w:p w:rsidR="007B2C93" w:rsidRPr="00653421" w:rsidRDefault="0033195D" w:rsidP="00BA1576">
            <w:pPr>
              <w:pStyle w:val="TableText"/>
              <w:widowControl w:val="0"/>
              <w:spacing w:before="30" w:after="30"/>
              <w:rPr>
                <w:b/>
                <w:color w:val="0000FF"/>
                <w:sz w:val="13"/>
                <w:szCs w:val="13"/>
                <w:u w:val="single"/>
              </w:rPr>
            </w:pPr>
            <w:hyperlink w:anchor="_6_Office_365" w:history="1">
              <w:r w:rsidR="00955428" w:rsidRPr="00653421">
                <w:rPr>
                  <w:rStyle w:val="Hyperlink"/>
                  <w:b/>
                  <w:sz w:val="13"/>
                  <w:szCs w:val="13"/>
                </w:rPr>
                <w:t>4</w:t>
              </w:r>
            </w:hyperlink>
          </w:p>
        </w:tc>
        <w:tc>
          <w:tcPr>
            <w:tcW w:w="429" w:type="dxa"/>
            <w:tcBorders>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70" w:type="dxa"/>
            <w:tcBorders>
              <w:left w:val="single" w:sz="18" w:space="0" w:color="auto"/>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B2C93" w:rsidRPr="00653421" w:rsidDel="000365B0" w:rsidRDefault="007B2C93"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EOLS (Somente EES)</w:t>
            </w:r>
          </w:p>
        </w:tc>
        <w:tc>
          <w:tcPr>
            <w:tcW w:w="540" w:type="dxa"/>
            <w:tcBorders>
              <w:bottom w:val="single" w:sz="4" w:space="0" w:color="auto"/>
            </w:tcBorders>
            <w:shd w:val="clear" w:color="auto" w:fill="FABF8F"/>
            <w:vAlign w:val="center"/>
          </w:tcPr>
          <w:p w:rsidR="007B2C93" w:rsidRPr="00653421" w:rsidRDefault="007B2C93" w:rsidP="00BA1576">
            <w:pPr>
              <w:pStyle w:val="TableText"/>
              <w:widowControl w:val="0"/>
              <w:spacing w:before="30" w:after="30"/>
              <w:rPr>
                <w:rFonts w:ascii="Tahoma" w:hAnsi="Tahoma" w:cs="Tahoma"/>
                <w:sz w:val="13"/>
              </w:rPr>
            </w:pPr>
          </w:p>
        </w:tc>
      </w:tr>
      <w:tr w:rsidR="00B33D0E" w:rsidRPr="00653421" w:rsidTr="00BA1576">
        <w:trPr>
          <w:cantSplit/>
          <w:trHeight w:val="287"/>
        </w:trPr>
        <w:tc>
          <w:tcPr>
            <w:tcW w:w="2638" w:type="dxa"/>
            <w:tcBorders>
              <w:bottom w:val="single" w:sz="4" w:space="0" w:color="auto"/>
            </w:tcBorders>
            <w:shd w:val="clear" w:color="auto" w:fill="auto"/>
            <w:vAlign w:val="center"/>
          </w:tcPr>
          <w:p w:rsidR="007B2C93" w:rsidRPr="00734B50" w:rsidRDefault="007B2C93" w:rsidP="00BA1576">
            <w:pPr>
              <w:pStyle w:val="Heading2"/>
              <w:spacing w:before="30" w:after="30"/>
              <w:ind w:left="0"/>
              <w:rPr>
                <w:rFonts w:ascii="Tahoma" w:hAnsi="Tahoma" w:cs="Tahoma"/>
                <w:b w:val="0"/>
                <w:sz w:val="14"/>
                <w:lang w:val="pt-BR"/>
              </w:rPr>
            </w:pPr>
            <w:bookmarkStart w:id="50" w:name="_Toc336337861"/>
            <w:bookmarkStart w:id="51" w:name="_Toc353470508"/>
            <w:r w:rsidRPr="00734B50">
              <w:rPr>
                <w:rFonts w:ascii="Tahoma" w:hAnsi="Tahoma" w:cs="Tahoma"/>
                <w:b w:val="0"/>
                <w:sz w:val="14"/>
                <w:lang w:val="pt-BR"/>
              </w:rPr>
              <w:t>Office 365 A4 (SL de Usuário)</w:t>
            </w:r>
            <w:bookmarkEnd w:id="50"/>
            <w:bookmarkEnd w:id="51"/>
          </w:p>
        </w:tc>
        <w:tc>
          <w:tcPr>
            <w:tcW w:w="429" w:type="dxa"/>
            <w:tcBorders>
              <w:bottom w:val="single" w:sz="4" w:space="0" w:color="auto"/>
            </w:tcBorders>
            <w:shd w:val="clear" w:color="auto" w:fill="auto"/>
            <w:vAlign w:val="center"/>
          </w:tcPr>
          <w:p w:rsidR="007B2C93" w:rsidRPr="00653421" w:rsidRDefault="0033195D" w:rsidP="00BA1576">
            <w:pPr>
              <w:pStyle w:val="TableText"/>
              <w:widowControl w:val="0"/>
              <w:spacing w:before="30" w:after="30"/>
              <w:rPr>
                <w:b/>
                <w:color w:val="0000FF"/>
                <w:sz w:val="13"/>
                <w:szCs w:val="13"/>
                <w:u w:val="single"/>
              </w:rPr>
            </w:pPr>
            <w:hyperlink w:anchor="_6_Office_365" w:history="1">
              <w:r w:rsidR="00955428" w:rsidRPr="00653421">
                <w:rPr>
                  <w:rStyle w:val="Hyperlink"/>
                  <w:b/>
                  <w:sz w:val="13"/>
                  <w:szCs w:val="13"/>
                </w:rPr>
                <w:t>4</w:t>
              </w:r>
            </w:hyperlink>
          </w:p>
        </w:tc>
        <w:tc>
          <w:tcPr>
            <w:tcW w:w="429"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70" w:type="dxa"/>
            <w:tcBorders>
              <w:left w:val="single" w:sz="18" w:space="0" w:color="auto"/>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B2C93" w:rsidRPr="00653421" w:rsidDel="000365B0" w:rsidRDefault="007B2C93"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r w:rsidRPr="00653421">
              <w:rPr>
                <w:rFonts w:ascii="Tahoma" w:hAnsi="Tahoma" w:cs="Tahoma"/>
                <w:sz w:val="13"/>
              </w:rPr>
              <w:t>EOLS (Somente EES)</w:t>
            </w:r>
          </w:p>
        </w:tc>
        <w:tc>
          <w:tcPr>
            <w:tcW w:w="540" w:type="dxa"/>
            <w:tcBorders>
              <w:bottom w:val="single" w:sz="4" w:space="0" w:color="auto"/>
            </w:tcBorders>
            <w:shd w:val="clear" w:color="auto" w:fill="auto"/>
            <w:vAlign w:val="center"/>
          </w:tcPr>
          <w:p w:rsidR="007B2C93" w:rsidRPr="00653421" w:rsidRDefault="007B2C93"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3E5902" w:rsidRPr="00653421" w:rsidRDefault="003E5902" w:rsidP="00BA1576">
            <w:pPr>
              <w:pStyle w:val="Heading2"/>
              <w:spacing w:before="30" w:after="30"/>
              <w:ind w:left="0"/>
              <w:rPr>
                <w:rFonts w:ascii="Tahoma" w:hAnsi="Tahoma" w:cs="Tahoma"/>
                <w:b w:val="0"/>
                <w:sz w:val="14"/>
              </w:rPr>
            </w:pPr>
            <w:bookmarkStart w:id="52" w:name="_Toc353470509"/>
            <w:r w:rsidRPr="00653421">
              <w:rPr>
                <w:rFonts w:ascii="Tahoma" w:hAnsi="Tahoma" w:cs="Tahoma"/>
                <w:b w:val="0"/>
                <w:sz w:val="14"/>
              </w:rPr>
              <w:t>Office 365 Midsize Business (SL</w:t>
            </w:r>
            <w:r w:rsidR="0012022C" w:rsidRPr="00653421">
              <w:rPr>
                <w:rFonts w:ascii="Tahoma" w:hAnsi="Tahoma" w:cs="Tahoma"/>
                <w:b w:val="0"/>
                <w:sz w:val="14"/>
              </w:rPr>
              <w:t> </w:t>
            </w:r>
            <w:r w:rsidRPr="00653421">
              <w:rPr>
                <w:rFonts w:ascii="Tahoma" w:hAnsi="Tahoma" w:cs="Tahoma"/>
                <w:b w:val="0"/>
                <w:sz w:val="14"/>
              </w:rPr>
              <w:t>de</w:t>
            </w:r>
            <w:r w:rsidR="0012022C" w:rsidRPr="00653421">
              <w:rPr>
                <w:rFonts w:ascii="Tahoma" w:hAnsi="Tahoma" w:cs="Tahoma"/>
                <w:b w:val="0"/>
                <w:sz w:val="14"/>
              </w:rPr>
              <w:t> </w:t>
            </w:r>
            <w:r w:rsidRPr="00653421">
              <w:rPr>
                <w:rFonts w:ascii="Tahoma" w:hAnsi="Tahoma" w:cs="Tahoma"/>
                <w:b w:val="0"/>
                <w:sz w:val="14"/>
              </w:rPr>
              <w:t>Usuário)</w:t>
            </w:r>
            <w:bookmarkEnd w:id="52"/>
          </w:p>
        </w:tc>
        <w:tc>
          <w:tcPr>
            <w:tcW w:w="429" w:type="dxa"/>
            <w:tcBorders>
              <w:bottom w:val="single" w:sz="4" w:space="0" w:color="auto"/>
            </w:tcBorders>
            <w:shd w:val="clear" w:color="auto" w:fill="FABF8F"/>
            <w:vAlign w:val="center"/>
          </w:tcPr>
          <w:p w:rsidR="003E5902" w:rsidRPr="00653421" w:rsidRDefault="0033195D" w:rsidP="00BA1576">
            <w:pPr>
              <w:pStyle w:val="TableText"/>
              <w:widowControl w:val="0"/>
              <w:spacing w:before="30" w:after="30"/>
              <w:rPr>
                <w:b/>
                <w:sz w:val="13"/>
                <w:szCs w:val="13"/>
              </w:rPr>
            </w:pPr>
            <w:hyperlink w:anchor="_7_Office_365" w:history="1">
              <w:r w:rsidR="00955428" w:rsidRPr="00653421">
                <w:rPr>
                  <w:rStyle w:val="Hyperlink"/>
                  <w:b/>
                  <w:sz w:val="13"/>
                  <w:szCs w:val="13"/>
                </w:rPr>
                <w:t>5</w:t>
              </w:r>
            </w:hyperlink>
          </w:p>
        </w:tc>
        <w:tc>
          <w:tcPr>
            <w:tcW w:w="429" w:type="dxa"/>
            <w:tcBorders>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r w:rsidRPr="0065342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370" w:type="dxa"/>
            <w:tcBorders>
              <w:left w:val="single" w:sz="18" w:space="0" w:color="auto"/>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1260" w:type="dxa"/>
            <w:gridSpan w:val="3"/>
            <w:tcBorders>
              <w:left w:val="single" w:sz="18" w:space="0" w:color="auto"/>
              <w:bottom w:val="single" w:sz="4" w:space="0" w:color="auto"/>
              <w:right w:val="single" w:sz="18"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3E5902" w:rsidRPr="00653421" w:rsidRDefault="003E5902"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B33D0E" w:rsidRPr="00653421" w:rsidTr="00BA1576">
        <w:trPr>
          <w:cantSplit/>
          <w:trHeight w:val="287"/>
        </w:trPr>
        <w:tc>
          <w:tcPr>
            <w:tcW w:w="2638" w:type="dxa"/>
            <w:tcBorders>
              <w:bottom w:val="single" w:sz="4" w:space="0" w:color="auto"/>
            </w:tcBorders>
            <w:shd w:val="clear" w:color="auto" w:fill="auto"/>
            <w:vAlign w:val="center"/>
          </w:tcPr>
          <w:p w:rsidR="00CC19FC" w:rsidRPr="00734B50" w:rsidRDefault="00CC19FC" w:rsidP="00BA1576">
            <w:pPr>
              <w:pStyle w:val="Heading2"/>
              <w:spacing w:before="30" w:after="30"/>
              <w:ind w:left="0"/>
              <w:rPr>
                <w:rFonts w:ascii="Tahoma" w:hAnsi="Tahoma" w:cs="Tahoma"/>
                <w:b w:val="0"/>
                <w:sz w:val="14"/>
                <w:lang w:val="pt-BR"/>
              </w:rPr>
            </w:pPr>
            <w:bookmarkStart w:id="53" w:name="_Toc353470510"/>
            <w:r w:rsidRPr="00734B50">
              <w:rPr>
                <w:rFonts w:ascii="Tahoma" w:hAnsi="Tahoma" w:cs="Tahoma"/>
                <w:b w:val="0"/>
                <w:sz w:val="14"/>
                <w:lang w:val="pt-BR"/>
              </w:rPr>
              <w:t>Office 365 Enterprise E1 (SL de Usuário)</w:t>
            </w:r>
            <w:bookmarkEnd w:id="53"/>
          </w:p>
        </w:tc>
        <w:tc>
          <w:tcPr>
            <w:tcW w:w="429" w:type="dxa"/>
            <w:tcBorders>
              <w:bottom w:val="single" w:sz="4" w:space="0" w:color="auto"/>
            </w:tcBorders>
            <w:shd w:val="clear" w:color="auto" w:fill="auto"/>
            <w:vAlign w:val="center"/>
          </w:tcPr>
          <w:p w:rsidR="00CC19FC" w:rsidRPr="00734B50" w:rsidRDefault="00CC19FC" w:rsidP="00BA1576">
            <w:pPr>
              <w:pStyle w:val="TableText"/>
              <w:widowControl w:val="0"/>
              <w:spacing w:before="30" w:after="30"/>
              <w:rPr>
                <w:b/>
                <w:sz w:val="13"/>
                <w:szCs w:val="13"/>
                <w:lang w:val="pt-BR"/>
              </w:rPr>
            </w:pPr>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CC19FC" w:rsidRPr="00734B50" w:rsidRDefault="00CC19FC" w:rsidP="00BA1576">
            <w:pPr>
              <w:pStyle w:val="Heading2"/>
              <w:spacing w:before="30" w:after="30"/>
              <w:ind w:left="0"/>
              <w:rPr>
                <w:rFonts w:ascii="Tahoma" w:hAnsi="Tahoma" w:cs="Tahoma"/>
                <w:b w:val="0"/>
                <w:sz w:val="14"/>
                <w:lang w:val="pt-BR"/>
              </w:rPr>
            </w:pPr>
            <w:bookmarkStart w:id="54" w:name="_Toc291024473"/>
            <w:bookmarkStart w:id="55" w:name="_Toc336337862"/>
            <w:bookmarkStart w:id="56" w:name="_Toc353470511"/>
            <w:r w:rsidRPr="00734B50">
              <w:rPr>
                <w:rFonts w:ascii="Tahoma" w:hAnsi="Tahoma" w:cs="Tahoma"/>
                <w:b w:val="0"/>
                <w:sz w:val="14"/>
                <w:lang w:val="pt-BR"/>
              </w:rPr>
              <w:t>Office 365 Enterprise E2 (SL de Usuário)</w:t>
            </w:r>
            <w:bookmarkEnd w:id="54"/>
            <w:bookmarkEnd w:id="55"/>
            <w:bookmarkEnd w:id="56"/>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b/>
                <w:color w:val="0000FF"/>
                <w:sz w:val="13"/>
                <w:szCs w:val="13"/>
                <w:u w:val="single"/>
              </w:rPr>
            </w:pPr>
            <w:hyperlink w:anchor="_6_Office_365_1" w:history="1">
              <w:r w:rsidR="00B0065F" w:rsidRPr="00653421">
                <w:rPr>
                  <w:rStyle w:val="Hyperlink"/>
                  <w:b/>
                  <w:sz w:val="13"/>
                  <w:szCs w:val="13"/>
                </w:rPr>
                <w:t>6</w:t>
              </w:r>
            </w:hyperlink>
            <w:hyperlink w:anchor="_65_Office_365" w:history="1"/>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r>
      <w:tr w:rsidR="00B33D0E" w:rsidRPr="00653421" w:rsidTr="00BA1576">
        <w:trPr>
          <w:cantSplit/>
          <w:trHeight w:val="287"/>
        </w:trPr>
        <w:tc>
          <w:tcPr>
            <w:tcW w:w="2638" w:type="dxa"/>
            <w:tcBorders>
              <w:bottom w:val="single" w:sz="4" w:space="0" w:color="auto"/>
            </w:tcBorders>
            <w:shd w:val="clear" w:color="auto" w:fill="auto"/>
            <w:vAlign w:val="center"/>
          </w:tcPr>
          <w:p w:rsidR="00CC19FC" w:rsidRPr="00734B50" w:rsidRDefault="00CC19FC" w:rsidP="00BA1576">
            <w:pPr>
              <w:pStyle w:val="Heading2"/>
              <w:spacing w:before="30" w:after="30"/>
              <w:ind w:left="0"/>
              <w:rPr>
                <w:rFonts w:ascii="Tahoma" w:hAnsi="Tahoma" w:cs="Tahoma"/>
                <w:b w:val="0"/>
                <w:sz w:val="14"/>
                <w:lang w:val="pt-BR"/>
              </w:rPr>
            </w:pPr>
            <w:bookmarkStart w:id="57" w:name="_Toc291024474"/>
            <w:bookmarkStart w:id="58" w:name="_Toc336337863"/>
            <w:bookmarkStart w:id="59" w:name="_Toc353470512"/>
            <w:r w:rsidRPr="00734B50">
              <w:rPr>
                <w:rFonts w:ascii="Tahoma" w:hAnsi="Tahoma" w:cs="Tahoma"/>
                <w:b w:val="0"/>
                <w:sz w:val="14"/>
                <w:lang w:val="pt-BR"/>
              </w:rPr>
              <w:t>Office 365 Enterprise E3 (SL de Usuário)</w:t>
            </w:r>
            <w:bookmarkEnd w:id="57"/>
            <w:bookmarkEnd w:id="58"/>
            <w:bookmarkEnd w:id="59"/>
          </w:p>
        </w:tc>
        <w:tc>
          <w:tcPr>
            <w:tcW w:w="429" w:type="dxa"/>
            <w:tcBorders>
              <w:bottom w:val="single" w:sz="4" w:space="0" w:color="auto"/>
            </w:tcBorders>
            <w:shd w:val="clear" w:color="auto" w:fill="auto"/>
            <w:vAlign w:val="center"/>
          </w:tcPr>
          <w:p w:rsidR="00CC19FC" w:rsidRPr="00653421" w:rsidRDefault="0033195D" w:rsidP="00BA1576">
            <w:pPr>
              <w:pStyle w:val="TableText"/>
              <w:widowControl w:val="0"/>
              <w:spacing w:before="30" w:after="30"/>
              <w:rPr>
                <w:b/>
                <w:color w:val="0000FF"/>
                <w:sz w:val="13"/>
                <w:szCs w:val="13"/>
                <w:u w:val="single"/>
              </w:rPr>
            </w:pPr>
            <w:hyperlink w:anchor="_6_Office_365_1" w:history="1">
              <w:r w:rsidR="00B0065F" w:rsidRPr="00653421">
                <w:rPr>
                  <w:rStyle w:val="Hyperlink"/>
                  <w:b/>
                  <w:sz w:val="13"/>
                  <w:szCs w:val="13"/>
                </w:rPr>
                <w:t>6</w:t>
              </w:r>
            </w:hyperlink>
            <w:hyperlink w:anchor="_65_Office_365" w:history="1"/>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CC19FC" w:rsidRPr="00734B50" w:rsidRDefault="00CC19FC" w:rsidP="00BA1576">
            <w:pPr>
              <w:pStyle w:val="Heading2"/>
              <w:spacing w:before="30" w:after="30"/>
              <w:ind w:left="0"/>
              <w:rPr>
                <w:rFonts w:ascii="Tahoma" w:hAnsi="Tahoma" w:cs="Tahoma"/>
                <w:b w:val="0"/>
                <w:sz w:val="14"/>
                <w:lang w:val="pt-BR"/>
              </w:rPr>
            </w:pPr>
            <w:bookmarkStart w:id="60" w:name="_Toc291024475"/>
            <w:bookmarkStart w:id="61" w:name="_Toc336337864"/>
            <w:bookmarkStart w:id="62" w:name="_Toc353470513"/>
            <w:r w:rsidRPr="00734B50">
              <w:rPr>
                <w:rFonts w:ascii="Tahoma" w:hAnsi="Tahoma" w:cs="Tahoma"/>
                <w:b w:val="0"/>
                <w:sz w:val="14"/>
                <w:lang w:val="pt-BR"/>
              </w:rPr>
              <w:t>Office 365 Enterprise E4 (SL de Usuário)</w:t>
            </w:r>
            <w:bookmarkEnd w:id="60"/>
            <w:bookmarkEnd w:id="61"/>
            <w:bookmarkEnd w:id="62"/>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b/>
                <w:color w:val="0000FF"/>
                <w:sz w:val="13"/>
                <w:szCs w:val="13"/>
                <w:u w:val="single"/>
              </w:rPr>
            </w:pPr>
            <w:hyperlink w:anchor="_6_Office_365_1" w:history="1">
              <w:r w:rsidR="00B0065F" w:rsidRPr="00653421">
                <w:rPr>
                  <w:rStyle w:val="Hyperlink"/>
                  <w:b/>
                  <w:sz w:val="13"/>
                  <w:szCs w:val="13"/>
                </w:rPr>
                <w:t>6</w:t>
              </w:r>
            </w:hyperlink>
            <w:hyperlink w:anchor="_65_Office_365" w:history="1"/>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r>
      <w:tr w:rsidR="00B33D0E" w:rsidRPr="00653421" w:rsidTr="00BA1576">
        <w:trPr>
          <w:cantSplit/>
          <w:trHeight w:val="287"/>
        </w:trPr>
        <w:tc>
          <w:tcPr>
            <w:tcW w:w="2638" w:type="dxa"/>
            <w:tcBorders>
              <w:bottom w:val="single" w:sz="4" w:space="0" w:color="auto"/>
            </w:tcBorders>
            <w:shd w:val="clear" w:color="auto" w:fill="auto"/>
            <w:vAlign w:val="center"/>
          </w:tcPr>
          <w:p w:rsidR="00CC19FC" w:rsidRPr="00734B50" w:rsidRDefault="00CC19FC" w:rsidP="00BA1576">
            <w:pPr>
              <w:pStyle w:val="Heading2"/>
              <w:spacing w:before="30" w:after="30"/>
              <w:ind w:left="0"/>
              <w:rPr>
                <w:rFonts w:ascii="Tahoma" w:hAnsi="Tahoma" w:cs="Tahoma"/>
                <w:b w:val="0"/>
                <w:sz w:val="14"/>
                <w:lang w:val="pt-BR"/>
              </w:rPr>
            </w:pPr>
            <w:bookmarkStart w:id="63" w:name="_Toc353470514"/>
            <w:r w:rsidRPr="00734B50">
              <w:rPr>
                <w:rFonts w:ascii="Tahoma" w:hAnsi="Tahoma" w:cs="Tahoma"/>
                <w:b w:val="0"/>
                <w:sz w:val="14"/>
                <w:lang w:val="pt-BR"/>
              </w:rPr>
              <w:t>Direitos de Uso Comercial do Office Home and Student RT 2013</w:t>
            </w:r>
            <w:bookmarkEnd w:id="63"/>
          </w:p>
        </w:tc>
        <w:tc>
          <w:tcPr>
            <w:tcW w:w="429" w:type="dxa"/>
            <w:tcBorders>
              <w:bottom w:val="single" w:sz="4" w:space="0" w:color="auto"/>
            </w:tcBorders>
            <w:shd w:val="clear" w:color="auto" w:fill="auto"/>
            <w:vAlign w:val="center"/>
          </w:tcPr>
          <w:p w:rsidR="00CC19FC" w:rsidRPr="00734B50" w:rsidRDefault="00CC19FC" w:rsidP="00BA1576">
            <w:pPr>
              <w:pStyle w:val="TableText"/>
              <w:widowControl w:val="0"/>
              <w:spacing w:before="30" w:after="30"/>
              <w:rPr>
                <w:b/>
                <w:color w:val="0000FF"/>
                <w:sz w:val="13"/>
                <w:szCs w:val="13"/>
                <w:u w:val="single"/>
                <w:lang w:val="pt-BR"/>
              </w:rPr>
            </w:pPr>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r>
      <w:tr w:rsidR="00EF228F" w:rsidRPr="00653421" w:rsidTr="00BA1576">
        <w:trPr>
          <w:cantSplit/>
          <w:trHeight w:val="287"/>
        </w:trPr>
        <w:tc>
          <w:tcPr>
            <w:tcW w:w="2638" w:type="dxa"/>
            <w:tcBorders>
              <w:bottom w:val="single" w:sz="4" w:space="0" w:color="auto"/>
            </w:tcBorders>
            <w:shd w:val="clear" w:color="auto" w:fill="FABF8F"/>
            <w:vAlign w:val="center"/>
          </w:tcPr>
          <w:p w:rsidR="00CC19FC" w:rsidRPr="00653421" w:rsidRDefault="00CC19FC" w:rsidP="00BA1576">
            <w:pPr>
              <w:pStyle w:val="Heading2"/>
              <w:spacing w:before="30" w:after="30"/>
              <w:ind w:left="0"/>
              <w:rPr>
                <w:rFonts w:ascii="Tahoma" w:hAnsi="Tahoma" w:cs="Tahoma"/>
                <w:b w:val="0"/>
                <w:sz w:val="14"/>
              </w:rPr>
            </w:pPr>
            <w:bookmarkStart w:id="64" w:name="_Toc336337865"/>
            <w:bookmarkStart w:id="65" w:name="_Toc353470515"/>
            <w:r w:rsidRPr="00653421">
              <w:rPr>
                <w:rFonts w:ascii="Tahoma" w:hAnsi="Tahoma" w:cs="Tahoma"/>
                <w:b w:val="0"/>
                <w:sz w:val="14"/>
              </w:rPr>
              <w:t>Office para Mac Standard 2011</w:t>
            </w:r>
            <w:bookmarkEnd w:id="64"/>
            <w:bookmarkEnd w:id="65"/>
            <w:r w:rsidRPr="00653421">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7_Office_para" w:history="1">
              <w:r w:rsidR="00B0065F" w:rsidRPr="00653421">
                <w:rPr>
                  <w:rStyle w:val="Hyperlink"/>
                  <w:b/>
                  <w:sz w:val="13"/>
                  <w:szCs w:val="13"/>
                </w:rPr>
                <w:t>7</w:t>
              </w:r>
            </w:hyperlink>
            <w:hyperlink w:anchor="_76_Office_for" w:history="1"/>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E</w:t>
            </w:r>
          </w:p>
        </w:tc>
        <w:tc>
          <w:tcPr>
            <w:tcW w:w="54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r>
      <w:tr w:rsidR="00B33D0E" w:rsidRPr="00653421" w:rsidTr="00BA1576">
        <w:trPr>
          <w:cantSplit/>
          <w:trHeight w:val="287"/>
        </w:trPr>
        <w:tc>
          <w:tcPr>
            <w:tcW w:w="2638" w:type="dxa"/>
            <w:tcBorders>
              <w:bottom w:val="single" w:sz="4" w:space="0" w:color="auto"/>
            </w:tcBorders>
            <w:shd w:val="clear" w:color="auto" w:fill="auto"/>
            <w:vAlign w:val="center"/>
          </w:tcPr>
          <w:p w:rsidR="00CC19FC" w:rsidRPr="00653421" w:rsidRDefault="00CC19FC" w:rsidP="00BA1576">
            <w:pPr>
              <w:pStyle w:val="Heading2"/>
              <w:spacing w:before="30" w:after="30"/>
              <w:ind w:left="0"/>
              <w:rPr>
                <w:rFonts w:ascii="Tahoma" w:hAnsi="Tahoma" w:cs="Tahoma"/>
                <w:b w:val="0"/>
                <w:sz w:val="14"/>
              </w:rPr>
            </w:pPr>
            <w:bookmarkStart w:id="66" w:name="_Office_Multi-Language_Pack"/>
            <w:bookmarkStart w:id="67" w:name="_Toc336337866"/>
            <w:bookmarkStart w:id="68" w:name="_Toc353470516"/>
            <w:bookmarkEnd w:id="66"/>
            <w:r w:rsidRPr="00653421">
              <w:rPr>
                <w:rFonts w:ascii="Tahoma" w:hAnsi="Tahoma" w:cs="Tahoma"/>
                <w:b w:val="0"/>
                <w:sz w:val="14"/>
              </w:rPr>
              <w:t xml:space="preserve">Pacote Multilíngue do Office </w:t>
            </w:r>
            <w:bookmarkEnd w:id="67"/>
            <w:r w:rsidRPr="00653421">
              <w:rPr>
                <w:rFonts w:ascii="Tahoma" w:hAnsi="Tahoma" w:cs="Tahoma"/>
                <w:b w:val="0"/>
                <w:sz w:val="14"/>
              </w:rPr>
              <w:t>2013</w:t>
            </w:r>
            <w:bookmarkEnd w:id="68"/>
          </w:p>
        </w:tc>
        <w:tc>
          <w:tcPr>
            <w:tcW w:w="429" w:type="dxa"/>
            <w:tcBorders>
              <w:bottom w:val="single" w:sz="4" w:space="0" w:color="auto"/>
            </w:tcBorders>
            <w:shd w:val="clear" w:color="auto" w:fill="auto"/>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8_Pacote_Multilíngue" w:history="1">
              <w:r w:rsidR="00B0065F" w:rsidRPr="00653421">
                <w:rPr>
                  <w:rStyle w:val="Hyperlink"/>
                  <w:b/>
                  <w:sz w:val="13"/>
                  <w:szCs w:val="13"/>
                </w:rPr>
                <w:t>8</w:t>
              </w:r>
            </w:hyperlink>
            <w:hyperlink w:anchor="_87_Office_Multi-Language" w:history="1"/>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r>
      <w:tr w:rsidR="00EF228F" w:rsidRPr="00653421" w:rsidTr="00BA1576">
        <w:trPr>
          <w:cantSplit/>
          <w:trHeight w:val="422"/>
        </w:trPr>
        <w:tc>
          <w:tcPr>
            <w:tcW w:w="2638" w:type="dxa"/>
            <w:tcBorders>
              <w:bottom w:val="single" w:sz="4" w:space="0" w:color="auto"/>
            </w:tcBorders>
            <w:shd w:val="clear" w:color="auto" w:fill="FABF8F"/>
            <w:vAlign w:val="center"/>
          </w:tcPr>
          <w:p w:rsidR="00CC19FC" w:rsidRPr="00653421" w:rsidRDefault="00CC19FC" w:rsidP="00BA1576">
            <w:pPr>
              <w:pStyle w:val="ProductNames"/>
              <w:spacing w:before="30" w:after="30"/>
              <w:rPr>
                <w:rFonts w:ascii="Tahoma" w:hAnsi="Tahoma" w:cs="Tahoma"/>
                <w:sz w:val="14"/>
              </w:rPr>
            </w:pPr>
            <w:bookmarkStart w:id="69" w:name="_Toc336337867"/>
            <w:bookmarkStart w:id="70" w:name="_Toc353470517"/>
            <w:r w:rsidRPr="00653421">
              <w:rPr>
                <w:rFonts w:ascii="Tahoma" w:hAnsi="Tahoma" w:cs="Tahoma"/>
                <w:sz w:val="14"/>
              </w:rPr>
              <w:t xml:space="preserve">Office Professional Plus </w:t>
            </w:r>
            <w:bookmarkEnd w:id="69"/>
            <w:r w:rsidRPr="00653421">
              <w:rPr>
                <w:rFonts w:ascii="Tahoma" w:hAnsi="Tahoma" w:cs="Tahoma"/>
                <w:sz w:val="14"/>
              </w:rPr>
              <w:t>2013</w:t>
            </w:r>
            <w:bookmarkEnd w:id="70"/>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9_Office_Professional" w:history="1">
              <w:r w:rsidR="00B0065F" w:rsidRPr="00653421">
                <w:rPr>
                  <w:rStyle w:val="Hyperlink"/>
                  <w:b/>
                  <w:sz w:val="13"/>
                  <w:szCs w:val="13"/>
                </w:rPr>
                <w:t>9</w:t>
              </w:r>
            </w:hyperlink>
            <w:hyperlink w:anchor="_98_Office_Professional" w:history="1"/>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E, P</w:t>
            </w:r>
          </w:p>
        </w:tc>
        <w:tc>
          <w:tcPr>
            <w:tcW w:w="63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E,ST</w:t>
            </w:r>
          </w:p>
        </w:tc>
        <w:tc>
          <w:tcPr>
            <w:tcW w:w="54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r>
      <w:tr w:rsidR="00B33D0E" w:rsidRPr="00653421" w:rsidTr="00BA1576">
        <w:trPr>
          <w:cantSplit/>
          <w:trHeight w:val="278"/>
        </w:trPr>
        <w:tc>
          <w:tcPr>
            <w:tcW w:w="2638" w:type="dxa"/>
            <w:tcBorders>
              <w:bottom w:val="single" w:sz="4" w:space="0" w:color="auto"/>
            </w:tcBorders>
            <w:shd w:val="clear" w:color="auto" w:fill="auto"/>
            <w:vAlign w:val="center"/>
          </w:tcPr>
          <w:p w:rsidR="00CC19FC" w:rsidRPr="00653421" w:rsidRDefault="00CC19FC" w:rsidP="00BA1576">
            <w:pPr>
              <w:pStyle w:val="Heading3"/>
              <w:spacing w:before="30" w:after="30"/>
              <w:rPr>
                <w:rFonts w:ascii="Tahoma" w:hAnsi="Tahoma" w:cs="Tahoma"/>
                <w:b w:val="0"/>
                <w:sz w:val="14"/>
              </w:rPr>
            </w:pPr>
            <w:bookmarkStart w:id="71" w:name="_Toc336337868"/>
            <w:bookmarkStart w:id="72" w:name="_Toc353470518"/>
            <w:r w:rsidRPr="00653421">
              <w:rPr>
                <w:rFonts w:ascii="Tahoma" w:hAnsi="Tahoma" w:cs="Tahoma"/>
                <w:b w:val="0"/>
                <w:sz w:val="14"/>
              </w:rPr>
              <w:t xml:space="preserve">Office Standard </w:t>
            </w:r>
            <w:bookmarkEnd w:id="71"/>
            <w:r w:rsidRPr="00653421">
              <w:rPr>
                <w:rFonts w:ascii="Tahoma" w:hAnsi="Tahoma" w:cs="Tahoma"/>
                <w:b w:val="0"/>
                <w:sz w:val="14"/>
              </w:rPr>
              <w:t>2013</w:t>
            </w:r>
            <w:bookmarkEnd w:id="72"/>
            <w:r w:rsidRPr="00653421">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10_Office_Standard" w:history="1">
              <w:r w:rsidR="00B0065F" w:rsidRPr="00653421">
                <w:rPr>
                  <w:rStyle w:val="Hyperlink"/>
                  <w:b/>
                  <w:sz w:val="13"/>
                  <w:szCs w:val="13"/>
                </w:rPr>
                <w:t>10</w:t>
              </w:r>
            </w:hyperlink>
            <w:hyperlink w:anchor="_109_Office_Standard" w:history="1"/>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b/>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r>
      <w:tr w:rsidR="00EF228F" w:rsidRPr="00653421" w:rsidTr="00BA1576">
        <w:trPr>
          <w:cantSplit/>
          <w:trHeight w:val="305"/>
        </w:trPr>
        <w:tc>
          <w:tcPr>
            <w:tcW w:w="2638" w:type="dxa"/>
            <w:tcBorders>
              <w:bottom w:val="single" w:sz="4" w:space="0" w:color="auto"/>
            </w:tcBorders>
            <w:shd w:val="clear" w:color="auto" w:fill="FABF8F"/>
          </w:tcPr>
          <w:p w:rsidR="00CC19FC" w:rsidRPr="00653421" w:rsidRDefault="00CC19FC" w:rsidP="00BA1576">
            <w:pPr>
              <w:pStyle w:val="Heading2"/>
              <w:spacing w:before="30" w:after="30"/>
              <w:ind w:left="0"/>
              <w:rPr>
                <w:rFonts w:ascii="Tahoma" w:hAnsi="Tahoma" w:cs="Tahoma"/>
                <w:b w:val="0"/>
                <w:sz w:val="14"/>
              </w:rPr>
            </w:pPr>
            <w:bookmarkStart w:id="73" w:name="_Toc336337869"/>
            <w:bookmarkStart w:id="74" w:name="_Toc353470519"/>
            <w:r w:rsidRPr="00653421">
              <w:rPr>
                <w:rFonts w:ascii="Tahoma" w:hAnsi="Tahoma" w:cs="Tahoma"/>
                <w:b w:val="0"/>
                <w:sz w:val="14"/>
              </w:rPr>
              <w:t>Office 365 ProPlus (SL de Usuário)</w:t>
            </w:r>
            <w:bookmarkEnd w:id="73"/>
            <w:bookmarkEnd w:id="74"/>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b/>
                <w:color w:val="0000FF"/>
                <w:sz w:val="13"/>
                <w:szCs w:val="13"/>
                <w:u w:val="single"/>
              </w:rPr>
            </w:pPr>
            <w:hyperlink w:anchor="_11_Office_365" w:history="1">
              <w:r w:rsidR="00955428" w:rsidRPr="00653421">
                <w:rPr>
                  <w:rStyle w:val="Hyperlink"/>
                  <w:b/>
                  <w:sz w:val="13"/>
                  <w:szCs w:val="13"/>
                </w:rPr>
                <w:t>11</w:t>
              </w:r>
            </w:hyperlink>
            <w:hyperlink w:anchor="Aps_9OfficeProPlusSubUserSL" w:history="1"/>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2253A3" w:rsidRPr="00653421" w:rsidTr="00BA1576">
        <w:trPr>
          <w:cantSplit/>
          <w:trHeight w:val="305"/>
        </w:trPr>
        <w:tc>
          <w:tcPr>
            <w:tcW w:w="2638" w:type="dxa"/>
            <w:tcBorders>
              <w:bottom w:val="single" w:sz="4" w:space="0" w:color="auto"/>
            </w:tcBorders>
            <w:shd w:val="clear" w:color="auto" w:fill="auto"/>
            <w:vAlign w:val="center"/>
          </w:tcPr>
          <w:p w:rsidR="003418C5" w:rsidRPr="00734B50" w:rsidRDefault="003418C5" w:rsidP="00BA1576">
            <w:pPr>
              <w:pStyle w:val="Heading2"/>
              <w:spacing w:before="30" w:after="30"/>
              <w:ind w:left="0"/>
              <w:rPr>
                <w:rFonts w:ascii="Tahoma" w:hAnsi="Tahoma" w:cs="Tahoma"/>
                <w:b w:val="0"/>
                <w:sz w:val="14"/>
                <w:lang w:val="fr-FR"/>
              </w:rPr>
            </w:pPr>
            <w:bookmarkStart w:id="75" w:name="_Toc353470520"/>
            <w:r w:rsidRPr="00734B50">
              <w:rPr>
                <w:rFonts w:ascii="Tahoma" w:hAnsi="Tahoma" w:cs="Tahoma"/>
                <w:b w:val="0"/>
                <w:sz w:val="14"/>
                <w:lang w:val="fr-FR"/>
              </w:rPr>
              <w:t xml:space="preserve">Office 365 ProPlus SA Transition </w:t>
            </w:r>
            <w:r w:rsidR="00850085" w:rsidRPr="00734B50">
              <w:rPr>
                <w:rFonts w:ascii="Tahoma" w:hAnsi="Tahoma" w:cs="Tahoma"/>
                <w:b w:val="0"/>
                <w:sz w:val="14"/>
                <w:lang w:val="fr-FR"/>
              </w:rPr>
              <w:br/>
            </w:r>
            <w:r w:rsidRPr="00734B50">
              <w:rPr>
                <w:rFonts w:ascii="Tahoma" w:hAnsi="Tahoma" w:cs="Tahoma"/>
                <w:b w:val="0"/>
                <w:sz w:val="14"/>
                <w:lang w:val="fr-FR"/>
              </w:rPr>
              <w:t>(SL de Usuário)</w:t>
            </w:r>
            <w:bookmarkEnd w:id="75"/>
          </w:p>
        </w:tc>
        <w:tc>
          <w:tcPr>
            <w:tcW w:w="429" w:type="dxa"/>
            <w:tcBorders>
              <w:bottom w:val="single" w:sz="4" w:space="0" w:color="auto"/>
            </w:tcBorders>
            <w:shd w:val="clear" w:color="auto" w:fill="auto"/>
            <w:vAlign w:val="center"/>
          </w:tcPr>
          <w:p w:rsidR="003418C5" w:rsidRPr="00653421" w:rsidRDefault="0033195D" w:rsidP="00BA1576">
            <w:pPr>
              <w:pStyle w:val="TableText"/>
              <w:widowControl w:val="0"/>
              <w:spacing w:before="30" w:after="30"/>
              <w:rPr>
                <w:b/>
                <w:color w:val="0000FF"/>
                <w:sz w:val="13"/>
                <w:szCs w:val="13"/>
                <w:u w:val="single"/>
              </w:rPr>
            </w:pPr>
            <w:hyperlink w:anchor="_110_Office_365" w:history="1">
              <w:r w:rsidR="00955428" w:rsidRPr="00653421">
                <w:rPr>
                  <w:rStyle w:val="Hyperlink"/>
                  <w:b/>
                  <w:sz w:val="13"/>
                  <w:szCs w:val="13"/>
                </w:rPr>
                <w:t>11</w:t>
              </w:r>
            </w:hyperlink>
          </w:p>
        </w:tc>
        <w:tc>
          <w:tcPr>
            <w:tcW w:w="429" w:type="dxa"/>
            <w:tcBorders>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r w:rsidRPr="00653421">
              <w:rPr>
                <w:rFonts w:ascii="Tahoma"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370" w:type="dxa"/>
            <w:tcBorders>
              <w:left w:val="single" w:sz="18" w:space="0" w:color="auto"/>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r w:rsidRPr="00653421">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630" w:type="dxa"/>
            <w:tcBorders>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3418C5" w:rsidRPr="00653421" w:rsidRDefault="003418C5" w:rsidP="00BA1576">
            <w:pPr>
              <w:pStyle w:val="TableText"/>
              <w:spacing w:before="30" w:after="30"/>
              <w:rPr>
                <w:rFonts w:ascii="Tahoma" w:hAnsi="Tahoma" w:cs="Tahoma"/>
                <w:sz w:val="13"/>
              </w:rPr>
            </w:pPr>
          </w:p>
        </w:tc>
      </w:tr>
      <w:tr w:rsidR="00EF228F" w:rsidRPr="00653421" w:rsidTr="00BA1576">
        <w:trPr>
          <w:cantSplit/>
          <w:trHeight w:val="305"/>
        </w:trPr>
        <w:tc>
          <w:tcPr>
            <w:tcW w:w="2638" w:type="dxa"/>
            <w:tcBorders>
              <w:bottom w:val="single" w:sz="4" w:space="0" w:color="auto"/>
            </w:tcBorders>
            <w:shd w:val="clear" w:color="auto" w:fill="FABF8F"/>
            <w:vAlign w:val="center"/>
          </w:tcPr>
          <w:p w:rsidR="00CC19FC" w:rsidRPr="00734B50" w:rsidRDefault="00CC19FC" w:rsidP="00BA1576">
            <w:pPr>
              <w:pStyle w:val="Heading2"/>
              <w:spacing w:before="30" w:after="30"/>
              <w:ind w:left="0"/>
              <w:rPr>
                <w:rFonts w:ascii="Tahoma" w:hAnsi="Tahoma" w:cs="Tahoma"/>
                <w:b w:val="0"/>
                <w:sz w:val="14"/>
                <w:lang w:val="pt-BR"/>
              </w:rPr>
            </w:pPr>
            <w:bookmarkStart w:id="76" w:name="_Toc336337870"/>
            <w:bookmarkStart w:id="77" w:name="_Toc353470521"/>
            <w:r w:rsidRPr="00734B50">
              <w:rPr>
                <w:rFonts w:ascii="Tahoma" w:hAnsi="Tahoma" w:cs="Tahoma"/>
                <w:b w:val="0"/>
                <w:sz w:val="14"/>
                <w:lang w:val="pt-BR"/>
              </w:rPr>
              <w:lastRenderedPageBreak/>
              <w:t>Assinatura A do Office Professional Plus (SL de Usuário)</w:t>
            </w:r>
            <w:bookmarkEnd w:id="76"/>
            <w:bookmarkEnd w:id="77"/>
          </w:p>
        </w:tc>
        <w:tc>
          <w:tcPr>
            <w:tcW w:w="429" w:type="dxa"/>
            <w:tcBorders>
              <w:bottom w:val="single" w:sz="4" w:space="0" w:color="auto"/>
            </w:tcBorders>
            <w:shd w:val="clear" w:color="auto" w:fill="FABF8F"/>
            <w:vAlign w:val="center"/>
          </w:tcPr>
          <w:p w:rsidR="00CC19FC" w:rsidRPr="00734B50" w:rsidRDefault="00CC19FC" w:rsidP="00BA1576">
            <w:pPr>
              <w:pStyle w:val="TableText"/>
              <w:widowControl w:val="0"/>
              <w:spacing w:before="30" w:after="30"/>
              <w:rPr>
                <w:color w:val="0000FF"/>
                <w:sz w:val="13"/>
                <w:szCs w:val="13"/>
                <w:u w:val="single"/>
                <w:lang w:val="pt-BR"/>
              </w:rPr>
            </w:pPr>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E (Somente EES)</w:t>
            </w: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792825" w:rsidRPr="00653421" w:rsidTr="00BA1576">
        <w:trPr>
          <w:cantSplit/>
          <w:trHeight w:val="305"/>
        </w:trPr>
        <w:tc>
          <w:tcPr>
            <w:tcW w:w="2638" w:type="dxa"/>
            <w:tcBorders>
              <w:bottom w:val="single" w:sz="4" w:space="0" w:color="auto"/>
            </w:tcBorders>
            <w:shd w:val="clear" w:color="auto" w:fill="auto"/>
            <w:vAlign w:val="center"/>
          </w:tcPr>
          <w:p w:rsidR="00CC19FC" w:rsidRPr="00653421" w:rsidRDefault="00CC19FC" w:rsidP="00BA1576">
            <w:pPr>
              <w:pStyle w:val="Heading2"/>
              <w:spacing w:before="30" w:after="30"/>
              <w:ind w:left="0"/>
              <w:rPr>
                <w:rFonts w:ascii="Tahoma" w:hAnsi="Tahoma" w:cs="Tahoma"/>
                <w:b w:val="0"/>
                <w:sz w:val="14"/>
              </w:rPr>
            </w:pPr>
            <w:bookmarkStart w:id="78" w:name="_Toc336337873"/>
            <w:bookmarkStart w:id="79" w:name="_Toc353470522"/>
            <w:r w:rsidRPr="00653421">
              <w:rPr>
                <w:rFonts w:ascii="Tahoma" w:hAnsi="Tahoma" w:cs="Tahoma"/>
                <w:b w:val="0"/>
                <w:sz w:val="14"/>
              </w:rPr>
              <w:t>OneNote</w:t>
            </w:r>
            <w:r w:rsidRPr="00653421">
              <w:rPr>
                <w:rFonts w:ascii="Tahoma" w:hAnsi="Tahoma" w:cs="Tahoma"/>
                <w:b w:val="0"/>
                <w:sz w:val="14"/>
                <w:vertAlign w:val="superscript"/>
              </w:rPr>
              <w:t>®</w:t>
            </w:r>
            <w:r w:rsidRPr="00653421">
              <w:rPr>
                <w:rFonts w:ascii="Tahoma" w:hAnsi="Tahoma" w:cs="Tahoma"/>
                <w:b w:val="0"/>
                <w:sz w:val="14"/>
              </w:rPr>
              <w:t xml:space="preserve"> </w:t>
            </w:r>
            <w:bookmarkEnd w:id="78"/>
            <w:r w:rsidRPr="00653421">
              <w:rPr>
                <w:rFonts w:ascii="Tahoma" w:hAnsi="Tahoma" w:cs="Tahoma"/>
                <w:b w:val="0"/>
                <w:sz w:val="14"/>
              </w:rPr>
              <w:t>2013</w:t>
            </w:r>
            <w:bookmarkEnd w:id="79"/>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350"/>
        </w:trPr>
        <w:tc>
          <w:tcPr>
            <w:tcW w:w="2638" w:type="dxa"/>
            <w:tcBorders>
              <w:bottom w:val="single" w:sz="4" w:space="0" w:color="auto"/>
            </w:tcBorders>
            <w:shd w:val="clear" w:color="auto" w:fill="FABF8F"/>
            <w:vAlign w:val="center"/>
          </w:tcPr>
          <w:p w:rsidR="00CC19FC" w:rsidRPr="00653421" w:rsidRDefault="00CC19FC" w:rsidP="00BA1576">
            <w:pPr>
              <w:pStyle w:val="Heading2"/>
              <w:spacing w:before="30" w:after="30"/>
              <w:ind w:left="0"/>
              <w:rPr>
                <w:rFonts w:ascii="Tahoma" w:hAnsi="Tahoma" w:cs="Tahoma"/>
                <w:b w:val="0"/>
                <w:sz w:val="14"/>
              </w:rPr>
            </w:pPr>
            <w:bookmarkStart w:id="80" w:name="_Toc336337874"/>
            <w:bookmarkStart w:id="81" w:name="_Toc353470523"/>
            <w:r w:rsidRPr="00653421">
              <w:rPr>
                <w:rFonts w:ascii="Tahoma" w:hAnsi="Tahoma" w:cs="Tahoma"/>
                <w:b w:val="0"/>
                <w:sz w:val="14"/>
              </w:rPr>
              <w:t>Outlook</w:t>
            </w:r>
            <w:r w:rsidRPr="00653421">
              <w:rPr>
                <w:rFonts w:ascii="Tahoma" w:hAnsi="Tahoma" w:cs="Tahoma"/>
                <w:b w:val="0"/>
                <w:sz w:val="14"/>
                <w:vertAlign w:val="superscript"/>
              </w:rPr>
              <w:t>®</w:t>
            </w:r>
            <w:r w:rsidRPr="00653421">
              <w:rPr>
                <w:rFonts w:ascii="Tahoma" w:hAnsi="Tahoma" w:cs="Tahoma"/>
                <w:b w:val="0"/>
                <w:sz w:val="14"/>
              </w:rPr>
              <w:t xml:space="preserve"> </w:t>
            </w:r>
            <w:bookmarkEnd w:id="80"/>
            <w:r w:rsidRPr="00653421">
              <w:rPr>
                <w:rFonts w:ascii="Tahoma" w:hAnsi="Tahoma" w:cs="Tahoma"/>
                <w:b w:val="0"/>
                <w:sz w:val="14"/>
              </w:rPr>
              <w:t>2013</w:t>
            </w:r>
            <w:bookmarkEnd w:id="81"/>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CC19FC" w:rsidRPr="00653421" w:rsidTr="00BA1576">
        <w:trPr>
          <w:cantSplit/>
          <w:trHeight w:val="305"/>
        </w:trPr>
        <w:tc>
          <w:tcPr>
            <w:tcW w:w="2638" w:type="dxa"/>
            <w:tcBorders>
              <w:bottom w:val="single" w:sz="4" w:space="0" w:color="auto"/>
            </w:tcBorders>
            <w:shd w:val="clear" w:color="auto" w:fill="auto"/>
            <w:vAlign w:val="center"/>
          </w:tcPr>
          <w:p w:rsidR="00CC19FC" w:rsidRPr="00653421" w:rsidRDefault="00CC19FC" w:rsidP="00BA1576">
            <w:pPr>
              <w:pStyle w:val="Heading2"/>
              <w:spacing w:before="30" w:after="30"/>
              <w:ind w:left="0"/>
              <w:rPr>
                <w:rFonts w:ascii="Tahoma" w:hAnsi="Tahoma" w:cs="Tahoma"/>
                <w:b w:val="0"/>
                <w:sz w:val="16"/>
                <w:szCs w:val="16"/>
              </w:rPr>
            </w:pPr>
            <w:bookmarkStart w:id="82" w:name="_Toc336337875"/>
            <w:bookmarkStart w:id="83" w:name="_Toc353470524"/>
            <w:r w:rsidRPr="00653421">
              <w:rPr>
                <w:rFonts w:ascii="Tahoma" w:hAnsi="Tahoma" w:cs="Tahoma"/>
                <w:b w:val="0"/>
                <w:sz w:val="14"/>
                <w:szCs w:val="16"/>
              </w:rPr>
              <w:t xml:space="preserve">Outlook </w:t>
            </w:r>
            <w:bookmarkEnd w:id="82"/>
            <w:r w:rsidRPr="00653421">
              <w:rPr>
                <w:rFonts w:ascii="Tahoma" w:hAnsi="Tahoma" w:cs="Tahoma"/>
                <w:b w:val="0"/>
                <w:sz w:val="14"/>
                <w:szCs w:val="16"/>
              </w:rPr>
              <w:t>para Mac 2011</w:t>
            </w:r>
            <w:bookmarkEnd w:id="83"/>
          </w:p>
        </w:tc>
        <w:tc>
          <w:tcPr>
            <w:tcW w:w="429" w:type="dxa"/>
            <w:tcBorders>
              <w:bottom w:val="single" w:sz="4" w:space="0" w:color="auto"/>
            </w:tcBorders>
            <w:shd w:val="clear" w:color="auto" w:fill="auto"/>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12_Outlook_para" w:history="1">
              <w:r w:rsidR="00955428" w:rsidRPr="00653421">
                <w:rPr>
                  <w:rStyle w:val="Hyperlink"/>
                  <w:b/>
                  <w:sz w:val="13"/>
                  <w:szCs w:val="13"/>
                </w:rPr>
                <w:t>12</w:t>
              </w:r>
            </w:hyperlink>
            <w:hyperlink w:anchor="Srv_9OutlookMac2011" w:history="1"/>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Fonts w:ascii="Tahoma" w:hAnsi="Tahoma" w:cs="Tahoma"/>
                <w:sz w:val="13"/>
              </w:rPr>
            </w:pPr>
          </w:p>
        </w:tc>
      </w:tr>
      <w:tr w:rsidR="00EF228F" w:rsidRPr="00653421" w:rsidTr="00BA1576">
        <w:trPr>
          <w:cantSplit/>
          <w:trHeight w:val="305"/>
        </w:trPr>
        <w:tc>
          <w:tcPr>
            <w:tcW w:w="2638" w:type="dxa"/>
            <w:tcBorders>
              <w:bottom w:val="single" w:sz="4" w:space="0" w:color="auto"/>
            </w:tcBorders>
            <w:shd w:val="clear" w:color="auto" w:fill="FABF8F"/>
            <w:vAlign w:val="center"/>
          </w:tcPr>
          <w:p w:rsidR="00CC19FC" w:rsidRPr="00653421" w:rsidRDefault="00CC19FC" w:rsidP="00BA1576">
            <w:pPr>
              <w:pStyle w:val="Heading3"/>
              <w:spacing w:before="30" w:after="30"/>
              <w:rPr>
                <w:rFonts w:ascii="Tahoma" w:hAnsi="Tahoma" w:cs="Tahoma"/>
                <w:b w:val="0"/>
                <w:sz w:val="14"/>
              </w:rPr>
            </w:pPr>
            <w:bookmarkStart w:id="84" w:name="_Toc353470525"/>
            <w:r w:rsidRPr="00653421">
              <w:rPr>
                <w:rFonts w:ascii="Tahoma" w:hAnsi="Tahoma" w:cs="Tahoma"/>
                <w:b w:val="0"/>
                <w:sz w:val="14"/>
              </w:rPr>
              <w:t>PowerPoint 2013</w:t>
            </w:r>
            <w:bookmarkEnd w:id="84"/>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FFFFF"/>
          </w:tcPr>
          <w:p w:rsidR="00CC19FC" w:rsidRPr="00653421" w:rsidRDefault="00CC19FC" w:rsidP="00BA1576">
            <w:pPr>
              <w:pStyle w:val="Heading3"/>
              <w:spacing w:before="30" w:after="30"/>
              <w:rPr>
                <w:rFonts w:ascii="Tahoma" w:hAnsi="Tahoma" w:cs="Tahoma"/>
                <w:b w:val="0"/>
                <w:sz w:val="14"/>
              </w:rPr>
            </w:pPr>
            <w:bookmarkStart w:id="85" w:name="_Toc336337878"/>
            <w:bookmarkStart w:id="86" w:name="_Toc353470526"/>
            <w:r w:rsidRPr="00653421">
              <w:rPr>
                <w:rFonts w:ascii="Tahoma" w:hAnsi="Tahoma" w:cs="Tahoma"/>
                <w:b w:val="0"/>
                <w:sz w:val="14"/>
              </w:rPr>
              <w:t>PowerPoint para Mac 2011</w:t>
            </w:r>
            <w:bookmarkEnd w:id="85"/>
            <w:bookmarkEnd w:id="86"/>
          </w:p>
        </w:tc>
        <w:tc>
          <w:tcPr>
            <w:tcW w:w="429" w:type="dxa"/>
            <w:tcBorders>
              <w:bottom w:val="single" w:sz="4" w:space="0" w:color="auto"/>
            </w:tcBorders>
            <w:shd w:val="clear" w:color="auto" w:fill="FFFFFF"/>
            <w:vAlign w:val="center"/>
          </w:tcPr>
          <w:p w:rsidR="00CC19FC" w:rsidRPr="00653421" w:rsidRDefault="00CC19FC" w:rsidP="00BA1576">
            <w:pPr>
              <w:pStyle w:val="TableText"/>
              <w:widowControl w:val="0"/>
              <w:spacing w:before="30" w:after="30"/>
              <w:rPr>
                <w:rStyle w:val="EndnoteReference"/>
                <w:color w:val="0000FF"/>
                <w:sz w:val="13"/>
                <w:szCs w:val="13"/>
                <w:u w:val="single"/>
              </w:rPr>
            </w:pPr>
          </w:p>
        </w:tc>
        <w:tc>
          <w:tcPr>
            <w:tcW w:w="429"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ABF8F"/>
          </w:tcPr>
          <w:p w:rsidR="00CC19FC" w:rsidRPr="00653421" w:rsidRDefault="00CC19FC" w:rsidP="00BA1576">
            <w:pPr>
              <w:pStyle w:val="Heading3"/>
              <w:spacing w:before="30" w:after="30"/>
              <w:rPr>
                <w:rFonts w:ascii="Tahoma" w:hAnsi="Tahoma" w:cs="Tahoma"/>
                <w:b w:val="0"/>
                <w:sz w:val="14"/>
              </w:rPr>
            </w:pPr>
            <w:bookmarkStart w:id="87" w:name="_Toc336337879"/>
            <w:bookmarkStart w:id="88" w:name="_Toc353470527"/>
            <w:r w:rsidRPr="00653421">
              <w:rPr>
                <w:rFonts w:ascii="Tahoma" w:hAnsi="Tahoma" w:cs="Tahoma"/>
                <w:b w:val="0"/>
                <w:sz w:val="14"/>
              </w:rPr>
              <w:t>Project 2013 Standard</w:t>
            </w:r>
            <w:bookmarkEnd w:id="87"/>
            <w:bookmarkEnd w:id="88"/>
            <w:r w:rsidRPr="00653421">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FFFFF"/>
          </w:tcPr>
          <w:p w:rsidR="00CC19FC" w:rsidRPr="00653421" w:rsidRDefault="00CC19FC" w:rsidP="00BA1576">
            <w:pPr>
              <w:pStyle w:val="Heading3"/>
              <w:spacing w:before="30" w:after="30"/>
              <w:rPr>
                <w:rFonts w:ascii="Tahoma" w:hAnsi="Tahoma" w:cs="Tahoma"/>
                <w:b w:val="0"/>
                <w:sz w:val="14"/>
              </w:rPr>
            </w:pPr>
            <w:bookmarkStart w:id="89" w:name="_Toc336337880"/>
            <w:bookmarkStart w:id="90" w:name="_Toc353470528"/>
            <w:r w:rsidRPr="00653421">
              <w:rPr>
                <w:rFonts w:ascii="Tahoma" w:hAnsi="Tahoma" w:cs="Tahoma"/>
                <w:b w:val="0"/>
                <w:sz w:val="14"/>
              </w:rPr>
              <w:t>Project 2013 Professional</w:t>
            </w:r>
            <w:bookmarkEnd w:id="89"/>
            <w:bookmarkEnd w:id="90"/>
            <w:r w:rsidRPr="00653421">
              <w:rPr>
                <w:rFonts w:ascii="Tahoma" w:hAnsi="Tahoma" w:cs="Tahoma"/>
                <w:b w:val="0"/>
                <w:sz w:val="14"/>
              </w:rPr>
              <w:t xml:space="preserve"> </w:t>
            </w:r>
          </w:p>
        </w:tc>
        <w:tc>
          <w:tcPr>
            <w:tcW w:w="429" w:type="dxa"/>
            <w:tcBorders>
              <w:bottom w:val="single" w:sz="4" w:space="0" w:color="auto"/>
            </w:tcBorders>
            <w:shd w:val="clear" w:color="auto" w:fill="FFFFFF"/>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13_Project_2013" w:history="1">
              <w:r w:rsidR="00955428" w:rsidRPr="00653421">
                <w:rPr>
                  <w:rStyle w:val="Hyperlink"/>
                  <w:b/>
                  <w:sz w:val="13"/>
                  <w:szCs w:val="13"/>
                </w:rPr>
                <w:t>13</w:t>
              </w:r>
            </w:hyperlink>
          </w:p>
        </w:tc>
        <w:tc>
          <w:tcPr>
            <w:tcW w:w="429"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4</w:t>
            </w:r>
          </w:p>
        </w:tc>
        <w:tc>
          <w:tcPr>
            <w:tcW w:w="36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10</w:t>
            </w:r>
          </w:p>
        </w:tc>
        <w:tc>
          <w:tcPr>
            <w:tcW w:w="36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8</w:t>
            </w:r>
          </w:p>
        </w:tc>
        <w:tc>
          <w:tcPr>
            <w:tcW w:w="45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6</w:t>
            </w:r>
          </w:p>
        </w:tc>
        <w:tc>
          <w:tcPr>
            <w:tcW w:w="45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6</w:t>
            </w:r>
          </w:p>
        </w:tc>
        <w:tc>
          <w:tcPr>
            <w:tcW w:w="45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4</w:t>
            </w:r>
          </w:p>
        </w:tc>
        <w:tc>
          <w:tcPr>
            <w:tcW w:w="450" w:type="dxa"/>
            <w:tcBorders>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2</w:t>
            </w:r>
          </w:p>
        </w:tc>
        <w:tc>
          <w:tcPr>
            <w:tcW w:w="360" w:type="dxa"/>
            <w:tcBorders>
              <w:left w:val="single" w:sz="18" w:space="0" w:color="auto"/>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4</w:t>
            </w:r>
          </w:p>
        </w:tc>
        <w:tc>
          <w:tcPr>
            <w:tcW w:w="45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8</w:t>
            </w:r>
          </w:p>
        </w:tc>
        <w:tc>
          <w:tcPr>
            <w:tcW w:w="450" w:type="dxa"/>
            <w:tcBorders>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4</w:t>
            </w:r>
          </w:p>
        </w:tc>
        <w:tc>
          <w:tcPr>
            <w:tcW w:w="450" w:type="dxa"/>
            <w:tcBorders>
              <w:left w:val="single" w:sz="18" w:space="0" w:color="auto"/>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 AO, ST</w:t>
            </w:r>
          </w:p>
        </w:tc>
        <w:tc>
          <w:tcPr>
            <w:tcW w:w="540" w:type="dxa"/>
            <w:tcBorders>
              <w:bottom w:val="single" w:sz="4" w:space="0" w:color="auto"/>
            </w:tcBorders>
            <w:shd w:val="clear" w:color="auto" w:fill="FFFFFF"/>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ABF8F"/>
          </w:tcPr>
          <w:p w:rsidR="00CC19FC" w:rsidRPr="00653421" w:rsidRDefault="00C24CBE" w:rsidP="00BA1576">
            <w:pPr>
              <w:pStyle w:val="Heading3"/>
              <w:spacing w:before="30" w:after="30"/>
              <w:rPr>
                <w:rFonts w:ascii="Tahoma" w:hAnsi="Tahoma" w:cs="Tahoma"/>
                <w:b w:val="0"/>
                <w:sz w:val="14"/>
              </w:rPr>
            </w:pPr>
            <w:bookmarkStart w:id="91" w:name="_Toc353470529"/>
            <w:r w:rsidRPr="00653421">
              <w:rPr>
                <w:rFonts w:ascii="Tahoma" w:hAnsi="Tahoma" w:cs="Tahoma"/>
                <w:b w:val="0"/>
                <w:sz w:val="14"/>
              </w:rPr>
              <w:t>Project Pro para Office 365</w:t>
            </w:r>
            <w:bookmarkEnd w:id="91"/>
            <w:r w:rsidR="005A52A2" w:rsidRPr="00653421">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b/>
                <w:color w:val="0000FF"/>
                <w:sz w:val="13"/>
                <w:szCs w:val="13"/>
                <w:u w:val="single"/>
              </w:rPr>
            </w:pPr>
            <w:hyperlink w:anchor="_14_Project_Pro" w:history="1">
              <w:r w:rsidR="00955428" w:rsidRPr="00653421">
                <w:rPr>
                  <w:rStyle w:val="Hyperlink"/>
                  <w:b/>
                  <w:sz w:val="13"/>
                  <w:szCs w:val="13"/>
                </w:rPr>
                <w:t>14</w:t>
              </w:r>
            </w:hyperlink>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CC19FC" w:rsidRPr="00653421" w:rsidTr="00BA1576">
        <w:trPr>
          <w:cantSplit/>
          <w:trHeight w:val="145"/>
        </w:trPr>
        <w:tc>
          <w:tcPr>
            <w:tcW w:w="2638" w:type="dxa"/>
            <w:tcBorders>
              <w:bottom w:val="single" w:sz="4" w:space="0" w:color="auto"/>
            </w:tcBorders>
            <w:shd w:val="clear" w:color="auto" w:fill="auto"/>
          </w:tcPr>
          <w:p w:rsidR="00CC19FC" w:rsidRPr="00653421" w:rsidRDefault="00CC19FC" w:rsidP="00BA1576">
            <w:pPr>
              <w:pStyle w:val="Heading3"/>
              <w:spacing w:before="30" w:after="30"/>
              <w:rPr>
                <w:rFonts w:ascii="Tahoma" w:hAnsi="Tahoma" w:cs="Tahoma"/>
                <w:b w:val="0"/>
                <w:sz w:val="14"/>
              </w:rPr>
            </w:pPr>
            <w:bookmarkStart w:id="92" w:name="_Toc353470530"/>
            <w:r w:rsidRPr="00653421">
              <w:rPr>
                <w:rFonts w:ascii="Tahoma" w:hAnsi="Tahoma" w:cs="Tahoma"/>
                <w:b w:val="0"/>
                <w:sz w:val="14"/>
              </w:rPr>
              <w:t>Project Pro para Office 365 A</w:t>
            </w:r>
            <w:bookmarkEnd w:id="92"/>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b/>
                <w:color w:val="0000FF"/>
                <w:sz w:val="13"/>
                <w:szCs w:val="13"/>
                <w:u w:val="single"/>
              </w:rPr>
            </w:pPr>
          </w:p>
        </w:tc>
        <w:tc>
          <w:tcPr>
            <w:tcW w:w="429"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CC19FC" w:rsidRPr="00653421" w:rsidRDefault="00C24CBE" w:rsidP="00BA1576">
            <w:pPr>
              <w:pStyle w:val="TableText"/>
              <w:spacing w:before="30" w:after="30"/>
              <w:rPr>
                <w:rFonts w:ascii="Tahoma" w:hAnsi="Tahoma" w:cs="Tahoma"/>
                <w:sz w:val="13"/>
                <w:szCs w:val="13"/>
              </w:rPr>
            </w:pPr>
            <w:r w:rsidRPr="0065342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630" w:type="dxa"/>
            <w:tcBorders>
              <w:bottom w:val="single" w:sz="4" w:space="0" w:color="auto"/>
            </w:tcBorders>
            <w:shd w:val="clear" w:color="auto" w:fill="auto"/>
            <w:vAlign w:val="center"/>
          </w:tcPr>
          <w:p w:rsidR="00CC19FC" w:rsidRPr="00653421" w:rsidRDefault="00573BA8" w:rsidP="00BA1576">
            <w:pPr>
              <w:pStyle w:val="TableText"/>
              <w:spacing w:before="30" w:after="30"/>
              <w:rPr>
                <w:rFonts w:ascii="Tahoma" w:hAnsi="Tahoma" w:cs="Tahoma"/>
                <w:sz w:val="13"/>
              </w:rPr>
            </w:pPr>
            <w:r w:rsidRPr="00653421">
              <w:rPr>
                <w:rFonts w:ascii="Tahoma" w:hAnsi="Tahoma" w:cs="Tahoma"/>
                <w:sz w:val="13"/>
              </w:rPr>
              <w:t>A, ST (Somente EES)</w:t>
            </w:r>
          </w:p>
        </w:tc>
        <w:tc>
          <w:tcPr>
            <w:tcW w:w="54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ABF8F"/>
          </w:tcPr>
          <w:p w:rsidR="00CC19FC" w:rsidRPr="00653421" w:rsidRDefault="00CC19FC" w:rsidP="00BA1576">
            <w:pPr>
              <w:pStyle w:val="Heading3"/>
              <w:spacing w:before="30" w:after="30"/>
              <w:rPr>
                <w:rFonts w:ascii="Tahoma" w:hAnsi="Tahoma" w:cs="Tahoma"/>
                <w:b w:val="0"/>
                <w:sz w:val="14"/>
              </w:rPr>
            </w:pPr>
            <w:bookmarkStart w:id="93" w:name="_Toc353470531"/>
            <w:r w:rsidRPr="00653421">
              <w:rPr>
                <w:rFonts w:ascii="Tahoma" w:hAnsi="Tahoma" w:cs="Tahoma"/>
                <w:b w:val="0"/>
                <w:sz w:val="14"/>
              </w:rPr>
              <w:t>Publisher 2013</w:t>
            </w:r>
            <w:bookmarkEnd w:id="93"/>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b/>
                <w:color w:val="0000FF"/>
                <w:sz w:val="13"/>
                <w:szCs w:val="13"/>
                <w:u w:val="single"/>
              </w:rPr>
            </w:pPr>
            <w:bookmarkStart w:id="94" w:name="_Hlt335908485"/>
          </w:p>
        </w:tc>
        <w:bookmarkEnd w:id="94"/>
        <w:tc>
          <w:tcPr>
            <w:tcW w:w="429" w:type="dxa"/>
            <w:tcBorders>
              <w:bottom w:val="single" w:sz="4" w:space="0" w:color="auto"/>
            </w:tcBorders>
            <w:shd w:val="clear" w:color="auto" w:fill="FABF8F"/>
            <w:vAlign w:val="center"/>
          </w:tcPr>
          <w:p w:rsidR="00CC19FC" w:rsidRPr="00653421" w:rsidDel="00527D48" w:rsidRDefault="00CC19FC" w:rsidP="00BA1576">
            <w:pPr>
              <w:pStyle w:val="TableText"/>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1</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3</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1</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1</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r w:rsidRPr="0065342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CC19FC" w:rsidRPr="00653421" w:rsidTr="00BA1576">
        <w:trPr>
          <w:cantSplit/>
          <w:trHeight w:val="145"/>
        </w:trPr>
        <w:tc>
          <w:tcPr>
            <w:tcW w:w="2638" w:type="dxa"/>
            <w:tcBorders>
              <w:bottom w:val="single" w:sz="4" w:space="0" w:color="auto"/>
            </w:tcBorders>
            <w:shd w:val="clear" w:color="auto" w:fill="auto"/>
          </w:tcPr>
          <w:p w:rsidR="00CC19FC" w:rsidRPr="00734B50" w:rsidRDefault="00CC19FC" w:rsidP="00BA1576">
            <w:pPr>
              <w:pStyle w:val="Heading3"/>
              <w:spacing w:before="30" w:after="30"/>
              <w:rPr>
                <w:rFonts w:ascii="Tahoma" w:hAnsi="Tahoma" w:cs="Tahoma"/>
                <w:b w:val="0"/>
                <w:sz w:val="14"/>
                <w:lang w:val="pt-BR"/>
              </w:rPr>
            </w:pPr>
            <w:bookmarkStart w:id="95" w:name="_Toc336337882"/>
            <w:bookmarkStart w:id="96" w:name="_Toc353470532"/>
            <w:r w:rsidRPr="00734B50">
              <w:rPr>
                <w:rFonts w:ascii="Tahoma" w:hAnsi="Tahoma" w:cs="Tahoma"/>
                <w:b w:val="0"/>
                <w:sz w:val="14"/>
                <w:lang w:val="pt-BR"/>
              </w:rPr>
              <w:t xml:space="preserve">Direitos de Locação para Office </w:t>
            </w:r>
            <w:bookmarkEnd w:id="95"/>
            <w:r w:rsidRPr="00734B50">
              <w:rPr>
                <w:rFonts w:ascii="Tahoma" w:hAnsi="Tahoma" w:cs="Tahoma"/>
                <w:b w:val="0"/>
                <w:sz w:val="14"/>
                <w:lang w:val="pt-BR"/>
              </w:rPr>
              <w:t>Standard</w:t>
            </w:r>
            <w:bookmarkEnd w:id="96"/>
          </w:p>
        </w:tc>
        <w:tc>
          <w:tcPr>
            <w:tcW w:w="429" w:type="dxa"/>
            <w:tcBorders>
              <w:bottom w:val="single" w:sz="4" w:space="0" w:color="auto"/>
            </w:tcBorders>
            <w:shd w:val="clear" w:color="auto" w:fill="auto"/>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15_Direitos_de" w:history="1">
              <w:r w:rsidR="00955428" w:rsidRPr="00653421">
                <w:rPr>
                  <w:rStyle w:val="Hyperlink"/>
                  <w:b/>
                  <w:sz w:val="13"/>
                  <w:szCs w:val="13"/>
                </w:rPr>
                <w:t>15</w:t>
              </w:r>
            </w:hyperlink>
          </w:p>
        </w:tc>
        <w:tc>
          <w:tcPr>
            <w:tcW w:w="429"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63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ABF8F"/>
          </w:tcPr>
          <w:p w:rsidR="00CC19FC" w:rsidRPr="00734B50" w:rsidRDefault="00CC19FC" w:rsidP="00BA1576">
            <w:pPr>
              <w:pStyle w:val="Heading3"/>
              <w:spacing w:before="30" w:after="30"/>
              <w:rPr>
                <w:rFonts w:ascii="Tahoma" w:hAnsi="Tahoma" w:cs="Tahoma"/>
                <w:b w:val="0"/>
                <w:sz w:val="14"/>
                <w:lang w:val="pt-BR"/>
              </w:rPr>
            </w:pPr>
            <w:bookmarkStart w:id="97" w:name="_Toc353470533"/>
            <w:r w:rsidRPr="00734B50">
              <w:rPr>
                <w:rFonts w:ascii="Tahoma" w:hAnsi="Tahoma" w:cs="Tahoma"/>
                <w:b w:val="0"/>
                <w:sz w:val="14"/>
                <w:lang w:val="pt-BR"/>
              </w:rPr>
              <w:t>Direitos de Locação para Office Professional Plus</w:t>
            </w:r>
            <w:bookmarkEnd w:id="97"/>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145_Rental_Rights" w:history="1">
              <w:r w:rsidR="00955428" w:rsidRPr="00653421">
                <w:rPr>
                  <w:rStyle w:val="Hyperlink"/>
                  <w:b/>
                  <w:sz w:val="13"/>
                  <w:szCs w:val="13"/>
                </w:rPr>
                <w:t>15</w:t>
              </w:r>
            </w:hyperlink>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CC19FC" w:rsidRPr="00653421" w:rsidTr="00BA1576">
        <w:trPr>
          <w:cantSplit/>
          <w:trHeight w:val="145"/>
        </w:trPr>
        <w:tc>
          <w:tcPr>
            <w:tcW w:w="2638" w:type="dxa"/>
            <w:tcBorders>
              <w:bottom w:val="single" w:sz="4" w:space="0" w:color="auto"/>
            </w:tcBorders>
            <w:shd w:val="clear" w:color="auto" w:fill="auto"/>
          </w:tcPr>
          <w:p w:rsidR="00CC19FC" w:rsidRPr="00653421" w:rsidRDefault="00CC19FC" w:rsidP="00BA1576">
            <w:pPr>
              <w:pStyle w:val="Heading3"/>
              <w:spacing w:before="30" w:after="30"/>
              <w:rPr>
                <w:rFonts w:ascii="Tahoma" w:hAnsi="Tahoma" w:cs="Tahoma"/>
                <w:b w:val="0"/>
                <w:sz w:val="14"/>
              </w:rPr>
            </w:pPr>
            <w:bookmarkStart w:id="98" w:name="_Toc336337884"/>
            <w:bookmarkStart w:id="99" w:name="_Toc353470534"/>
            <w:r w:rsidRPr="00653421">
              <w:rPr>
                <w:rFonts w:ascii="Tahoma" w:hAnsi="Tahoma" w:cs="Tahoma"/>
                <w:b w:val="0"/>
                <w:sz w:val="14"/>
              </w:rPr>
              <w:t>Streets and Trips 2013</w:t>
            </w:r>
            <w:bookmarkEnd w:id="98"/>
            <w:bookmarkEnd w:id="99"/>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ABF8F"/>
          </w:tcPr>
          <w:p w:rsidR="005F584F" w:rsidRPr="00653421" w:rsidRDefault="005F584F" w:rsidP="00BA1576">
            <w:pPr>
              <w:pStyle w:val="Heading3"/>
              <w:spacing w:before="30" w:after="30"/>
              <w:rPr>
                <w:rFonts w:ascii="Tahoma" w:hAnsi="Tahoma" w:cs="Tahoma"/>
                <w:b w:val="0"/>
                <w:sz w:val="14"/>
              </w:rPr>
            </w:pPr>
            <w:bookmarkStart w:id="100" w:name="_Toc353470535"/>
            <w:r w:rsidRPr="00653421">
              <w:rPr>
                <w:rFonts w:ascii="Tahoma" w:hAnsi="Tahoma" w:cs="Tahoma"/>
                <w:b w:val="0"/>
                <w:sz w:val="14"/>
              </w:rPr>
              <w:t>TechNet Plus Direct</w:t>
            </w:r>
            <w:bookmarkEnd w:id="100"/>
            <w:r w:rsidRPr="00653421">
              <w:rPr>
                <w:rFonts w:ascii="Tahoma" w:hAnsi="Tahoma" w:cs="Tahoma"/>
                <w:b w:val="0"/>
                <w:sz w:val="14"/>
              </w:rPr>
              <w:t xml:space="preserve"> </w:t>
            </w:r>
          </w:p>
        </w:tc>
        <w:tc>
          <w:tcPr>
            <w:tcW w:w="429" w:type="dxa"/>
            <w:tcBorders>
              <w:bottom w:val="single" w:sz="4" w:space="0" w:color="auto"/>
            </w:tcBorders>
            <w:shd w:val="clear" w:color="auto" w:fill="FABF8F"/>
            <w:vAlign w:val="center"/>
          </w:tcPr>
          <w:p w:rsidR="005F584F" w:rsidRPr="00653421" w:rsidRDefault="005F584F" w:rsidP="00BA1576">
            <w:pPr>
              <w:pStyle w:val="TableText"/>
              <w:widowControl w:val="0"/>
              <w:spacing w:before="30" w:after="30"/>
              <w:rPr>
                <w:b/>
                <w:sz w:val="13"/>
                <w:szCs w:val="13"/>
              </w:rPr>
            </w:pPr>
          </w:p>
        </w:tc>
        <w:tc>
          <w:tcPr>
            <w:tcW w:w="429" w:type="dxa"/>
            <w:tcBorders>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LO</w:t>
            </w:r>
          </w:p>
        </w:tc>
      </w:tr>
      <w:tr w:rsidR="005F584F" w:rsidRPr="00653421" w:rsidTr="00BA1576">
        <w:trPr>
          <w:cantSplit/>
          <w:trHeight w:val="145"/>
        </w:trPr>
        <w:tc>
          <w:tcPr>
            <w:tcW w:w="2638" w:type="dxa"/>
            <w:tcBorders>
              <w:bottom w:val="single" w:sz="4" w:space="0" w:color="auto"/>
            </w:tcBorders>
            <w:shd w:val="clear" w:color="auto" w:fill="auto"/>
          </w:tcPr>
          <w:p w:rsidR="005F584F" w:rsidRPr="00734B50" w:rsidRDefault="005F584F" w:rsidP="00BA1576">
            <w:pPr>
              <w:pStyle w:val="Heading3"/>
              <w:spacing w:before="30" w:after="30"/>
              <w:rPr>
                <w:rFonts w:ascii="Tahoma" w:hAnsi="Tahoma" w:cs="Tahoma"/>
                <w:b w:val="0"/>
                <w:sz w:val="14"/>
                <w:lang w:val="pt-BR"/>
              </w:rPr>
            </w:pPr>
            <w:bookmarkStart w:id="101" w:name="_Toc353470536"/>
            <w:r w:rsidRPr="00734B50">
              <w:rPr>
                <w:rFonts w:ascii="Tahoma" w:hAnsi="Tahoma" w:cs="Tahoma"/>
                <w:b w:val="0"/>
                <w:sz w:val="14"/>
                <w:lang w:val="pt-BR"/>
              </w:rPr>
              <w:t>Vexcel Desktop com Pacote de Conteúdo Aprimorado</w:t>
            </w:r>
            <w:bookmarkEnd w:id="101"/>
          </w:p>
        </w:tc>
        <w:tc>
          <w:tcPr>
            <w:tcW w:w="429" w:type="dxa"/>
            <w:tcBorders>
              <w:bottom w:val="single" w:sz="4" w:space="0" w:color="auto"/>
            </w:tcBorders>
            <w:shd w:val="clear" w:color="auto" w:fill="auto"/>
            <w:vAlign w:val="center"/>
          </w:tcPr>
          <w:p w:rsidR="005F584F" w:rsidRPr="00653421" w:rsidRDefault="0033195D" w:rsidP="00BA1576">
            <w:pPr>
              <w:pStyle w:val="TableText"/>
              <w:widowControl w:val="0"/>
              <w:spacing w:before="30" w:after="30"/>
              <w:rPr>
                <w:b/>
                <w:sz w:val="13"/>
                <w:szCs w:val="13"/>
              </w:rPr>
            </w:pPr>
            <w:hyperlink w:anchor="_16_Vexcel_Desktop" w:history="1">
              <w:r w:rsidR="00955428" w:rsidRPr="00653421">
                <w:rPr>
                  <w:rStyle w:val="Hyperlink"/>
                  <w:b/>
                  <w:sz w:val="13"/>
                  <w:szCs w:val="13"/>
                </w:rPr>
                <w:t>16</w:t>
              </w:r>
            </w:hyperlink>
          </w:p>
        </w:tc>
        <w:tc>
          <w:tcPr>
            <w:tcW w:w="429" w:type="dxa"/>
            <w:tcBorders>
              <w:bottom w:val="single" w:sz="4"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DT</w:t>
            </w:r>
          </w:p>
        </w:tc>
        <w:tc>
          <w:tcPr>
            <w:tcW w:w="2890" w:type="dxa"/>
            <w:gridSpan w:val="7"/>
            <w:tcBorders>
              <w:left w:val="single" w:sz="18" w:space="0" w:color="auto"/>
              <w:bottom w:val="single" w:sz="4" w:space="0" w:color="auto"/>
              <w:right w:val="single" w:sz="18"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1 ponto</w:t>
            </w:r>
          </w:p>
        </w:tc>
        <w:tc>
          <w:tcPr>
            <w:tcW w:w="360" w:type="dxa"/>
            <w:tcBorders>
              <w:left w:val="single" w:sz="18" w:space="0" w:color="auto"/>
              <w:bottom w:val="single" w:sz="4"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5F584F" w:rsidRPr="00653421" w:rsidRDefault="005F584F" w:rsidP="00BA1576">
            <w:pPr>
              <w:pStyle w:val="TableText"/>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ABF8F"/>
          </w:tcPr>
          <w:p w:rsidR="00CC19FC" w:rsidRPr="00653421" w:rsidRDefault="00CC19FC" w:rsidP="00BA1576">
            <w:pPr>
              <w:pStyle w:val="Heading3"/>
              <w:spacing w:before="30" w:after="30"/>
              <w:rPr>
                <w:rFonts w:ascii="Tahoma" w:hAnsi="Tahoma" w:cs="Tahoma"/>
                <w:b w:val="0"/>
                <w:sz w:val="14"/>
              </w:rPr>
            </w:pPr>
            <w:bookmarkStart w:id="102" w:name="_Toc336337886"/>
            <w:bookmarkStart w:id="103" w:name="_Toc353470537"/>
            <w:r w:rsidRPr="00653421">
              <w:rPr>
                <w:rFonts w:ascii="Tahoma" w:hAnsi="Tahoma" w:cs="Tahoma"/>
                <w:b w:val="0"/>
                <w:sz w:val="14"/>
              </w:rPr>
              <w:t>Visio</w:t>
            </w:r>
            <w:r w:rsidRPr="00653421">
              <w:rPr>
                <w:rFonts w:ascii="Tahoma" w:hAnsi="Tahoma" w:cs="Tahoma"/>
                <w:b w:val="0"/>
                <w:sz w:val="14"/>
                <w:vertAlign w:val="superscript"/>
              </w:rPr>
              <w:t>®</w:t>
            </w:r>
            <w:r w:rsidRPr="00653421">
              <w:rPr>
                <w:rFonts w:ascii="Tahoma" w:hAnsi="Tahoma" w:cs="Tahoma"/>
                <w:b w:val="0"/>
                <w:sz w:val="14"/>
              </w:rPr>
              <w:t xml:space="preserve"> 2013 Professional</w:t>
            </w:r>
            <w:bookmarkEnd w:id="102"/>
            <w:bookmarkEnd w:id="103"/>
            <w:r w:rsidR="00DD7735" w:rsidRPr="00653421">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17_Visio_Professional" w:history="1">
              <w:r w:rsidR="00955428" w:rsidRPr="00653421">
                <w:rPr>
                  <w:rStyle w:val="Hyperlink"/>
                  <w:b/>
                  <w:sz w:val="13"/>
                  <w:szCs w:val="13"/>
                </w:rPr>
                <w:t>17</w:t>
              </w:r>
            </w:hyperlink>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CC19FC" w:rsidRPr="00653421" w:rsidTr="00BA1576">
        <w:trPr>
          <w:cantSplit/>
          <w:trHeight w:val="145"/>
        </w:trPr>
        <w:tc>
          <w:tcPr>
            <w:tcW w:w="2638" w:type="dxa"/>
            <w:tcBorders>
              <w:bottom w:val="single" w:sz="4" w:space="0" w:color="auto"/>
            </w:tcBorders>
            <w:shd w:val="clear" w:color="auto" w:fill="auto"/>
          </w:tcPr>
          <w:p w:rsidR="00CC19FC" w:rsidRPr="00653421" w:rsidRDefault="00CC19FC" w:rsidP="00BA1576">
            <w:pPr>
              <w:pStyle w:val="Heading3"/>
              <w:spacing w:before="30" w:after="30"/>
              <w:rPr>
                <w:rFonts w:ascii="Tahoma" w:hAnsi="Tahoma" w:cs="Tahoma"/>
                <w:b w:val="0"/>
                <w:sz w:val="14"/>
              </w:rPr>
            </w:pPr>
            <w:bookmarkStart w:id="104" w:name="_Toc336337887"/>
            <w:bookmarkStart w:id="105" w:name="_Toc353470538"/>
            <w:r w:rsidRPr="00653421">
              <w:rPr>
                <w:rFonts w:ascii="Tahoma" w:hAnsi="Tahoma" w:cs="Tahoma"/>
                <w:b w:val="0"/>
                <w:sz w:val="14"/>
              </w:rPr>
              <w:t>Visio</w:t>
            </w:r>
            <w:r w:rsidRPr="00653421">
              <w:rPr>
                <w:rFonts w:ascii="Tahoma" w:hAnsi="Tahoma" w:cs="Tahoma"/>
                <w:b w:val="0"/>
                <w:sz w:val="14"/>
                <w:vertAlign w:val="superscript"/>
              </w:rPr>
              <w:t>®</w:t>
            </w:r>
            <w:r w:rsidRPr="00653421">
              <w:rPr>
                <w:rFonts w:ascii="Tahoma" w:hAnsi="Tahoma" w:cs="Tahoma"/>
                <w:b w:val="0"/>
                <w:sz w:val="14"/>
              </w:rPr>
              <w:t xml:space="preserve"> 2013 Standard</w:t>
            </w:r>
            <w:bookmarkEnd w:id="104"/>
            <w:bookmarkEnd w:id="105"/>
            <w:r w:rsidRPr="00653421">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ABF8F"/>
          </w:tcPr>
          <w:p w:rsidR="00CC19FC" w:rsidRPr="00653421" w:rsidRDefault="00C24CBE" w:rsidP="00BA1576">
            <w:pPr>
              <w:pStyle w:val="ProductNames"/>
              <w:spacing w:before="30" w:after="30"/>
              <w:rPr>
                <w:rFonts w:ascii="Tahoma" w:hAnsi="Tahoma" w:cs="Tahoma"/>
                <w:sz w:val="14"/>
              </w:rPr>
            </w:pPr>
            <w:bookmarkStart w:id="106" w:name="_Toc353470539"/>
            <w:r w:rsidRPr="00653421">
              <w:rPr>
                <w:rFonts w:ascii="Tahoma" w:hAnsi="Tahoma" w:cs="Tahoma"/>
                <w:sz w:val="14"/>
              </w:rPr>
              <w:t>Visio Pro para Office 365</w:t>
            </w:r>
            <w:bookmarkEnd w:id="106"/>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rStyle w:val="EndnoteReference"/>
                <w:rFonts w:cs="Tahoma"/>
                <w:b w:val="0"/>
                <w:color w:val="0000FF"/>
                <w:sz w:val="13"/>
                <w:szCs w:val="13"/>
                <w:u w:val="single"/>
              </w:rPr>
            </w:pPr>
            <w:hyperlink w:anchor="_18_Visio_Pro" w:history="1">
              <w:r w:rsidR="00B0065F" w:rsidRPr="00653421">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CC19FC" w:rsidRPr="00653421" w:rsidTr="00BA1576">
        <w:trPr>
          <w:cantSplit/>
          <w:trHeight w:val="145"/>
        </w:trPr>
        <w:tc>
          <w:tcPr>
            <w:tcW w:w="2638" w:type="dxa"/>
            <w:tcBorders>
              <w:bottom w:val="single" w:sz="4" w:space="0" w:color="auto"/>
            </w:tcBorders>
            <w:shd w:val="clear" w:color="auto" w:fill="auto"/>
            <w:vAlign w:val="center"/>
          </w:tcPr>
          <w:p w:rsidR="00CC19FC" w:rsidRPr="00653421" w:rsidRDefault="00CC19FC" w:rsidP="00BA1576">
            <w:pPr>
              <w:pStyle w:val="ProductNames"/>
              <w:spacing w:before="30" w:after="30"/>
              <w:rPr>
                <w:rFonts w:ascii="Tahoma" w:hAnsi="Tahoma" w:cs="Tahoma"/>
                <w:sz w:val="14"/>
              </w:rPr>
            </w:pPr>
            <w:bookmarkStart w:id="107" w:name="_Toc353470540"/>
            <w:r w:rsidRPr="00653421">
              <w:rPr>
                <w:rFonts w:ascii="Tahoma" w:hAnsi="Tahoma" w:cs="Tahoma"/>
                <w:sz w:val="14"/>
              </w:rPr>
              <w:t xml:space="preserve">Visio Pro </w:t>
            </w:r>
            <w:r w:rsidRPr="00653421">
              <w:rPr>
                <w:rFonts w:cs="Tahoma"/>
                <w:sz w:val="14"/>
              </w:rPr>
              <w:t>para</w:t>
            </w:r>
            <w:r w:rsidRPr="00653421">
              <w:rPr>
                <w:rFonts w:ascii="Tahoma" w:hAnsi="Tahoma" w:cs="Tahoma"/>
                <w:sz w:val="14"/>
              </w:rPr>
              <w:t xml:space="preserve"> Office 365 A</w:t>
            </w:r>
            <w:bookmarkEnd w:id="107"/>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C19FC" w:rsidRPr="00653421" w:rsidRDefault="00C24CBE"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630" w:type="dxa"/>
            <w:tcBorders>
              <w:bottom w:val="single" w:sz="4" w:space="0" w:color="auto"/>
            </w:tcBorders>
            <w:shd w:val="clear" w:color="auto" w:fill="auto"/>
            <w:vAlign w:val="center"/>
          </w:tcPr>
          <w:p w:rsidR="00CC19FC" w:rsidRPr="00653421" w:rsidRDefault="00573BA8" w:rsidP="00BA1576">
            <w:pPr>
              <w:pStyle w:val="TableText"/>
              <w:spacing w:before="30" w:after="30"/>
              <w:rPr>
                <w:rFonts w:ascii="Tahoma" w:hAnsi="Tahoma" w:cs="Tahoma"/>
                <w:sz w:val="13"/>
              </w:rPr>
            </w:pPr>
            <w:r w:rsidRPr="00653421">
              <w:rPr>
                <w:rFonts w:ascii="Tahoma" w:hAnsi="Tahoma" w:cs="Tahoma"/>
                <w:sz w:val="13"/>
              </w:rPr>
              <w:t>A, ST (Somente EES)</w:t>
            </w:r>
          </w:p>
        </w:tc>
        <w:tc>
          <w:tcPr>
            <w:tcW w:w="54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145"/>
        </w:trPr>
        <w:tc>
          <w:tcPr>
            <w:tcW w:w="2638" w:type="dxa"/>
            <w:tcBorders>
              <w:bottom w:val="single" w:sz="4" w:space="0" w:color="auto"/>
            </w:tcBorders>
            <w:shd w:val="clear" w:color="auto" w:fill="FABF8F"/>
          </w:tcPr>
          <w:p w:rsidR="00CC19FC" w:rsidRPr="00653421" w:rsidRDefault="00CC19FC" w:rsidP="00BA1576">
            <w:pPr>
              <w:pStyle w:val="ProductNames"/>
              <w:spacing w:before="30" w:after="30"/>
              <w:rPr>
                <w:rFonts w:ascii="Tahoma" w:hAnsi="Tahoma" w:cs="Tahoma"/>
                <w:sz w:val="14"/>
              </w:rPr>
            </w:pPr>
            <w:bookmarkStart w:id="108" w:name="_Toc336337889"/>
            <w:bookmarkStart w:id="109" w:name="_Toc353470541"/>
            <w:r w:rsidRPr="00653421">
              <w:rPr>
                <w:rFonts w:ascii="Tahoma" w:hAnsi="Tahoma" w:cs="Tahoma"/>
                <w:sz w:val="14"/>
              </w:rPr>
              <w:t>Visual Studio</w:t>
            </w:r>
            <w:r w:rsidRPr="00653421">
              <w:rPr>
                <w:rFonts w:ascii="Tahoma" w:hAnsi="Tahoma" w:cs="Tahoma"/>
                <w:sz w:val="14"/>
                <w:vertAlign w:val="superscript"/>
              </w:rPr>
              <w:t>®</w:t>
            </w:r>
            <w:r w:rsidRPr="00653421">
              <w:rPr>
                <w:rFonts w:ascii="Tahoma" w:hAnsi="Tahoma" w:cs="Tahoma"/>
                <w:sz w:val="14"/>
              </w:rPr>
              <w:t xml:space="preserve"> Professional 2012</w:t>
            </w:r>
            <w:bookmarkEnd w:id="108"/>
            <w:bookmarkEnd w:id="109"/>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b/>
                <w:color w:val="0000FF"/>
                <w:sz w:val="13"/>
                <w:szCs w:val="13"/>
                <w:u w:val="single"/>
              </w:rPr>
            </w:pPr>
            <w:hyperlink w:anchor="_19_Visual_Studio" w:history="1">
              <w:r w:rsidR="00955428" w:rsidRPr="00653421">
                <w:rPr>
                  <w:rStyle w:val="Hyperlink"/>
                  <w:b/>
                  <w:sz w:val="13"/>
                  <w:szCs w:val="13"/>
                </w:rPr>
                <w:t>19</w:t>
              </w:r>
            </w:hyperlink>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r w:rsidR="00B33D0E" w:rsidRPr="00653421" w:rsidTr="00BA1576">
        <w:trPr>
          <w:cantSplit/>
          <w:trHeight w:val="145"/>
        </w:trPr>
        <w:tc>
          <w:tcPr>
            <w:tcW w:w="2638" w:type="dxa"/>
            <w:tcBorders>
              <w:bottom w:val="single" w:sz="4" w:space="0" w:color="auto"/>
            </w:tcBorders>
            <w:shd w:val="clear" w:color="auto" w:fill="auto"/>
          </w:tcPr>
          <w:p w:rsidR="00CC19FC" w:rsidRPr="00734B50" w:rsidRDefault="00CC19FC" w:rsidP="00BA1576">
            <w:pPr>
              <w:pStyle w:val="ProductNames"/>
              <w:spacing w:before="30" w:after="30"/>
              <w:rPr>
                <w:rFonts w:ascii="Tahoma" w:hAnsi="Tahoma" w:cs="Tahoma"/>
                <w:sz w:val="14"/>
                <w:lang w:val="pt-BR"/>
              </w:rPr>
            </w:pPr>
            <w:bookmarkStart w:id="110" w:name="_Toc336337890"/>
            <w:bookmarkStart w:id="111" w:name="_Toc353470542"/>
            <w:r w:rsidRPr="00734B50">
              <w:rPr>
                <w:rFonts w:ascii="Tahoma" w:hAnsi="Tahoma" w:cs="Tahoma"/>
                <w:sz w:val="14"/>
                <w:lang w:val="pt-BR"/>
              </w:rPr>
              <w:t>Visual Studio</w:t>
            </w:r>
            <w:r w:rsidRPr="00734B50">
              <w:rPr>
                <w:rFonts w:ascii="Tahoma" w:hAnsi="Tahoma" w:cs="Tahoma"/>
                <w:sz w:val="14"/>
                <w:vertAlign w:val="superscript"/>
                <w:lang w:val="pt-BR"/>
              </w:rPr>
              <w:t>®</w:t>
            </w:r>
            <w:r w:rsidRPr="00734B50">
              <w:rPr>
                <w:rFonts w:ascii="Tahoma" w:hAnsi="Tahoma" w:cs="Tahoma"/>
                <w:sz w:val="14"/>
                <w:lang w:val="pt-BR"/>
              </w:rPr>
              <w:t xml:space="preserve"> Professional 2012 com MSDN</w:t>
            </w:r>
            <w:bookmarkEnd w:id="110"/>
            <w:bookmarkEnd w:id="111"/>
            <w:r w:rsidRPr="00734B50">
              <w:rPr>
                <w:rFonts w:ascii="Tahoma" w:hAnsi="Tahoma" w:cs="Tahoma"/>
                <w:sz w:val="14"/>
                <w:lang w:val="pt-BR"/>
              </w:rPr>
              <w:t xml:space="preserve"> </w:t>
            </w:r>
          </w:p>
        </w:tc>
        <w:tc>
          <w:tcPr>
            <w:tcW w:w="429" w:type="dxa"/>
            <w:tcBorders>
              <w:bottom w:val="single" w:sz="4" w:space="0" w:color="auto"/>
            </w:tcBorders>
            <w:shd w:val="clear" w:color="auto" w:fill="auto"/>
            <w:vAlign w:val="center"/>
          </w:tcPr>
          <w:p w:rsidR="00CC19FC" w:rsidRPr="00653421" w:rsidRDefault="0033195D" w:rsidP="00BA1576">
            <w:pPr>
              <w:pStyle w:val="TableText"/>
              <w:widowControl w:val="0"/>
              <w:spacing w:before="30" w:after="30"/>
              <w:rPr>
                <w:rStyle w:val="EndnoteReference"/>
                <w:b w:val="0"/>
                <w:color w:val="0000FF"/>
                <w:sz w:val="13"/>
                <w:szCs w:val="13"/>
                <w:u w:val="single"/>
              </w:rPr>
            </w:pPr>
            <w:hyperlink w:anchor="_20_Visual_Studio" w:history="1">
              <w:r w:rsidR="00B0065F" w:rsidRPr="00653421">
                <w:rPr>
                  <w:rStyle w:val="Hyperlink"/>
                  <w:b/>
                  <w:sz w:val="13"/>
                  <w:szCs w:val="13"/>
                </w:rPr>
                <w:t>20</w:t>
              </w:r>
            </w:hyperlink>
          </w:p>
        </w:tc>
        <w:tc>
          <w:tcPr>
            <w:tcW w:w="429"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CC19FC" w:rsidRPr="00653421" w:rsidRDefault="00CC19FC" w:rsidP="00BA1576">
            <w:pPr>
              <w:pStyle w:val="TableText"/>
              <w:spacing w:before="30" w:after="30"/>
            </w:pPr>
            <w:r w:rsidRPr="00653421">
              <w:rPr>
                <w:rFonts w:ascii="Tahoma" w:hAnsi="Tahoma" w:cs="Tahoma"/>
                <w:sz w:val="13"/>
              </w:rPr>
              <w:t>LO/SA/</w:t>
            </w:r>
          </w:p>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OV</w:t>
            </w:r>
          </w:p>
        </w:tc>
      </w:tr>
      <w:tr w:rsidR="00EF228F" w:rsidRPr="00653421" w:rsidTr="00BA1576">
        <w:trPr>
          <w:cantSplit/>
          <w:trHeight w:val="145"/>
        </w:trPr>
        <w:tc>
          <w:tcPr>
            <w:tcW w:w="2638" w:type="dxa"/>
            <w:tcBorders>
              <w:bottom w:val="single" w:sz="4" w:space="0" w:color="auto"/>
            </w:tcBorders>
            <w:shd w:val="clear" w:color="auto" w:fill="FABF8F"/>
          </w:tcPr>
          <w:p w:rsidR="00CC19FC" w:rsidRPr="00734B50" w:rsidRDefault="00CC19FC" w:rsidP="00BA1576">
            <w:pPr>
              <w:pStyle w:val="Heading2"/>
              <w:spacing w:before="30" w:after="30"/>
              <w:ind w:left="0"/>
              <w:rPr>
                <w:rFonts w:ascii="Tahoma" w:hAnsi="Tahoma" w:cs="Tahoma"/>
                <w:b w:val="0"/>
                <w:sz w:val="14"/>
                <w:lang w:val="pt-BR"/>
              </w:rPr>
            </w:pPr>
            <w:bookmarkStart w:id="112" w:name="_Toc336337891"/>
            <w:bookmarkStart w:id="113" w:name="_Toc353470543"/>
            <w:r w:rsidRPr="00734B50">
              <w:rPr>
                <w:rFonts w:ascii="Tahoma" w:hAnsi="Tahoma" w:cs="Tahoma"/>
                <w:b w:val="0"/>
                <w:sz w:val="14"/>
                <w:lang w:val="pt-BR"/>
              </w:rPr>
              <w:t>Visual Studio</w:t>
            </w:r>
            <w:r w:rsidRPr="00734B50">
              <w:rPr>
                <w:rFonts w:ascii="Tahoma" w:hAnsi="Tahoma" w:cs="Tahoma"/>
                <w:sz w:val="14"/>
                <w:vertAlign w:val="superscript"/>
                <w:lang w:val="pt-BR"/>
              </w:rPr>
              <w:t>®</w:t>
            </w:r>
            <w:r w:rsidRPr="00734B50">
              <w:rPr>
                <w:rFonts w:ascii="Tahoma" w:hAnsi="Tahoma" w:cs="Tahoma"/>
                <w:b w:val="0"/>
                <w:sz w:val="14"/>
                <w:lang w:val="pt-BR"/>
              </w:rPr>
              <w:t xml:space="preserve"> Premium 2012 com MSDN</w:t>
            </w:r>
            <w:bookmarkEnd w:id="112"/>
            <w:bookmarkEnd w:id="113"/>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b/>
                <w:sz w:val="13"/>
                <w:szCs w:val="13"/>
                <w:u w:val="single"/>
              </w:rPr>
            </w:pPr>
            <w:hyperlink w:anchor="_21_Visual_Studio" w:history="1">
              <w:r w:rsidR="00955428" w:rsidRPr="00653421">
                <w:rPr>
                  <w:rStyle w:val="Hyperlink"/>
                  <w:b/>
                  <w:sz w:val="13"/>
                  <w:szCs w:val="13"/>
                </w:rPr>
                <w:t>21</w:t>
              </w:r>
            </w:hyperlink>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38</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30</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23</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23</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8</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pPr>
            <w:r w:rsidRPr="00653421">
              <w:rPr>
                <w:rFonts w:ascii="Tahoma" w:hAnsi="Tahoma" w:cs="Tahoma"/>
                <w:sz w:val="13"/>
              </w:rPr>
              <w:t>LO/SA/</w:t>
            </w:r>
          </w:p>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OV</w:t>
            </w:r>
          </w:p>
        </w:tc>
      </w:tr>
      <w:tr w:rsidR="00B33D0E" w:rsidRPr="00653421" w:rsidTr="00BA1576">
        <w:trPr>
          <w:cantSplit/>
          <w:trHeight w:val="145"/>
        </w:trPr>
        <w:tc>
          <w:tcPr>
            <w:tcW w:w="2638" w:type="dxa"/>
            <w:tcBorders>
              <w:bottom w:val="single" w:sz="4" w:space="0" w:color="auto"/>
            </w:tcBorders>
            <w:shd w:val="clear" w:color="auto" w:fill="auto"/>
          </w:tcPr>
          <w:p w:rsidR="00CC19FC" w:rsidRPr="00734B50" w:rsidRDefault="00CC19FC" w:rsidP="00BA1576">
            <w:pPr>
              <w:pStyle w:val="Heading2"/>
              <w:spacing w:before="30" w:after="30"/>
              <w:ind w:left="0"/>
              <w:rPr>
                <w:rFonts w:ascii="Tahoma" w:hAnsi="Tahoma" w:cs="Tahoma"/>
                <w:b w:val="0"/>
                <w:sz w:val="14"/>
                <w:lang w:val="pt-BR"/>
              </w:rPr>
            </w:pPr>
            <w:bookmarkStart w:id="114" w:name="_Toc336337892"/>
            <w:bookmarkStart w:id="115" w:name="_Toc353470544"/>
            <w:r w:rsidRPr="00734B50">
              <w:rPr>
                <w:rFonts w:ascii="Tahoma" w:hAnsi="Tahoma" w:cs="Tahoma"/>
                <w:b w:val="0"/>
                <w:sz w:val="14"/>
                <w:lang w:val="pt-BR"/>
              </w:rPr>
              <w:t>Visual Studio</w:t>
            </w:r>
            <w:r w:rsidRPr="00734B50">
              <w:rPr>
                <w:rFonts w:ascii="Tahoma" w:hAnsi="Tahoma" w:cs="Tahoma"/>
                <w:sz w:val="14"/>
                <w:vertAlign w:val="superscript"/>
                <w:lang w:val="pt-BR"/>
              </w:rPr>
              <w:t>®</w:t>
            </w:r>
            <w:r w:rsidRPr="00734B50">
              <w:rPr>
                <w:rFonts w:ascii="Tahoma" w:hAnsi="Tahoma" w:cs="Tahoma"/>
                <w:b w:val="0"/>
                <w:sz w:val="14"/>
                <w:lang w:val="pt-BR"/>
              </w:rPr>
              <w:t xml:space="preserve"> Ultimate 2012 com MSDN</w:t>
            </w:r>
            <w:bookmarkEnd w:id="114"/>
            <w:bookmarkEnd w:id="115"/>
          </w:p>
        </w:tc>
        <w:tc>
          <w:tcPr>
            <w:tcW w:w="429" w:type="dxa"/>
            <w:tcBorders>
              <w:bottom w:val="single" w:sz="4" w:space="0" w:color="auto"/>
            </w:tcBorders>
            <w:shd w:val="clear" w:color="auto" w:fill="auto"/>
            <w:vAlign w:val="center"/>
          </w:tcPr>
          <w:p w:rsidR="00CC19FC" w:rsidRPr="00653421" w:rsidRDefault="0033195D" w:rsidP="00BA1576">
            <w:pPr>
              <w:pStyle w:val="TableText"/>
              <w:widowControl w:val="0"/>
              <w:spacing w:before="30" w:after="30"/>
              <w:rPr>
                <w:b/>
                <w:sz w:val="13"/>
                <w:szCs w:val="13"/>
                <w:u w:val="single"/>
              </w:rPr>
            </w:pPr>
            <w:hyperlink w:anchor="_22_Visual_Studio" w:history="1">
              <w:r w:rsidR="00955428" w:rsidRPr="00653421">
                <w:rPr>
                  <w:rStyle w:val="Hyperlink"/>
                  <w:b/>
                  <w:sz w:val="13"/>
                  <w:szCs w:val="13"/>
                </w:rPr>
                <w:t>22</w:t>
              </w:r>
            </w:hyperlink>
          </w:p>
        </w:tc>
        <w:tc>
          <w:tcPr>
            <w:tcW w:w="429"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83</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66</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33</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17</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66</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33</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CC19FC" w:rsidRPr="00653421" w:rsidRDefault="00CC19FC" w:rsidP="00BA1576">
            <w:pPr>
              <w:pStyle w:val="TableText"/>
              <w:spacing w:before="30" w:after="30"/>
            </w:pPr>
            <w:r w:rsidRPr="00653421">
              <w:rPr>
                <w:rFonts w:ascii="Tahoma" w:hAnsi="Tahoma" w:cs="Tahoma"/>
                <w:sz w:val="13"/>
              </w:rPr>
              <w:t>LO/SA/</w:t>
            </w:r>
          </w:p>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OV</w:t>
            </w:r>
          </w:p>
        </w:tc>
      </w:tr>
      <w:tr w:rsidR="00EF228F" w:rsidRPr="00653421" w:rsidTr="00BA1576">
        <w:trPr>
          <w:cantSplit/>
          <w:trHeight w:val="145"/>
        </w:trPr>
        <w:tc>
          <w:tcPr>
            <w:tcW w:w="2638" w:type="dxa"/>
            <w:tcBorders>
              <w:bottom w:val="single" w:sz="4" w:space="0" w:color="auto"/>
            </w:tcBorders>
            <w:shd w:val="clear" w:color="auto" w:fill="FABF8F"/>
          </w:tcPr>
          <w:p w:rsidR="00CC19FC" w:rsidRPr="00653421" w:rsidRDefault="00CC19FC" w:rsidP="00BA1576">
            <w:pPr>
              <w:pStyle w:val="Heading2"/>
              <w:spacing w:before="30" w:after="30"/>
              <w:ind w:left="0"/>
              <w:rPr>
                <w:rFonts w:ascii="Tahoma" w:hAnsi="Tahoma" w:cs="Tahoma"/>
                <w:b w:val="0"/>
                <w:sz w:val="14"/>
              </w:rPr>
            </w:pPr>
            <w:bookmarkStart w:id="116" w:name="_Toc336337893"/>
            <w:bookmarkStart w:id="117" w:name="_Toc353470545"/>
            <w:r w:rsidRPr="00653421">
              <w:rPr>
                <w:rFonts w:ascii="Tahoma" w:hAnsi="Tahoma" w:cs="Tahoma"/>
                <w:b w:val="0"/>
                <w:sz w:val="14"/>
              </w:rPr>
              <w:t>Visual Studio</w:t>
            </w:r>
            <w:r w:rsidRPr="00653421">
              <w:rPr>
                <w:rFonts w:ascii="Tahoma" w:hAnsi="Tahoma" w:cs="Tahoma"/>
                <w:sz w:val="14"/>
                <w:vertAlign w:val="superscript"/>
              </w:rPr>
              <w:t>®</w:t>
            </w:r>
            <w:r w:rsidRPr="00653421">
              <w:rPr>
                <w:rFonts w:ascii="Tahoma" w:hAnsi="Tahoma" w:cs="Tahoma"/>
                <w:b w:val="0"/>
                <w:sz w:val="14"/>
              </w:rPr>
              <w:t xml:space="preserve"> Test Professional 2012 com MSDN</w:t>
            </w:r>
            <w:bookmarkEnd w:id="116"/>
            <w:bookmarkEnd w:id="117"/>
          </w:p>
        </w:tc>
        <w:tc>
          <w:tcPr>
            <w:tcW w:w="429" w:type="dxa"/>
            <w:tcBorders>
              <w:bottom w:val="single" w:sz="4" w:space="0" w:color="auto"/>
            </w:tcBorders>
            <w:shd w:val="clear" w:color="auto" w:fill="FABF8F"/>
            <w:vAlign w:val="center"/>
          </w:tcPr>
          <w:p w:rsidR="00CC19FC" w:rsidRPr="00653421" w:rsidRDefault="0033195D" w:rsidP="00BA1576">
            <w:pPr>
              <w:pStyle w:val="TableText"/>
              <w:widowControl w:val="0"/>
              <w:spacing w:before="30" w:after="30"/>
              <w:rPr>
                <w:b/>
                <w:sz w:val="13"/>
                <w:szCs w:val="13"/>
                <w:u w:val="single"/>
              </w:rPr>
            </w:pPr>
            <w:hyperlink w:anchor="_23_Visual_Studio" w:history="1">
              <w:r w:rsidR="00955428" w:rsidRPr="00653421">
                <w:rPr>
                  <w:rStyle w:val="Hyperlink"/>
                  <w:b/>
                  <w:sz w:val="13"/>
                  <w:szCs w:val="13"/>
                </w:rPr>
                <w:t>23</w:t>
              </w:r>
            </w:hyperlink>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15</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9</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9</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6</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12</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6</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pPr>
            <w:r w:rsidRPr="00653421">
              <w:rPr>
                <w:rFonts w:ascii="Tahoma" w:hAnsi="Tahoma" w:cs="Tahoma"/>
                <w:sz w:val="13"/>
              </w:rPr>
              <w:t>LO/SA/</w:t>
            </w:r>
          </w:p>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OV</w:t>
            </w:r>
          </w:p>
        </w:tc>
      </w:tr>
      <w:tr w:rsidR="00B33D0E" w:rsidRPr="00653421" w:rsidTr="00BA1576">
        <w:trPr>
          <w:cantSplit/>
          <w:trHeight w:val="70"/>
        </w:trPr>
        <w:tc>
          <w:tcPr>
            <w:tcW w:w="2638" w:type="dxa"/>
            <w:tcBorders>
              <w:bottom w:val="single" w:sz="4" w:space="0" w:color="auto"/>
            </w:tcBorders>
            <w:shd w:val="clear" w:color="auto" w:fill="auto"/>
          </w:tcPr>
          <w:p w:rsidR="00CC19FC" w:rsidRPr="00653421" w:rsidRDefault="00CC19FC" w:rsidP="00BA1576">
            <w:pPr>
              <w:pStyle w:val="Heading2"/>
              <w:spacing w:before="30" w:after="30"/>
              <w:ind w:left="0"/>
              <w:rPr>
                <w:rFonts w:ascii="Tahoma" w:hAnsi="Tahoma" w:cs="Tahoma"/>
                <w:b w:val="0"/>
                <w:sz w:val="14"/>
              </w:rPr>
            </w:pPr>
            <w:bookmarkStart w:id="118" w:name="_Toc336337894"/>
            <w:bookmarkStart w:id="119" w:name="_Toc353470546"/>
            <w:r w:rsidRPr="00653421">
              <w:rPr>
                <w:rFonts w:ascii="Tahoma" w:hAnsi="Tahoma" w:cs="Tahoma"/>
                <w:b w:val="0"/>
                <w:sz w:val="14"/>
              </w:rPr>
              <w:t xml:space="preserve">Word </w:t>
            </w:r>
            <w:bookmarkEnd w:id="118"/>
            <w:r w:rsidRPr="00653421">
              <w:rPr>
                <w:rFonts w:ascii="Tahoma" w:hAnsi="Tahoma" w:cs="Tahoma"/>
                <w:b w:val="0"/>
                <w:sz w:val="14"/>
              </w:rPr>
              <w:t>2013</w:t>
            </w:r>
            <w:bookmarkEnd w:id="119"/>
          </w:p>
        </w:tc>
        <w:tc>
          <w:tcPr>
            <w:tcW w:w="429" w:type="dxa"/>
            <w:tcBorders>
              <w:bottom w:val="single" w:sz="4" w:space="0" w:color="auto"/>
            </w:tcBorders>
            <w:shd w:val="clear" w:color="auto" w:fill="auto"/>
            <w:vAlign w:val="center"/>
          </w:tcPr>
          <w:p w:rsidR="00CC19FC" w:rsidRPr="00653421" w:rsidRDefault="00CC19FC" w:rsidP="00BA1576">
            <w:pPr>
              <w:pStyle w:val="TableText"/>
              <w:widowControl w:val="0"/>
              <w:spacing w:before="30" w:after="3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CC19FC" w:rsidRPr="00653421" w:rsidRDefault="00CC19FC" w:rsidP="00BA1576">
            <w:pPr>
              <w:pStyle w:val="TableText"/>
              <w:spacing w:before="30" w:after="30"/>
              <w:rPr>
                <w:rFonts w:ascii="Tahoma" w:hAnsi="Tahoma" w:cs="Tahoma"/>
                <w:sz w:val="13"/>
              </w:rPr>
            </w:pPr>
          </w:p>
        </w:tc>
      </w:tr>
      <w:tr w:rsidR="00EF228F" w:rsidRPr="00653421" w:rsidTr="00BA1576">
        <w:trPr>
          <w:cantSplit/>
          <w:trHeight w:val="323"/>
        </w:trPr>
        <w:tc>
          <w:tcPr>
            <w:tcW w:w="2638" w:type="dxa"/>
            <w:tcBorders>
              <w:bottom w:val="single" w:sz="4" w:space="0" w:color="auto"/>
            </w:tcBorders>
            <w:shd w:val="clear" w:color="auto" w:fill="FABF8F"/>
          </w:tcPr>
          <w:p w:rsidR="00CC19FC" w:rsidRPr="00653421" w:rsidRDefault="00CC19FC" w:rsidP="00BA1576">
            <w:pPr>
              <w:pStyle w:val="Heading2"/>
              <w:spacing w:before="30" w:after="30"/>
              <w:ind w:left="0"/>
              <w:rPr>
                <w:rFonts w:ascii="Tahoma" w:hAnsi="Tahoma" w:cs="Tahoma"/>
                <w:b w:val="0"/>
                <w:sz w:val="14"/>
              </w:rPr>
            </w:pPr>
            <w:bookmarkStart w:id="120" w:name="_Toc336337895"/>
            <w:bookmarkStart w:id="121" w:name="_Toc353470547"/>
            <w:r w:rsidRPr="00653421">
              <w:rPr>
                <w:rFonts w:ascii="Tahoma" w:hAnsi="Tahoma" w:cs="Tahoma"/>
                <w:b w:val="0"/>
                <w:sz w:val="14"/>
              </w:rPr>
              <w:t>Word para Mac 2011</w:t>
            </w:r>
            <w:bookmarkEnd w:id="120"/>
            <w:bookmarkEnd w:id="121"/>
          </w:p>
        </w:tc>
        <w:tc>
          <w:tcPr>
            <w:tcW w:w="429" w:type="dxa"/>
            <w:tcBorders>
              <w:bottom w:val="single" w:sz="4" w:space="0" w:color="auto"/>
            </w:tcBorders>
            <w:shd w:val="clear" w:color="auto" w:fill="FABF8F"/>
            <w:vAlign w:val="center"/>
          </w:tcPr>
          <w:p w:rsidR="00CC19FC" w:rsidRPr="00653421" w:rsidRDefault="00CC19FC" w:rsidP="00BA1576">
            <w:pPr>
              <w:pStyle w:val="TableText"/>
              <w:widowControl w:val="0"/>
              <w:spacing w:before="30" w:after="30"/>
              <w:rPr>
                <w:rStyle w:val="EndnoteReference"/>
                <w:color w:val="0000FF"/>
                <w:sz w:val="13"/>
                <w:szCs w:val="13"/>
              </w:rPr>
            </w:pPr>
          </w:p>
        </w:tc>
        <w:tc>
          <w:tcPr>
            <w:tcW w:w="429"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DT</w:t>
            </w:r>
          </w:p>
        </w:tc>
        <w:tc>
          <w:tcPr>
            <w:tcW w:w="37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r w:rsidRPr="00653421">
              <w:rPr>
                <w:rFonts w:ascii="Tahoma" w:hAnsi="Tahoma" w:cs="Tahoma"/>
                <w:sz w:val="13"/>
              </w:rPr>
              <w:t>P</w:t>
            </w:r>
          </w:p>
        </w:tc>
        <w:tc>
          <w:tcPr>
            <w:tcW w:w="63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CC19FC" w:rsidRPr="00653421" w:rsidRDefault="00CC19FC" w:rsidP="00BA1576">
            <w:pPr>
              <w:pStyle w:val="TableText"/>
              <w:spacing w:before="30" w:after="30"/>
              <w:rPr>
                <w:rFonts w:ascii="Tahoma" w:hAnsi="Tahoma" w:cs="Tahoma"/>
                <w:sz w:val="13"/>
              </w:rPr>
            </w:pPr>
          </w:p>
        </w:tc>
      </w:tr>
    </w:tbl>
    <w:p w:rsidR="00023FE7" w:rsidRPr="00653421" w:rsidRDefault="009154DF">
      <w:pPr>
        <w:pStyle w:val="Bodywithspace"/>
        <w:ind w:left="0"/>
      </w:pPr>
      <w:r w:rsidRPr="00653421">
        <w:rPr>
          <w:noProof/>
          <w:sz w:val="14"/>
        </w:rPr>
        <mc:AlternateContent>
          <mc:Choice Requires="wps">
            <w:drawing>
              <wp:anchor distT="0" distB="0" distL="114300" distR="114300" simplePos="0" relativeHeight="251653632" behindDoc="0" locked="0" layoutInCell="1" allowOverlap="1" wp14:anchorId="053EA4CE" wp14:editId="4F453107">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0678" w:rsidRDefault="006E0678">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6E0678" w:rsidRDefault="006E0678">
                            <w:pPr>
                              <w:rPr>
                                <w:rFonts w:cs="Tahoma"/>
                                <w:i/>
                                <w:color w:val="000000"/>
                                <w:sz w:val="14"/>
                                <w:szCs w:val="14"/>
                              </w:rPr>
                            </w:pPr>
                            <w:r>
                              <w:rPr>
                                <w:rFonts w:cs="Tahoma"/>
                                <w:i/>
                                <w:color w:val="000000"/>
                                <w:sz w:val="14"/>
                                <w:szCs w:val="14"/>
                              </w:rPr>
                              <w:t>*Para Select Plus, serão usados apenas os valores de ‘L’ e três anos para ‘L&amp;SA’/’SA’.</w:t>
                            </w:r>
                          </w:p>
                          <w:p w:rsidR="006E0678" w:rsidRDefault="006E06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3EA4C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6E0678" w:rsidRDefault="006E0678">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6E0678" w:rsidRDefault="006E0678">
                      <w:pPr>
                        <w:rPr>
                          <w:rFonts w:cs="Tahoma"/>
                          <w:i/>
                          <w:color w:val="000000"/>
                          <w:sz w:val="14"/>
                          <w:szCs w:val="14"/>
                        </w:rPr>
                      </w:pPr>
                      <w:r>
                        <w:rPr>
                          <w:rFonts w:cs="Tahoma"/>
                          <w:i/>
                          <w:color w:val="000000"/>
                          <w:sz w:val="14"/>
                          <w:szCs w:val="14"/>
                        </w:rPr>
                        <w:t>*Para Select Plus, serão usados apenas os valores de ‘L’ e três anos para ‘L&amp;SA’/’SA’.</w:t>
                      </w:r>
                    </w:p>
                    <w:p w:rsidR="006E0678" w:rsidRDefault="006E0678"/>
                  </w:txbxContent>
                </v:textbox>
              </v:shape>
            </w:pict>
          </mc:Fallback>
        </mc:AlternateContent>
      </w:r>
    </w:p>
    <w:p w:rsidR="00023FE7" w:rsidRPr="00653421" w:rsidRDefault="00023FE7">
      <w:pPr>
        <w:pStyle w:val="ProductPool"/>
      </w:pPr>
    </w:p>
    <w:p w:rsidR="006839EF" w:rsidRPr="00653421" w:rsidRDefault="006839EF" w:rsidP="004E292A">
      <w:pPr>
        <w:pStyle w:val="Heading3"/>
        <w:rPr>
          <w:sz w:val="18"/>
        </w:rPr>
      </w:pPr>
      <w:bookmarkStart w:id="122" w:name="_Toc336337896"/>
    </w:p>
    <w:p w:rsidR="006839EF" w:rsidRPr="00653421" w:rsidRDefault="006839EF" w:rsidP="004E292A">
      <w:pPr>
        <w:pStyle w:val="Heading3"/>
        <w:rPr>
          <w:sz w:val="18"/>
        </w:rPr>
      </w:pPr>
    </w:p>
    <w:p w:rsidR="006839EF" w:rsidRPr="00653421" w:rsidRDefault="006839EF" w:rsidP="004E292A">
      <w:pPr>
        <w:pStyle w:val="Heading3"/>
        <w:rPr>
          <w:sz w:val="18"/>
        </w:rPr>
      </w:pPr>
    </w:p>
    <w:p w:rsidR="006839EF" w:rsidRPr="00653421" w:rsidRDefault="006839EF" w:rsidP="004E292A">
      <w:pPr>
        <w:pStyle w:val="Heading3"/>
        <w:rPr>
          <w:sz w:val="18"/>
        </w:rPr>
      </w:pPr>
    </w:p>
    <w:p w:rsidR="006839EF" w:rsidRPr="00653421" w:rsidRDefault="006839EF" w:rsidP="004E292A">
      <w:pPr>
        <w:pStyle w:val="Heading3"/>
        <w:rPr>
          <w:sz w:val="18"/>
        </w:rPr>
      </w:pPr>
    </w:p>
    <w:p w:rsidR="006839EF" w:rsidRPr="00653421" w:rsidRDefault="006839EF" w:rsidP="004E292A">
      <w:pPr>
        <w:pStyle w:val="Heading3"/>
        <w:rPr>
          <w:sz w:val="18"/>
        </w:rPr>
      </w:pPr>
    </w:p>
    <w:p w:rsidR="004D3139" w:rsidRPr="00653421" w:rsidRDefault="004D3139" w:rsidP="004D3139"/>
    <w:p w:rsidR="004D3139" w:rsidRPr="00653421" w:rsidRDefault="004D3139" w:rsidP="004D3139"/>
    <w:p w:rsidR="004D3139" w:rsidRPr="00653421" w:rsidRDefault="004D3139" w:rsidP="004D3139"/>
    <w:p w:rsidR="00BA1576" w:rsidRPr="00653421" w:rsidRDefault="00BA1576" w:rsidP="00BA1576"/>
    <w:p w:rsidR="00023FE7" w:rsidRPr="00653421" w:rsidRDefault="00023FE7" w:rsidP="004E292A">
      <w:pPr>
        <w:pStyle w:val="Heading3"/>
      </w:pPr>
      <w:bookmarkStart w:id="123" w:name="_Toc353470548"/>
      <w:r w:rsidRPr="00653421">
        <w:rPr>
          <w:rFonts w:ascii="Tahoma" w:hAnsi="Tahoma" w:cs="Tahoma"/>
          <w:sz w:val="22"/>
        </w:rPr>
        <w:lastRenderedPageBreak/>
        <w:t>POOL DE SISTEMAS</w:t>
      </w:r>
      <w:bookmarkEnd w:id="122"/>
      <w:bookmarkEnd w:id="123"/>
    </w:p>
    <w:p w:rsidR="00023FE7" w:rsidRPr="00653421"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360"/>
        <w:gridCol w:w="342"/>
        <w:gridCol w:w="18"/>
        <w:gridCol w:w="360"/>
        <w:gridCol w:w="360"/>
        <w:gridCol w:w="360"/>
        <w:gridCol w:w="450"/>
        <w:gridCol w:w="360"/>
        <w:gridCol w:w="360"/>
        <w:gridCol w:w="450"/>
        <w:gridCol w:w="360"/>
        <w:gridCol w:w="630"/>
        <w:gridCol w:w="540"/>
        <w:gridCol w:w="540"/>
        <w:gridCol w:w="720"/>
        <w:gridCol w:w="540"/>
      </w:tblGrid>
      <w:tr w:rsidR="00AF4B30" w:rsidRPr="00653421" w:rsidTr="00BA1576">
        <w:trPr>
          <w:cantSplit/>
          <w:trHeight w:val="389"/>
          <w:tblHeader/>
        </w:trPr>
        <w:tc>
          <w:tcPr>
            <w:tcW w:w="2610" w:type="dxa"/>
            <w:vMerge w:val="restart"/>
            <w:tcBorders>
              <w:top w:val="single" w:sz="4" w:space="0" w:color="FFFFFF"/>
              <w:left w:val="single" w:sz="4" w:space="0" w:color="FFFFFF"/>
            </w:tcBorders>
          </w:tcPr>
          <w:p w:rsidR="00B27742" w:rsidRPr="00653421" w:rsidRDefault="006839EF">
            <w:pPr>
              <w:rPr>
                <w:rFonts w:cs="Tahoma"/>
                <w:sz w:val="20"/>
              </w:rPr>
            </w:pPr>
            <w:r w:rsidRPr="00653421">
              <w:rPr>
                <w:rFonts w:cs="Tahoma"/>
                <w:noProof/>
                <w:sz w:val="9"/>
              </w:rPr>
              <mc:AlternateContent>
                <mc:Choice Requires="wps">
                  <w:drawing>
                    <wp:anchor distT="0" distB="0" distL="114300" distR="114300" simplePos="0" relativeHeight="251660800" behindDoc="0" locked="0" layoutInCell="1" allowOverlap="1" wp14:anchorId="2C76AA3E" wp14:editId="5F6DD80D">
                      <wp:simplePos x="0" y="0"/>
                      <wp:positionH relativeFrom="column">
                        <wp:posOffset>1571349</wp:posOffset>
                      </wp:positionH>
                      <wp:positionV relativeFrom="paragraph">
                        <wp:posOffset>710536</wp:posOffset>
                      </wp:positionV>
                      <wp:extent cx="367030" cy="222637"/>
                      <wp:effectExtent l="0" t="0" r="0" b="635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226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0678" w:rsidRDefault="006E0678">
                                  <w:pPr>
                                    <w:rPr>
                                      <w:color w:val="0000FF"/>
                                      <w:sz w:val="20"/>
                                    </w:rPr>
                                  </w:pPr>
                                  <w:r>
                                    <w:rPr>
                                      <w:rFonts w:cs="Tahoma"/>
                                      <w:b/>
                                      <w:color w:val="0000FF"/>
                                      <w:sz w:val="8"/>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6AA3E" id="Text Box 61" o:spid="_x0000_s1027" type="#_x0000_t202" style="position:absolute;margin-left:123.75pt;margin-top:55.95pt;width:28.9pt;height:17.5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dkN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UxZOZ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" filled="f" stroked="f">
                      <v:textbox>
                        <w:txbxContent>
                          <w:p w:rsidR="006E0678" w:rsidRDefault="006E0678">
                            <w:pPr>
                              <w:rPr>
                                <w:color w:val="0000FF"/>
                                <w:sz w:val="20"/>
                              </w:rPr>
                            </w:pPr>
                            <w:r>
                              <w:rPr>
                                <w:rFonts w:cs="Tahoma"/>
                                <w:b/>
                                <w:color w:val="0000FF"/>
                                <w:sz w:val="8"/>
                              </w:rPr>
                              <w:t>(Ctrl + clique)</w:t>
                            </w:r>
                          </w:p>
                        </w:txbxContent>
                      </v:textbox>
                    </v:shape>
                  </w:pict>
                </mc:Fallback>
              </mc:AlternateContent>
            </w:r>
          </w:p>
        </w:tc>
        <w:tc>
          <w:tcPr>
            <w:tcW w:w="360" w:type="dxa"/>
            <w:vMerge w:val="restart"/>
            <w:tcBorders>
              <w:top w:val="single" w:sz="12" w:space="0" w:color="auto"/>
            </w:tcBorders>
            <w:textDirection w:val="btLr"/>
            <w:vAlign w:val="center"/>
          </w:tcPr>
          <w:p w:rsidR="00B27742" w:rsidRPr="00653421" w:rsidRDefault="00B27742" w:rsidP="00BA1576">
            <w:pPr>
              <w:pStyle w:val="TableVerticalText"/>
              <w:spacing w:before="30" w:after="30"/>
              <w:rPr>
                <w:rFonts w:ascii="Tahoma" w:hAnsi="Tahoma" w:cs="Tahoma"/>
                <w:sz w:val="9"/>
              </w:rPr>
            </w:pPr>
            <w:r w:rsidRPr="00653421">
              <w:rPr>
                <w:rFonts w:ascii="Tahoma" w:hAnsi="Tahoma" w:cs="Tahoma"/>
                <w:sz w:val="9"/>
              </w:rPr>
              <w:t>Notas do Produto</w:t>
            </w:r>
          </w:p>
        </w:tc>
        <w:tc>
          <w:tcPr>
            <w:tcW w:w="450" w:type="dxa"/>
            <w:vMerge w:val="restart"/>
            <w:tcBorders>
              <w:top w:val="single" w:sz="12" w:space="0" w:color="auto"/>
            </w:tcBorders>
            <w:textDirection w:val="btLr"/>
            <w:vAlign w:val="center"/>
          </w:tcPr>
          <w:p w:rsidR="00B27742" w:rsidRPr="00653421" w:rsidRDefault="00B27742" w:rsidP="00BA1576">
            <w:pPr>
              <w:pStyle w:val="TableVerticalText"/>
              <w:spacing w:before="30" w:after="30"/>
              <w:rPr>
                <w:rFonts w:ascii="Tahoma" w:hAnsi="Tahoma" w:cs="Tahoma"/>
                <w:sz w:val="9"/>
              </w:rPr>
            </w:pPr>
            <w:r w:rsidRPr="00653421">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rsidR="00B27742" w:rsidRPr="00653421" w:rsidRDefault="00B27742" w:rsidP="00BA1576">
            <w:pPr>
              <w:pStyle w:val="TableVerticalText"/>
              <w:spacing w:before="30" w:after="30"/>
              <w:rPr>
                <w:rFonts w:ascii="Tahoma" w:hAnsi="Tahoma" w:cs="Tahoma"/>
                <w:sz w:val="9"/>
              </w:rPr>
            </w:pPr>
            <w:r w:rsidRPr="00653421">
              <w:rPr>
                <w:rFonts w:ascii="Tahoma" w:hAnsi="Tahoma" w:cs="Tahoma"/>
                <w:sz w:val="9"/>
              </w:rPr>
              <w:t>SAB</w:t>
            </w:r>
          </w:p>
        </w:tc>
        <w:tc>
          <w:tcPr>
            <w:tcW w:w="2610" w:type="dxa"/>
            <w:gridSpan w:val="8"/>
            <w:tcBorders>
              <w:top w:val="single" w:sz="12" w:space="0" w:color="auto"/>
              <w:left w:val="single" w:sz="18" w:space="0" w:color="auto"/>
              <w:right w:val="single" w:sz="18" w:space="0" w:color="auto"/>
            </w:tcBorders>
            <w:vAlign w:val="center"/>
          </w:tcPr>
          <w:p w:rsidR="00B27742" w:rsidRPr="00653421" w:rsidRDefault="00B27742" w:rsidP="00BA1576">
            <w:pPr>
              <w:pStyle w:val="TableHeadingsBlack"/>
              <w:spacing w:before="30" w:after="30"/>
              <w:rPr>
                <w:rFonts w:ascii="Tahoma" w:hAnsi="Tahoma" w:cs="Tahoma"/>
                <w:sz w:val="9"/>
              </w:rPr>
            </w:pPr>
            <w:r w:rsidRPr="00653421">
              <w:rPr>
                <w:rFonts w:ascii="Tahoma" w:hAnsi="Tahoma" w:cs="Tahoma"/>
                <w:sz w:val="9"/>
              </w:rPr>
              <w:t>Select</w:t>
            </w:r>
          </w:p>
        </w:tc>
        <w:tc>
          <w:tcPr>
            <w:tcW w:w="1170" w:type="dxa"/>
            <w:gridSpan w:val="3"/>
            <w:tcBorders>
              <w:top w:val="single" w:sz="12" w:space="0" w:color="auto"/>
              <w:left w:val="single" w:sz="18" w:space="0" w:color="auto"/>
              <w:right w:val="single" w:sz="18" w:space="0" w:color="auto"/>
            </w:tcBorders>
            <w:vAlign w:val="center"/>
          </w:tcPr>
          <w:p w:rsidR="00B27742" w:rsidRPr="00653421" w:rsidRDefault="00B27742" w:rsidP="00BA1576">
            <w:pPr>
              <w:pStyle w:val="TableHeadingsBlack"/>
              <w:spacing w:before="30" w:after="30"/>
              <w:rPr>
                <w:rFonts w:ascii="Tahoma" w:hAnsi="Tahoma" w:cs="Tahoma"/>
                <w:sz w:val="9"/>
              </w:rPr>
            </w:pPr>
            <w:r w:rsidRPr="00653421">
              <w:rPr>
                <w:rFonts w:ascii="Tahoma" w:hAnsi="Tahoma" w:cs="Tahoma"/>
                <w:sz w:val="9"/>
              </w:rPr>
              <w:t>Licença Open</w:t>
            </w:r>
          </w:p>
        </w:tc>
        <w:tc>
          <w:tcPr>
            <w:tcW w:w="630" w:type="dxa"/>
            <w:vMerge w:val="restart"/>
            <w:tcBorders>
              <w:top w:val="single" w:sz="12" w:space="0" w:color="auto"/>
              <w:left w:val="single" w:sz="18" w:space="0" w:color="auto"/>
            </w:tcBorders>
            <w:textDirection w:val="btLr"/>
            <w:vAlign w:val="center"/>
          </w:tcPr>
          <w:p w:rsidR="00B27742" w:rsidRPr="00653421" w:rsidRDefault="00B27742" w:rsidP="00BA1576">
            <w:pPr>
              <w:pStyle w:val="TableVerticalText"/>
              <w:spacing w:before="30" w:after="30"/>
              <w:rPr>
                <w:rFonts w:ascii="Tahoma" w:hAnsi="Tahoma" w:cs="Tahoma"/>
                <w:sz w:val="9"/>
              </w:rPr>
            </w:pPr>
            <w:r w:rsidRPr="00653421">
              <w:rPr>
                <w:rFonts w:ascii="Tahoma" w:hAnsi="Tahoma" w:cs="Tahoma"/>
                <w:sz w:val="9"/>
              </w:rPr>
              <w:t>Unidades Campus e School</w:t>
            </w:r>
          </w:p>
        </w:tc>
        <w:tc>
          <w:tcPr>
            <w:tcW w:w="540" w:type="dxa"/>
            <w:vMerge w:val="restart"/>
            <w:tcBorders>
              <w:top w:val="single" w:sz="12" w:space="0" w:color="auto"/>
              <w:right w:val="single" w:sz="18" w:space="0" w:color="auto"/>
            </w:tcBorders>
            <w:textDirection w:val="btLr"/>
            <w:vAlign w:val="center"/>
          </w:tcPr>
          <w:p w:rsidR="00B27742" w:rsidRPr="00653421" w:rsidRDefault="00B27742" w:rsidP="00BA1576">
            <w:pPr>
              <w:pStyle w:val="TableVerticalText"/>
              <w:spacing w:before="30" w:after="30"/>
              <w:rPr>
                <w:rFonts w:ascii="Tahoma" w:hAnsi="Tahoma" w:cs="Tahoma"/>
                <w:sz w:val="9"/>
              </w:rPr>
            </w:pPr>
            <w:r w:rsidRPr="00653421">
              <w:rPr>
                <w:rFonts w:ascii="Tahoma" w:hAnsi="Tahoma" w:cs="Tahoma"/>
                <w:sz w:val="9"/>
              </w:rPr>
              <w:t xml:space="preserve">EA e </w:t>
            </w:r>
            <w:r w:rsidRPr="00653421">
              <w:rPr>
                <w:rFonts w:ascii="Tahoma" w:hAnsi="Tahoma" w:cs="Tahoma"/>
                <w:sz w:val="9"/>
              </w:rPr>
              <w:br/>
              <w:t>EA Sub</w:t>
            </w:r>
          </w:p>
        </w:tc>
        <w:tc>
          <w:tcPr>
            <w:tcW w:w="540" w:type="dxa"/>
            <w:vMerge w:val="restart"/>
            <w:tcBorders>
              <w:top w:val="single" w:sz="12" w:space="0" w:color="auto"/>
              <w:left w:val="single" w:sz="18" w:space="0" w:color="auto"/>
              <w:right w:val="single" w:sz="18" w:space="0" w:color="auto"/>
            </w:tcBorders>
            <w:textDirection w:val="btLr"/>
            <w:vAlign w:val="center"/>
          </w:tcPr>
          <w:p w:rsidR="00B27742" w:rsidRPr="00653421" w:rsidRDefault="004D3139" w:rsidP="00BA1576">
            <w:pPr>
              <w:pStyle w:val="TableVerticalText"/>
              <w:spacing w:before="30" w:after="30"/>
              <w:rPr>
                <w:rFonts w:ascii="Tahoma" w:hAnsi="Tahoma" w:cs="Tahoma"/>
                <w:sz w:val="9"/>
              </w:rPr>
            </w:pPr>
            <w:r w:rsidRPr="00653421">
              <w:rPr>
                <w:rFonts w:ascii="Tahoma" w:hAnsi="Tahoma" w:cs="Tahoma"/>
                <w:sz w:val="9"/>
              </w:rPr>
              <w:t>OV/</w:t>
            </w:r>
            <w:r w:rsidR="00B27742" w:rsidRPr="00653421">
              <w:rPr>
                <w:rFonts w:ascii="Tahoma" w:hAnsi="Tahoma" w:cs="Tahoma"/>
                <w:sz w:val="9"/>
              </w:rPr>
              <w:t>OVS</w:t>
            </w:r>
          </w:p>
        </w:tc>
        <w:tc>
          <w:tcPr>
            <w:tcW w:w="720" w:type="dxa"/>
            <w:vMerge w:val="restart"/>
            <w:tcBorders>
              <w:top w:val="single" w:sz="12" w:space="0" w:color="auto"/>
            </w:tcBorders>
            <w:textDirection w:val="btLr"/>
            <w:vAlign w:val="center"/>
          </w:tcPr>
          <w:p w:rsidR="00B27742" w:rsidRPr="00653421" w:rsidRDefault="004D3139" w:rsidP="00BA1576">
            <w:pPr>
              <w:pStyle w:val="TableVerticalText"/>
              <w:spacing w:before="30" w:after="30"/>
              <w:rPr>
                <w:rFonts w:ascii="Tahoma" w:hAnsi="Tahoma" w:cs="Tahoma"/>
                <w:sz w:val="9"/>
              </w:rPr>
            </w:pPr>
            <w:r w:rsidRPr="00653421">
              <w:rPr>
                <w:rFonts w:ascii="Tahoma" w:hAnsi="Tahoma" w:cs="Tahoma"/>
                <w:sz w:val="9"/>
              </w:rPr>
              <w:t>EES</w:t>
            </w:r>
            <w:r w:rsidR="00B0036E" w:rsidRPr="00653421">
              <w:rPr>
                <w:rFonts w:ascii="Tahoma" w:hAnsi="Tahoma" w:cs="Tahoma"/>
                <w:sz w:val="9"/>
              </w:rPr>
              <w:t>/OVS -ES</w:t>
            </w:r>
          </w:p>
        </w:tc>
        <w:tc>
          <w:tcPr>
            <w:tcW w:w="540" w:type="dxa"/>
            <w:vMerge w:val="restart"/>
            <w:tcBorders>
              <w:top w:val="single" w:sz="12" w:space="0" w:color="auto"/>
            </w:tcBorders>
            <w:textDirection w:val="btLr"/>
            <w:vAlign w:val="center"/>
          </w:tcPr>
          <w:p w:rsidR="00B27742" w:rsidRPr="00653421" w:rsidRDefault="00B27742" w:rsidP="00BA1576">
            <w:pPr>
              <w:pStyle w:val="TableVerticalText"/>
              <w:spacing w:before="30" w:after="30"/>
              <w:rPr>
                <w:rFonts w:ascii="Tahoma" w:hAnsi="Tahoma" w:cs="Tahoma"/>
                <w:sz w:val="9"/>
              </w:rPr>
            </w:pPr>
            <w:r w:rsidRPr="00653421">
              <w:rPr>
                <w:rFonts w:ascii="Tahoma" w:hAnsi="Tahoma" w:cs="Tahoma"/>
                <w:sz w:val="9"/>
              </w:rPr>
              <w:t>Mínimo de Licenças Open</w:t>
            </w:r>
          </w:p>
        </w:tc>
      </w:tr>
      <w:tr w:rsidR="00CE5AB1" w:rsidRPr="00653421" w:rsidTr="00BA1576">
        <w:trPr>
          <w:cantSplit/>
          <w:trHeight w:val="262"/>
          <w:tblHeader/>
        </w:trPr>
        <w:tc>
          <w:tcPr>
            <w:tcW w:w="2610" w:type="dxa"/>
            <w:vMerge/>
            <w:tcBorders>
              <w:left w:val="single" w:sz="4" w:space="0" w:color="FFFFFF"/>
            </w:tcBorders>
          </w:tcPr>
          <w:p w:rsidR="00B27742" w:rsidRPr="00653421" w:rsidRDefault="00B27742">
            <w:pPr>
              <w:rPr>
                <w:rFonts w:cs="Tahoma"/>
                <w:sz w:val="20"/>
              </w:rPr>
            </w:pPr>
          </w:p>
        </w:tc>
        <w:tc>
          <w:tcPr>
            <w:tcW w:w="360" w:type="dxa"/>
            <w:vMerge/>
            <w:vAlign w:val="center"/>
          </w:tcPr>
          <w:p w:rsidR="00B27742" w:rsidRPr="00653421" w:rsidRDefault="00B27742" w:rsidP="00BA1576">
            <w:pPr>
              <w:spacing w:before="30" w:after="30"/>
              <w:jc w:val="center"/>
              <w:rPr>
                <w:rFonts w:cs="Tahoma"/>
                <w:b/>
                <w:sz w:val="20"/>
              </w:rPr>
            </w:pPr>
          </w:p>
        </w:tc>
        <w:tc>
          <w:tcPr>
            <w:tcW w:w="450" w:type="dxa"/>
            <w:vMerge/>
            <w:vAlign w:val="center"/>
          </w:tcPr>
          <w:p w:rsidR="00B27742" w:rsidRPr="00653421" w:rsidRDefault="00B27742" w:rsidP="00BA1576">
            <w:pPr>
              <w:spacing w:before="30" w:after="30"/>
              <w:jc w:val="center"/>
              <w:rPr>
                <w:rFonts w:cs="Tahoma"/>
                <w:sz w:val="20"/>
              </w:rPr>
            </w:pPr>
          </w:p>
        </w:tc>
        <w:tc>
          <w:tcPr>
            <w:tcW w:w="360" w:type="dxa"/>
            <w:vMerge/>
            <w:tcBorders>
              <w:right w:val="single" w:sz="18" w:space="0" w:color="auto"/>
            </w:tcBorders>
            <w:vAlign w:val="center"/>
          </w:tcPr>
          <w:p w:rsidR="00B27742" w:rsidRPr="00653421" w:rsidRDefault="00B27742" w:rsidP="00BA1576">
            <w:pPr>
              <w:spacing w:before="30" w:after="30"/>
              <w:jc w:val="center"/>
              <w:rPr>
                <w:rFonts w:cs="Tahoma"/>
                <w:sz w:val="20"/>
              </w:rPr>
            </w:pPr>
          </w:p>
        </w:tc>
        <w:tc>
          <w:tcPr>
            <w:tcW w:w="360" w:type="dxa"/>
            <w:vMerge w:val="restart"/>
            <w:tcBorders>
              <w:left w:val="single" w:sz="18" w:space="0" w:color="auto"/>
            </w:tcBorders>
            <w:vAlign w:val="center"/>
          </w:tcPr>
          <w:p w:rsidR="00B27742" w:rsidRPr="00653421" w:rsidRDefault="00B27742" w:rsidP="00BA1576">
            <w:pPr>
              <w:pStyle w:val="TableHeadingsRed"/>
              <w:spacing w:before="30" w:after="30"/>
              <w:rPr>
                <w:rFonts w:ascii="Tahoma" w:hAnsi="Tahoma" w:cs="Tahoma"/>
                <w:sz w:val="9"/>
              </w:rPr>
            </w:pPr>
            <w:r w:rsidRPr="00653421">
              <w:rPr>
                <w:rFonts w:ascii="Tahoma" w:hAnsi="Tahoma" w:cs="Tahoma"/>
                <w:sz w:val="9"/>
              </w:rPr>
              <w:t>L</w:t>
            </w:r>
          </w:p>
        </w:tc>
        <w:tc>
          <w:tcPr>
            <w:tcW w:w="1080" w:type="dxa"/>
            <w:gridSpan w:val="4"/>
            <w:vAlign w:val="center"/>
          </w:tcPr>
          <w:p w:rsidR="00B27742" w:rsidRPr="00653421" w:rsidRDefault="00B27742" w:rsidP="00BA1576">
            <w:pPr>
              <w:pStyle w:val="TableHeadingsGreen"/>
              <w:spacing w:before="30" w:after="30"/>
              <w:rPr>
                <w:rFonts w:ascii="Tahoma" w:hAnsi="Tahoma" w:cs="Tahoma"/>
                <w:sz w:val="9"/>
              </w:rPr>
            </w:pPr>
            <w:r w:rsidRPr="00653421">
              <w:rPr>
                <w:rFonts w:ascii="Tahoma" w:hAnsi="Tahoma" w:cs="Tahoma"/>
                <w:sz w:val="9"/>
              </w:rPr>
              <w:t>L&amp;SA</w:t>
            </w:r>
          </w:p>
        </w:tc>
        <w:tc>
          <w:tcPr>
            <w:tcW w:w="1170" w:type="dxa"/>
            <w:gridSpan w:val="3"/>
            <w:tcBorders>
              <w:right w:val="single" w:sz="18" w:space="0" w:color="auto"/>
            </w:tcBorders>
            <w:vAlign w:val="center"/>
          </w:tcPr>
          <w:p w:rsidR="00B27742" w:rsidRPr="00653421" w:rsidRDefault="00B27742" w:rsidP="00BA1576">
            <w:pPr>
              <w:pStyle w:val="TableHeadingsBlue"/>
              <w:spacing w:before="30" w:after="30"/>
              <w:rPr>
                <w:rFonts w:ascii="Tahoma" w:hAnsi="Tahoma" w:cs="Tahoma"/>
                <w:sz w:val="9"/>
              </w:rPr>
            </w:pPr>
            <w:r w:rsidRPr="00653421">
              <w:rPr>
                <w:rFonts w:ascii="Tahoma" w:hAnsi="Tahoma" w:cs="Tahoma"/>
                <w:sz w:val="9"/>
              </w:rPr>
              <w:t>SA</w:t>
            </w:r>
          </w:p>
        </w:tc>
        <w:tc>
          <w:tcPr>
            <w:tcW w:w="360" w:type="dxa"/>
            <w:tcBorders>
              <w:left w:val="single" w:sz="18" w:space="0" w:color="auto"/>
            </w:tcBorders>
            <w:vAlign w:val="center"/>
          </w:tcPr>
          <w:p w:rsidR="00B27742" w:rsidRPr="00653421" w:rsidRDefault="00B27742" w:rsidP="00BA1576">
            <w:pPr>
              <w:pStyle w:val="TableHeadingsRed"/>
              <w:spacing w:before="30" w:after="30"/>
              <w:rPr>
                <w:rFonts w:ascii="Tahoma" w:hAnsi="Tahoma" w:cs="Tahoma"/>
                <w:sz w:val="9"/>
              </w:rPr>
            </w:pPr>
            <w:r w:rsidRPr="00653421">
              <w:rPr>
                <w:rFonts w:ascii="Tahoma" w:hAnsi="Tahoma" w:cs="Tahoma"/>
                <w:sz w:val="9"/>
              </w:rPr>
              <w:t>L</w:t>
            </w:r>
          </w:p>
        </w:tc>
        <w:tc>
          <w:tcPr>
            <w:tcW w:w="450" w:type="dxa"/>
            <w:vAlign w:val="center"/>
          </w:tcPr>
          <w:p w:rsidR="00B27742" w:rsidRPr="00653421" w:rsidRDefault="00B27742" w:rsidP="00BA1576">
            <w:pPr>
              <w:pStyle w:val="TableHeadingsGreen"/>
              <w:spacing w:before="30" w:after="30"/>
              <w:rPr>
                <w:rFonts w:ascii="Tahoma" w:hAnsi="Tahoma" w:cs="Tahoma"/>
                <w:sz w:val="9"/>
              </w:rPr>
            </w:pPr>
            <w:r w:rsidRPr="00653421">
              <w:rPr>
                <w:rFonts w:ascii="Tahoma" w:hAnsi="Tahoma" w:cs="Tahoma"/>
                <w:sz w:val="9"/>
              </w:rPr>
              <w:t>L&amp;SA</w:t>
            </w:r>
          </w:p>
        </w:tc>
        <w:tc>
          <w:tcPr>
            <w:tcW w:w="360" w:type="dxa"/>
            <w:vMerge w:val="restart"/>
            <w:tcBorders>
              <w:right w:val="single" w:sz="18" w:space="0" w:color="auto"/>
            </w:tcBorders>
            <w:vAlign w:val="center"/>
          </w:tcPr>
          <w:p w:rsidR="00B27742" w:rsidRPr="00653421" w:rsidRDefault="00B27742" w:rsidP="00BA1576">
            <w:pPr>
              <w:pStyle w:val="TableHeadingsBlue"/>
              <w:spacing w:before="30" w:after="30"/>
              <w:rPr>
                <w:rFonts w:ascii="Tahoma" w:hAnsi="Tahoma" w:cs="Tahoma"/>
                <w:sz w:val="9"/>
              </w:rPr>
            </w:pPr>
            <w:r w:rsidRPr="00653421">
              <w:rPr>
                <w:rFonts w:ascii="Tahoma" w:hAnsi="Tahoma" w:cs="Tahoma"/>
                <w:sz w:val="9"/>
              </w:rPr>
              <w:t>SA</w:t>
            </w:r>
          </w:p>
        </w:tc>
        <w:tc>
          <w:tcPr>
            <w:tcW w:w="630" w:type="dxa"/>
            <w:vMerge/>
            <w:tcBorders>
              <w:left w:val="single" w:sz="18" w:space="0" w:color="auto"/>
            </w:tcBorders>
            <w:vAlign w:val="center"/>
          </w:tcPr>
          <w:p w:rsidR="00B27742" w:rsidRPr="00653421" w:rsidRDefault="00B27742" w:rsidP="00BA1576">
            <w:pPr>
              <w:spacing w:before="30" w:after="30"/>
              <w:jc w:val="center"/>
              <w:rPr>
                <w:rFonts w:cs="Tahoma"/>
                <w:sz w:val="20"/>
              </w:rPr>
            </w:pPr>
          </w:p>
        </w:tc>
        <w:tc>
          <w:tcPr>
            <w:tcW w:w="540" w:type="dxa"/>
            <w:vMerge/>
            <w:tcBorders>
              <w:right w:val="single" w:sz="18" w:space="0" w:color="auto"/>
            </w:tcBorders>
            <w:vAlign w:val="center"/>
          </w:tcPr>
          <w:p w:rsidR="00B27742" w:rsidRPr="00653421" w:rsidRDefault="00B27742" w:rsidP="00BA1576">
            <w:pPr>
              <w:spacing w:before="30" w:after="30"/>
              <w:jc w:val="center"/>
              <w:rPr>
                <w:rFonts w:cs="Tahoma"/>
                <w:sz w:val="20"/>
              </w:rPr>
            </w:pPr>
          </w:p>
        </w:tc>
        <w:tc>
          <w:tcPr>
            <w:tcW w:w="540" w:type="dxa"/>
            <w:vMerge/>
            <w:tcBorders>
              <w:left w:val="single" w:sz="18" w:space="0" w:color="auto"/>
              <w:right w:val="single" w:sz="18" w:space="0" w:color="auto"/>
            </w:tcBorders>
            <w:vAlign w:val="center"/>
          </w:tcPr>
          <w:p w:rsidR="00B27742" w:rsidRPr="00653421" w:rsidRDefault="00B27742" w:rsidP="00BA1576">
            <w:pPr>
              <w:spacing w:before="30" w:after="30"/>
              <w:jc w:val="center"/>
              <w:rPr>
                <w:rFonts w:cs="Tahoma"/>
                <w:sz w:val="20"/>
              </w:rPr>
            </w:pPr>
          </w:p>
        </w:tc>
        <w:tc>
          <w:tcPr>
            <w:tcW w:w="720" w:type="dxa"/>
            <w:vMerge/>
            <w:vAlign w:val="center"/>
          </w:tcPr>
          <w:p w:rsidR="00B27742" w:rsidRPr="00653421" w:rsidRDefault="00B27742" w:rsidP="00BA1576">
            <w:pPr>
              <w:spacing w:before="30" w:after="30"/>
              <w:jc w:val="center"/>
              <w:rPr>
                <w:rFonts w:cs="Tahoma"/>
                <w:sz w:val="20"/>
              </w:rPr>
            </w:pPr>
          </w:p>
        </w:tc>
        <w:tc>
          <w:tcPr>
            <w:tcW w:w="540" w:type="dxa"/>
            <w:vMerge/>
            <w:vAlign w:val="center"/>
          </w:tcPr>
          <w:p w:rsidR="00B27742" w:rsidRPr="00653421" w:rsidRDefault="00B27742" w:rsidP="00BA1576">
            <w:pPr>
              <w:spacing w:before="30" w:after="30"/>
              <w:jc w:val="center"/>
              <w:rPr>
                <w:rFonts w:cs="Tahoma"/>
                <w:sz w:val="20"/>
              </w:rPr>
            </w:pPr>
          </w:p>
        </w:tc>
      </w:tr>
      <w:tr w:rsidR="00AF4B30" w:rsidRPr="00653421" w:rsidTr="00BA1576">
        <w:trPr>
          <w:cantSplit/>
          <w:trHeight w:val="773"/>
          <w:tblHeader/>
        </w:trPr>
        <w:tc>
          <w:tcPr>
            <w:tcW w:w="2610" w:type="dxa"/>
            <w:vMerge/>
            <w:tcBorders>
              <w:left w:val="single" w:sz="4" w:space="0" w:color="FFFFFF"/>
              <w:bottom w:val="single" w:sz="4" w:space="0" w:color="auto"/>
            </w:tcBorders>
          </w:tcPr>
          <w:p w:rsidR="00B27742" w:rsidRPr="00653421" w:rsidRDefault="00B27742">
            <w:pPr>
              <w:rPr>
                <w:rFonts w:cs="Tahoma"/>
                <w:sz w:val="20"/>
              </w:rPr>
            </w:pPr>
          </w:p>
        </w:tc>
        <w:tc>
          <w:tcPr>
            <w:tcW w:w="360" w:type="dxa"/>
            <w:vMerge/>
            <w:tcBorders>
              <w:bottom w:val="single" w:sz="4" w:space="0" w:color="auto"/>
            </w:tcBorders>
            <w:vAlign w:val="center"/>
          </w:tcPr>
          <w:p w:rsidR="00B27742" w:rsidRPr="00653421" w:rsidRDefault="00B27742" w:rsidP="00BA1576">
            <w:pPr>
              <w:spacing w:before="30" w:after="30"/>
              <w:jc w:val="center"/>
              <w:rPr>
                <w:rFonts w:cs="Tahoma"/>
                <w:b/>
                <w:sz w:val="20"/>
              </w:rPr>
            </w:pPr>
          </w:p>
        </w:tc>
        <w:tc>
          <w:tcPr>
            <w:tcW w:w="450" w:type="dxa"/>
            <w:vMerge/>
            <w:tcBorders>
              <w:bottom w:val="single" w:sz="4" w:space="0" w:color="auto"/>
            </w:tcBorders>
            <w:vAlign w:val="center"/>
          </w:tcPr>
          <w:p w:rsidR="00B27742" w:rsidRPr="00653421" w:rsidRDefault="00B27742" w:rsidP="00BA1576">
            <w:pPr>
              <w:spacing w:before="30" w:after="30"/>
              <w:jc w:val="center"/>
              <w:rPr>
                <w:rFonts w:cs="Tahoma"/>
                <w:sz w:val="20"/>
              </w:rPr>
            </w:pPr>
          </w:p>
        </w:tc>
        <w:tc>
          <w:tcPr>
            <w:tcW w:w="360" w:type="dxa"/>
            <w:vMerge/>
            <w:tcBorders>
              <w:bottom w:val="single" w:sz="4" w:space="0" w:color="auto"/>
              <w:right w:val="single" w:sz="18" w:space="0" w:color="auto"/>
            </w:tcBorders>
            <w:vAlign w:val="center"/>
          </w:tcPr>
          <w:p w:rsidR="00B27742" w:rsidRPr="00653421" w:rsidRDefault="00B27742" w:rsidP="00BA1576">
            <w:pPr>
              <w:spacing w:before="30" w:after="30"/>
              <w:jc w:val="center"/>
              <w:rPr>
                <w:rFonts w:cs="Tahoma"/>
                <w:sz w:val="20"/>
              </w:rPr>
            </w:pPr>
          </w:p>
        </w:tc>
        <w:tc>
          <w:tcPr>
            <w:tcW w:w="360" w:type="dxa"/>
            <w:vMerge/>
            <w:tcBorders>
              <w:left w:val="single" w:sz="18" w:space="0" w:color="auto"/>
              <w:bottom w:val="single" w:sz="4" w:space="0" w:color="auto"/>
            </w:tcBorders>
            <w:vAlign w:val="center"/>
          </w:tcPr>
          <w:p w:rsidR="00B27742" w:rsidRPr="00653421" w:rsidRDefault="00B27742" w:rsidP="00BA1576">
            <w:pPr>
              <w:spacing w:before="30" w:after="30"/>
              <w:jc w:val="center"/>
              <w:rPr>
                <w:rFonts w:cs="Tahoma"/>
                <w:sz w:val="20"/>
              </w:rPr>
            </w:pPr>
          </w:p>
        </w:tc>
        <w:tc>
          <w:tcPr>
            <w:tcW w:w="342" w:type="dxa"/>
            <w:tcBorders>
              <w:bottom w:val="single" w:sz="4" w:space="0" w:color="auto"/>
            </w:tcBorders>
            <w:vAlign w:val="center"/>
          </w:tcPr>
          <w:p w:rsidR="00B27742" w:rsidRPr="00653421" w:rsidRDefault="00B27742" w:rsidP="00BA1576">
            <w:pPr>
              <w:pStyle w:val="TableHeadingsGreen"/>
              <w:spacing w:before="30" w:after="30"/>
              <w:rPr>
                <w:rFonts w:ascii="Tahoma" w:hAnsi="Tahoma" w:cs="Tahoma"/>
                <w:sz w:val="9"/>
              </w:rPr>
            </w:pPr>
            <w:r w:rsidRPr="00653421">
              <w:rPr>
                <w:rFonts w:ascii="Tahoma" w:hAnsi="Tahoma" w:cs="Tahoma"/>
                <w:sz w:val="9"/>
              </w:rPr>
              <w:t>3An</w:t>
            </w:r>
          </w:p>
        </w:tc>
        <w:tc>
          <w:tcPr>
            <w:tcW w:w="378" w:type="dxa"/>
            <w:gridSpan w:val="2"/>
            <w:tcBorders>
              <w:bottom w:val="single" w:sz="4" w:space="0" w:color="auto"/>
            </w:tcBorders>
            <w:vAlign w:val="center"/>
          </w:tcPr>
          <w:p w:rsidR="00B27742" w:rsidRPr="00653421" w:rsidRDefault="00B27742" w:rsidP="00BA1576">
            <w:pPr>
              <w:pStyle w:val="TableHeadingsGreen"/>
              <w:spacing w:before="30" w:after="30"/>
              <w:rPr>
                <w:rFonts w:ascii="Tahoma" w:hAnsi="Tahoma" w:cs="Tahoma"/>
                <w:sz w:val="9"/>
              </w:rPr>
            </w:pPr>
            <w:r w:rsidRPr="00653421">
              <w:rPr>
                <w:rFonts w:ascii="Tahoma" w:hAnsi="Tahoma" w:cs="Tahoma"/>
                <w:sz w:val="9"/>
              </w:rPr>
              <w:t>2An</w:t>
            </w:r>
          </w:p>
        </w:tc>
        <w:tc>
          <w:tcPr>
            <w:tcW w:w="360" w:type="dxa"/>
            <w:tcBorders>
              <w:bottom w:val="single" w:sz="4" w:space="0" w:color="auto"/>
            </w:tcBorders>
            <w:vAlign w:val="center"/>
          </w:tcPr>
          <w:p w:rsidR="00B27742" w:rsidRPr="00653421" w:rsidRDefault="00B27742" w:rsidP="00BA1576">
            <w:pPr>
              <w:pStyle w:val="TableHeadingsGreen"/>
              <w:spacing w:before="30" w:after="30"/>
              <w:rPr>
                <w:rFonts w:ascii="Tahoma" w:hAnsi="Tahoma" w:cs="Tahoma"/>
                <w:sz w:val="9"/>
              </w:rPr>
            </w:pPr>
            <w:r w:rsidRPr="00653421">
              <w:rPr>
                <w:rFonts w:ascii="Tahoma" w:hAnsi="Tahoma" w:cs="Tahoma"/>
                <w:sz w:val="9"/>
              </w:rPr>
              <w:t>1An</w:t>
            </w:r>
          </w:p>
        </w:tc>
        <w:tc>
          <w:tcPr>
            <w:tcW w:w="360" w:type="dxa"/>
            <w:tcBorders>
              <w:bottom w:val="single" w:sz="4" w:space="0" w:color="auto"/>
            </w:tcBorders>
            <w:vAlign w:val="center"/>
          </w:tcPr>
          <w:p w:rsidR="00B27742" w:rsidRPr="00653421" w:rsidRDefault="00B27742" w:rsidP="00BA1576">
            <w:pPr>
              <w:pStyle w:val="TableHeadingsBlue"/>
              <w:spacing w:before="30" w:after="30"/>
              <w:rPr>
                <w:rFonts w:ascii="Tahoma" w:hAnsi="Tahoma" w:cs="Tahoma"/>
                <w:sz w:val="9"/>
              </w:rPr>
            </w:pPr>
            <w:r w:rsidRPr="00653421">
              <w:rPr>
                <w:rFonts w:ascii="Tahoma" w:hAnsi="Tahoma" w:cs="Tahoma"/>
                <w:sz w:val="9"/>
              </w:rPr>
              <w:t>3An</w:t>
            </w:r>
          </w:p>
        </w:tc>
        <w:tc>
          <w:tcPr>
            <w:tcW w:w="450" w:type="dxa"/>
            <w:tcBorders>
              <w:bottom w:val="single" w:sz="4" w:space="0" w:color="auto"/>
            </w:tcBorders>
            <w:vAlign w:val="center"/>
          </w:tcPr>
          <w:p w:rsidR="00B27742" w:rsidRPr="00653421" w:rsidRDefault="00B27742" w:rsidP="00BA1576">
            <w:pPr>
              <w:pStyle w:val="TableHeadingsBlue"/>
              <w:spacing w:before="30" w:after="30"/>
              <w:rPr>
                <w:rFonts w:ascii="Tahoma" w:hAnsi="Tahoma" w:cs="Tahoma"/>
                <w:sz w:val="9"/>
              </w:rPr>
            </w:pPr>
            <w:r w:rsidRPr="00653421">
              <w:rPr>
                <w:rFonts w:ascii="Tahoma" w:hAnsi="Tahoma" w:cs="Tahoma"/>
                <w:sz w:val="9"/>
              </w:rPr>
              <w:t>2An</w:t>
            </w:r>
          </w:p>
        </w:tc>
        <w:tc>
          <w:tcPr>
            <w:tcW w:w="360" w:type="dxa"/>
            <w:tcBorders>
              <w:bottom w:val="single" w:sz="4" w:space="0" w:color="auto"/>
              <w:right w:val="single" w:sz="18" w:space="0" w:color="auto"/>
            </w:tcBorders>
            <w:vAlign w:val="center"/>
          </w:tcPr>
          <w:p w:rsidR="00B27742" w:rsidRPr="00653421" w:rsidRDefault="00B27742" w:rsidP="00BA1576">
            <w:pPr>
              <w:pStyle w:val="TableHeadingsBlue"/>
              <w:spacing w:before="30" w:after="30"/>
              <w:rPr>
                <w:rFonts w:ascii="Tahoma" w:hAnsi="Tahoma" w:cs="Tahoma"/>
                <w:sz w:val="9"/>
              </w:rPr>
            </w:pPr>
            <w:r w:rsidRPr="00653421">
              <w:rPr>
                <w:rFonts w:ascii="Tahoma" w:hAnsi="Tahoma" w:cs="Tahoma"/>
                <w:sz w:val="9"/>
              </w:rPr>
              <w:t>1An</w:t>
            </w:r>
          </w:p>
        </w:tc>
        <w:tc>
          <w:tcPr>
            <w:tcW w:w="360" w:type="dxa"/>
            <w:tcBorders>
              <w:left w:val="single" w:sz="18" w:space="0" w:color="auto"/>
              <w:bottom w:val="single" w:sz="4" w:space="0" w:color="auto"/>
            </w:tcBorders>
            <w:vAlign w:val="center"/>
          </w:tcPr>
          <w:p w:rsidR="00B27742" w:rsidRPr="00653421" w:rsidRDefault="00B27742" w:rsidP="00BA1576">
            <w:pPr>
              <w:spacing w:before="30" w:after="30"/>
              <w:jc w:val="center"/>
              <w:rPr>
                <w:rFonts w:cs="Tahoma"/>
                <w:sz w:val="20"/>
              </w:rPr>
            </w:pPr>
          </w:p>
        </w:tc>
        <w:tc>
          <w:tcPr>
            <w:tcW w:w="450" w:type="dxa"/>
            <w:tcBorders>
              <w:bottom w:val="single" w:sz="4" w:space="0" w:color="auto"/>
            </w:tcBorders>
            <w:vAlign w:val="center"/>
          </w:tcPr>
          <w:p w:rsidR="00B27742" w:rsidRPr="00653421" w:rsidRDefault="00B27742" w:rsidP="00BA1576">
            <w:pPr>
              <w:pStyle w:val="TableHeadingsGreen"/>
              <w:spacing w:before="30" w:after="30"/>
              <w:rPr>
                <w:rFonts w:ascii="Tahoma" w:hAnsi="Tahoma" w:cs="Tahoma"/>
                <w:sz w:val="9"/>
              </w:rPr>
            </w:pPr>
            <w:r w:rsidRPr="00653421">
              <w:rPr>
                <w:rFonts w:ascii="Tahoma" w:hAnsi="Tahoma" w:cs="Tahoma"/>
                <w:sz w:val="9"/>
              </w:rPr>
              <w:t>P</w:t>
            </w:r>
          </w:p>
        </w:tc>
        <w:tc>
          <w:tcPr>
            <w:tcW w:w="360" w:type="dxa"/>
            <w:vMerge/>
            <w:tcBorders>
              <w:bottom w:val="single" w:sz="4" w:space="0" w:color="auto"/>
              <w:right w:val="single" w:sz="18" w:space="0" w:color="auto"/>
            </w:tcBorders>
            <w:vAlign w:val="center"/>
          </w:tcPr>
          <w:p w:rsidR="00B27742" w:rsidRPr="00653421" w:rsidRDefault="00B27742" w:rsidP="00BA1576">
            <w:pPr>
              <w:spacing w:before="30" w:after="30"/>
              <w:jc w:val="center"/>
              <w:rPr>
                <w:rFonts w:cs="Tahoma"/>
                <w:sz w:val="20"/>
              </w:rPr>
            </w:pPr>
          </w:p>
        </w:tc>
        <w:tc>
          <w:tcPr>
            <w:tcW w:w="630" w:type="dxa"/>
            <w:vMerge/>
            <w:tcBorders>
              <w:left w:val="single" w:sz="18" w:space="0" w:color="auto"/>
              <w:bottom w:val="single" w:sz="4" w:space="0" w:color="auto"/>
            </w:tcBorders>
            <w:vAlign w:val="center"/>
          </w:tcPr>
          <w:p w:rsidR="00B27742" w:rsidRPr="00653421" w:rsidRDefault="00B27742" w:rsidP="00BA1576">
            <w:pPr>
              <w:spacing w:before="30" w:after="30"/>
              <w:jc w:val="center"/>
              <w:rPr>
                <w:rFonts w:cs="Tahoma"/>
                <w:sz w:val="20"/>
              </w:rPr>
            </w:pPr>
          </w:p>
        </w:tc>
        <w:tc>
          <w:tcPr>
            <w:tcW w:w="540" w:type="dxa"/>
            <w:vMerge/>
            <w:tcBorders>
              <w:bottom w:val="single" w:sz="4" w:space="0" w:color="auto"/>
              <w:right w:val="single" w:sz="18" w:space="0" w:color="auto"/>
            </w:tcBorders>
            <w:vAlign w:val="center"/>
          </w:tcPr>
          <w:p w:rsidR="00B27742" w:rsidRPr="00653421" w:rsidRDefault="00B27742" w:rsidP="00BA1576">
            <w:pPr>
              <w:spacing w:before="30" w:after="30"/>
              <w:jc w:val="center"/>
              <w:rPr>
                <w:rFonts w:cs="Tahoma"/>
                <w:sz w:val="20"/>
              </w:rPr>
            </w:pPr>
          </w:p>
        </w:tc>
        <w:tc>
          <w:tcPr>
            <w:tcW w:w="540" w:type="dxa"/>
            <w:vMerge/>
            <w:tcBorders>
              <w:left w:val="single" w:sz="18" w:space="0" w:color="auto"/>
              <w:bottom w:val="single" w:sz="4" w:space="0" w:color="auto"/>
              <w:right w:val="single" w:sz="18" w:space="0" w:color="auto"/>
            </w:tcBorders>
            <w:vAlign w:val="center"/>
          </w:tcPr>
          <w:p w:rsidR="00B27742" w:rsidRPr="00653421" w:rsidRDefault="00B27742" w:rsidP="00BA1576">
            <w:pPr>
              <w:spacing w:before="30" w:after="30"/>
              <w:jc w:val="center"/>
              <w:rPr>
                <w:rFonts w:cs="Tahoma"/>
                <w:sz w:val="20"/>
              </w:rPr>
            </w:pPr>
          </w:p>
        </w:tc>
        <w:tc>
          <w:tcPr>
            <w:tcW w:w="720" w:type="dxa"/>
            <w:vMerge/>
            <w:tcBorders>
              <w:bottom w:val="single" w:sz="4" w:space="0" w:color="auto"/>
            </w:tcBorders>
            <w:vAlign w:val="center"/>
          </w:tcPr>
          <w:p w:rsidR="00B27742" w:rsidRPr="00653421" w:rsidRDefault="00B27742" w:rsidP="00BA1576">
            <w:pPr>
              <w:spacing w:before="30" w:after="30"/>
              <w:jc w:val="center"/>
              <w:rPr>
                <w:rFonts w:cs="Tahoma"/>
                <w:sz w:val="20"/>
              </w:rPr>
            </w:pPr>
          </w:p>
        </w:tc>
        <w:tc>
          <w:tcPr>
            <w:tcW w:w="540" w:type="dxa"/>
            <w:vMerge/>
            <w:tcBorders>
              <w:bottom w:val="single" w:sz="4" w:space="0" w:color="auto"/>
            </w:tcBorders>
            <w:vAlign w:val="center"/>
          </w:tcPr>
          <w:p w:rsidR="00B27742" w:rsidRPr="00653421" w:rsidRDefault="00B27742" w:rsidP="00BA1576">
            <w:pPr>
              <w:spacing w:before="30" w:after="30"/>
              <w:jc w:val="center"/>
              <w:rPr>
                <w:rFonts w:cs="Tahoma"/>
                <w:sz w:val="20"/>
              </w:rPr>
            </w:pPr>
          </w:p>
        </w:tc>
      </w:tr>
      <w:tr w:rsidR="001A63C6" w:rsidRPr="00653421" w:rsidTr="00BA1576">
        <w:trPr>
          <w:trHeight w:val="145"/>
        </w:trPr>
        <w:tc>
          <w:tcPr>
            <w:tcW w:w="2610" w:type="dxa"/>
            <w:tcBorders>
              <w:bottom w:val="single" w:sz="4" w:space="0" w:color="auto"/>
            </w:tcBorders>
            <w:shd w:val="clear" w:color="auto" w:fill="FABF8F"/>
          </w:tcPr>
          <w:p w:rsidR="001A63C6" w:rsidRPr="00653421" w:rsidRDefault="001A63C6" w:rsidP="001500CD">
            <w:pPr>
              <w:pStyle w:val="ProductNames"/>
              <w:rPr>
                <w:rFonts w:ascii="Tahoma" w:hAnsi="Tahoma" w:cs="Tahoma"/>
                <w:sz w:val="14"/>
              </w:rPr>
            </w:pPr>
            <w:bookmarkStart w:id="124" w:name="_Toc353470549"/>
            <w:r w:rsidRPr="00653421">
              <w:rPr>
                <w:rFonts w:ascii="Tahoma" w:hAnsi="Tahoma" w:cs="Tahoma"/>
                <w:sz w:val="14"/>
              </w:rPr>
              <w:t>Microsoft Desktop Optimization Pack para Software Assurance</w:t>
            </w:r>
            <w:bookmarkEnd w:id="124"/>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24_Microsoft_Desktop" w:history="1">
              <w:r w:rsidR="00955428" w:rsidRPr="00653421">
                <w:rPr>
                  <w:rStyle w:val="Hyperlink"/>
                  <w:b/>
                  <w:sz w:val="13"/>
                  <w:szCs w:val="13"/>
                </w:rPr>
                <w:t>24</w:t>
              </w:r>
            </w:hyperlink>
          </w:p>
        </w:tc>
        <w:tc>
          <w:tcPr>
            <w:tcW w:w="450" w:type="dxa"/>
            <w:tcBorders>
              <w:bottom w:val="single" w:sz="4" w:space="0" w:color="auto"/>
            </w:tcBorders>
            <w:shd w:val="clear" w:color="auto" w:fill="FABF8F"/>
            <w:vAlign w:val="center"/>
          </w:tcPr>
          <w:p w:rsidR="001A63C6" w:rsidRPr="00653421" w:rsidRDefault="004D199A" w:rsidP="00BA1576">
            <w:pPr>
              <w:pStyle w:val="TableText"/>
              <w:spacing w:before="30" w:after="30"/>
              <w:rPr>
                <w:rFonts w:ascii="Tahoma" w:hAnsi="Tahoma" w:cs="Tahoma"/>
                <w:sz w:val="13"/>
              </w:rPr>
            </w:pPr>
            <w:r w:rsidRPr="00653421">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rPr>
            </w:pPr>
          </w:p>
        </w:tc>
        <w:tc>
          <w:tcPr>
            <w:tcW w:w="2610" w:type="dxa"/>
            <w:gridSpan w:val="8"/>
            <w:tcBorders>
              <w:left w:val="single" w:sz="18" w:space="0" w:color="auto"/>
              <w:bottom w:val="single" w:sz="4" w:space="0" w:color="auto"/>
              <w:right w:val="single" w:sz="18" w:space="0" w:color="auto"/>
            </w:tcBorders>
            <w:shd w:val="clear" w:color="auto" w:fill="FABF8F"/>
            <w:vAlign w:val="center"/>
          </w:tcPr>
          <w:p w:rsidR="001A63C6" w:rsidRPr="00653421" w:rsidRDefault="009A015E"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4D199A" w:rsidP="00BA1576">
            <w:pPr>
              <w:pStyle w:val="TableText"/>
              <w:spacing w:before="30" w:after="30"/>
              <w:rPr>
                <w:rFonts w:ascii="Tahoma" w:hAnsi="Tahoma" w:cs="Tahoma"/>
                <w:sz w:val="13"/>
              </w:rPr>
            </w:pPr>
            <w:r w:rsidRPr="00653421">
              <w:rPr>
                <w:rFonts w:ascii="Tahoma" w:hAnsi="Tahoma" w:cs="Tahoma"/>
                <w:sz w:val="13"/>
              </w:rPr>
              <w:t>1,E</w:t>
            </w:r>
          </w:p>
        </w:tc>
        <w:tc>
          <w:tcPr>
            <w:tcW w:w="540" w:type="dxa"/>
            <w:tcBorders>
              <w:bottom w:val="single" w:sz="4" w:space="0" w:color="auto"/>
              <w:right w:val="single" w:sz="18" w:space="0" w:color="auto"/>
            </w:tcBorders>
            <w:shd w:val="clear" w:color="auto" w:fill="FABF8F"/>
            <w:vAlign w:val="center"/>
          </w:tcPr>
          <w:p w:rsidR="001A63C6" w:rsidRPr="00653421" w:rsidRDefault="004D199A" w:rsidP="00BA1576">
            <w:pPr>
              <w:pStyle w:val="TableText"/>
              <w:spacing w:before="30" w:after="30"/>
              <w:rPr>
                <w:rFonts w:ascii="Tahoma" w:hAnsi="Tahoma" w:cs="Tahoma"/>
                <w:sz w:val="13"/>
              </w:rPr>
            </w:pPr>
            <w:r w:rsidRPr="00653421">
              <w:rPr>
                <w:rFonts w:ascii="Tahoma" w:hAnsi="Tahoma" w:cs="Tahoma"/>
                <w:sz w:val="13"/>
              </w:rPr>
              <w:t>E, 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4D199A" w:rsidP="00BA1576">
            <w:pPr>
              <w:pStyle w:val="TableText"/>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9A015E" w:rsidP="00BA1576">
            <w:pPr>
              <w:pStyle w:val="TableText"/>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rPr>
            </w:pPr>
          </w:p>
        </w:tc>
      </w:tr>
      <w:tr w:rsidR="002854D4" w:rsidRPr="00653421" w:rsidTr="00BA1576">
        <w:trPr>
          <w:trHeight w:val="145"/>
        </w:trPr>
        <w:tc>
          <w:tcPr>
            <w:tcW w:w="2610" w:type="dxa"/>
            <w:tcBorders>
              <w:bottom w:val="single" w:sz="4" w:space="0" w:color="auto"/>
            </w:tcBorders>
            <w:shd w:val="clear" w:color="auto" w:fill="auto"/>
          </w:tcPr>
          <w:p w:rsidR="002854D4" w:rsidRPr="00734B50" w:rsidRDefault="002854D4" w:rsidP="00F70479">
            <w:pPr>
              <w:pStyle w:val="ProductNames"/>
              <w:rPr>
                <w:rFonts w:ascii="Tahoma" w:hAnsi="Tahoma" w:cs="Tahoma"/>
                <w:sz w:val="14"/>
                <w:lang w:val="pt-BR"/>
              </w:rPr>
            </w:pPr>
            <w:bookmarkStart w:id="125" w:name="_Toc336337897"/>
            <w:bookmarkStart w:id="126" w:name="_Toc353470550"/>
            <w:r w:rsidRPr="00734B50">
              <w:rPr>
                <w:rFonts w:ascii="Tahoma" w:hAnsi="Tahoma" w:cs="Tahoma"/>
                <w:sz w:val="14"/>
                <w:lang w:val="pt-BR"/>
              </w:rPr>
              <w:t>Licença de Assinatura do Windows Companion</w:t>
            </w:r>
            <w:bookmarkEnd w:id="125"/>
            <w:bookmarkEnd w:id="126"/>
          </w:p>
        </w:tc>
        <w:tc>
          <w:tcPr>
            <w:tcW w:w="360" w:type="dxa"/>
            <w:tcBorders>
              <w:bottom w:val="single" w:sz="4" w:space="0" w:color="auto"/>
            </w:tcBorders>
            <w:shd w:val="clear" w:color="auto" w:fill="auto"/>
            <w:vAlign w:val="center"/>
          </w:tcPr>
          <w:p w:rsidR="002854D4" w:rsidRPr="00653421" w:rsidRDefault="0033195D" w:rsidP="00BA1576">
            <w:pPr>
              <w:pStyle w:val="TableText"/>
              <w:widowControl w:val="0"/>
              <w:spacing w:before="30" w:after="30"/>
              <w:rPr>
                <w:b/>
                <w:color w:val="0000FF"/>
                <w:sz w:val="13"/>
                <w:szCs w:val="13"/>
                <w:u w:val="single"/>
              </w:rPr>
            </w:pPr>
            <w:hyperlink w:anchor="_25_Licença_de" w:history="1">
              <w:r w:rsidR="00955428" w:rsidRPr="00653421">
                <w:rPr>
                  <w:rStyle w:val="Hyperlink"/>
                  <w:b/>
                  <w:sz w:val="13"/>
                  <w:szCs w:val="13"/>
                </w:rPr>
                <w:t>25</w:t>
              </w:r>
            </w:hyperlink>
          </w:p>
        </w:tc>
        <w:tc>
          <w:tcPr>
            <w:tcW w:w="450" w:type="dxa"/>
            <w:tcBorders>
              <w:bottom w:val="single" w:sz="4"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r w:rsidRPr="0065342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p>
        </w:tc>
        <w:tc>
          <w:tcPr>
            <w:tcW w:w="2610" w:type="dxa"/>
            <w:gridSpan w:val="8"/>
            <w:tcBorders>
              <w:left w:val="single" w:sz="18" w:space="0" w:color="auto"/>
              <w:bottom w:val="single" w:sz="4" w:space="0" w:color="auto"/>
              <w:right w:val="single" w:sz="18"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r w:rsidRPr="00653421">
              <w:rPr>
                <w:rFonts w:ascii="Tahoma" w:hAnsi="Tahoma" w:cs="Tahoma"/>
                <w:sz w:val="13"/>
              </w:rPr>
              <w:t>2</w:t>
            </w:r>
          </w:p>
        </w:tc>
        <w:tc>
          <w:tcPr>
            <w:tcW w:w="360" w:type="dxa"/>
            <w:tcBorders>
              <w:left w:val="single" w:sz="18" w:space="0" w:color="auto"/>
              <w:bottom w:val="single" w:sz="4"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r w:rsidRPr="00653421">
              <w:rPr>
                <w:rFonts w:ascii="Tahoma" w:hAnsi="Tahoma" w:cs="Tahoma"/>
                <w:sz w:val="13"/>
              </w:rPr>
              <w:t>E</w:t>
            </w:r>
          </w:p>
        </w:tc>
        <w:tc>
          <w:tcPr>
            <w:tcW w:w="540" w:type="dxa"/>
            <w:tcBorders>
              <w:left w:val="single" w:sz="18" w:space="0" w:color="auto"/>
              <w:bottom w:val="single" w:sz="4" w:space="0" w:color="auto"/>
              <w:right w:val="single" w:sz="18"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p>
        </w:tc>
        <w:tc>
          <w:tcPr>
            <w:tcW w:w="720" w:type="dxa"/>
            <w:tcBorders>
              <w:bottom w:val="single" w:sz="4"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r w:rsidRPr="00653421">
              <w:rPr>
                <w:rFonts w:ascii="Tahoma" w:hAnsi="Tahoma" w:cs="Tahoma"/>
                <w:sz w:val="13"/>
              </w:rPr>
              <w:t>A, (somente EES)</w:t>
            </w:r>
          </w:p>
        </w:tc>
        <w:tc>
          <w:tcPr>
            <w:tcW w:w="540" w:type="dxa"/>
            <w:tcBorders>
              <w:bottom w:val="single" w:sz="4" w:space="0" w:color="auto"/>
            </w:tcBorders>
            <w:shd w:val="clear" w:color="auto" w:fill="auto"/>
            <w:vAlign w:val="center"/>
          </w:tcPr>
          <w:p w:rsidR="002854D4" w:rsidRPr="00653421" w:rsidRDefault="002854D4" w:rsidP="00BA1576">
            <w:pPr>
              <w:pStyle w:val="TableText"/>
              <w:spacing w:before="30" w:after="30"/>
              <w:rPr>
                <w:rFonts w:ascii="Tahoma" w:hAnsi="Tahoma" w:cs="Tahoma"/>
                <w:sz w:val="13"/>
              </w:rPr>
            </w:pPr>
          </w:p>
        </w:tc>
      </w:tr>
      <w:tr w:rsidR="00B33D0E" w:rsidRPr="00653421" w:rsidTr="00BA1576">
        <w:trPr>
          <w:trHeight w:val="145"/>
        </w:trPr>
        <w:tc>
          <w:tcPr>
            <w:tcW w:w="2610" w:type="dxa"/>
            <w:tcBorders>
              <w:bottom w:val="single" w:sz="4" w:space="0" w:color="auto"/>
            </w:tcBorders>
            <w:shd w:val="clear" w:color="auto" w:fill="FABF8F"/>
          </w:tcPr>
          <w:p w:rsidR="008357AC" w:rsidRPr="00653421" w:rsidRDefault="008357AC" w:rsidP="00F70479">
            <w:pPr>
              <w:pStyle w:val="ProductNames"/>
              <w:rPr>
                <w:rFonts w:ascii="Tahoma" w:hAnsi="Tahoma" w:cs="Tahoma"/>
                <w:sz w:val="14"/>
              </w:rPr>
            </w:pPr>
            <w:bookmarkStart w:id="127" w:name="_Toc336337898"/>
            <w:bookmarkStart w:id="128" w:name="_Toc353470551"/>
            <w:r w:rsidRPr="00653421">
              <w:rPr>
                <w:rFonts w:ascii="Tahoma" w:hAnsi="Tahoma" w:cs="Tahoma"/>
                <w:sz w:val="14"/>
              </w:rPr>
              <w:t>Windows Vista DVD Playback Pack</w:t>
            </w:r>
            <w:bookmarkEnd w:id="127"/>
            <w:bookmarkEnd w:id="128"/>
            <w:r w:rsidRPr="00653421">
              <w:rPr>
                <w:rFonts w:ascii="Tahoma" w:hAnsi="Tahoma" w:cs="Tahoma"/>
                <w:sz w:val="14"/>
              </w:rPr>
              <w:t xml:space="preserve"> </w:t>
            </w:r>
          </w:p>
        </w:tc>
        <w:tc>
          <w:tcPr>
            <w:tcW w:w="360" w:type="dxa"/>
            <w:tcBorders>
              <w:bottom w:val="single" w:sz="4" w:space="0" w:color="auto"/>
            </w:tcBorders>
            <w:shd w:val="clear" w:color="auto" w:fill="FABF8F"/>
            <w:vAlign w:val="center"/>
          </w:tcPr>
          <w:p w:rsidR="008357AC" w:rsidRPr="00653421" w:rsidRDefault="0033195D" w:rsidP="00BA1576">
            <w:pPr>
              <w:pStyle w:val="TableText"/>
              <w:widowControl w:val="0"/>
              <w:spacing w:before="30" w:after="30"/>
              <w:rPr>
                <w:b/>
                <w:color w:val="0000FF"/>
                <w:sz w:val="13"/>
                <w:szCs w:val="13"/>
                <w:u w:val="single"/>
              </w:rPr>
            </w:pPr>
            <w:hyperlink w:anchor="_26_Windows_Vista" w:history="1">
              <w:r w:rsidR="00955428" w:rsidRPr="00653421">
                <w:rPr>
                  <w:rStyle w:val="Hyperlink"/>
                  <w:b/>
                  <w:sz w:val="13"/>
                  <w:szCs w:val="13"/>
                </w:rPr>
                <w:t>26</w:t>
              </w:r>
            </w:hyperlink>
          </w:p>
        </w:tc>
        <w:tc>
          <w:tcPr>
            <w:tcW w:w="450" w:type="dxa"/>
            <w:tcBorders>
              <w:bottom w:val="single" w:sz="4" w:space="0" w:color="auto"/>
            </w:tcBorders>
            <w:shd w:val="clear" w:color="auto" w:fill="FABF8F"/>
            <w:vAlign w:val="center"/>
          </w:tcPr>
          <w:p w:rsidR="008357AC" w:rsidRPr="00653421" w:rsidDel="00587D23" w:rsidRDefault="008357AC" w:rsidP="00BA1576">
            <w:pPr>
              <w:pStyle w:val="TableText"/>
              <w:spacing w:before="30" w:after="30"/>
              <w:rPr>
                <w:rFonts w:ascii="Tahoma" w:hAnsi="Tahoma" w:cs="Tahoma"/>
                <w:sz w:val="13"/>
              </w:rPr>
            </w:pPr>
            <w:r w:rsidRPr="00653421">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653421" w:rsidRDefault="008357AC" w:rsidP="00BA1576">
            <w:pPr>
              <w:pStyle w:val="TableText"/>
              <w:spacing w:before="30" w:after="30"/>
              <w:rPr>
                <w:rFonts w:ascii="Tahoma" w:hAnsi="Tahoma" w:cs="Tahoma"/>
                <w:sz w:val="13"/>
              </w:rPr>
            </w:pPr>
          </w:p>
        </w:tc>
        <w:tc>
          <w:tcPr>
            <w:tcW w:w="2610" w:type="dxa"/>
            <w:gridSpan w:val="8"/>
            <w:tcBorders>
              <w:left w:val="single" w:sz="18" w:space="0" w:color="auto"/>
              <w:bottom w:val="single" w:sz="4" w:space="0" w:color="auto"/>
              <w:right w:val="single" w:sz="18" w:space="0" w:color="auto"/>
            </w:tcBorders>
            <w:shd w:val="clear" w:color="auto" w:fill="FABF8F"/>
            <w:vAlign w:val="center"/>
          </w:tcPr>
          <w:p w:rsidR="008357AC" w:rsidRPr="00653421" w:rsidRDefault="00FC7674" w:rsidP="00BA1576">
            <w:pPr>
              <w:pStyle w:val="TableText"/>
              <w:spacing w:before="30" w:after="30"/>
              <w:rPr>
                <w:rFonts w:ascii="Tahoma" w:hAnsi="Tahoma" w:cs="Tahoma"/>
                <w:sz w:val="13"/>
              </w:rPr>
            </w:pPr>
            <w:r w:rsidRPr="00653421">
              <w:rPr>
                <w:rFonts w:ascii="Tahoma" w:hAnsi="Tahoma" w:cs="Tahoma"/>
                <w:sz w:val="13"/>
              </w:rPr>
              <w:t>2</w:t>
            </w:r>
          </w:p>
        </w:tc>
        <w:tc>
          <w:tcPr>
            <w:tcW w:w="360" w:type="dxa"/>
            <w:tcBorders>
              <w:left w:val="single" w:sz="18" w:space="0" w:color="auto"/>
              <w:bottom w:val="single" w:sz="4" w:space="0" w:color="auto"/>
            </w:tcBorders>
            <w:shd w:val="clear" w:color="auto" w:fill="FABF8F"/>
            <w:vAlign w:val="center"/>
          </w:tcPr>
          <w:p w:rsidR="008357AC" w:rsidRPr="00653421" w:rsidRDefault="00FC7674"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8357AC" w:rsidRPr="00653421" w:rsidRDefault="008357AC"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8357AC" w:rsidRPr="00653421" w:rsidRDefault="008357AC" w:rsidP="00BA1576">
            <w:pPr>
              <w:pStyle w:val="TableText"/>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8357AC" w:rsidRPr="00653421" w:rsidRDefault="008357AC" w:rsidP="00BA1576">
            <w:pPr>
              <w:pStyle w:val="TableText"/>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8357AC" w:rsidRPr="00653421" w:rsidRDefault="008357AC" w:rsidP="00BA1576">
            <w:pPr>
              <w:pStyle w:val="TableText"/>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8357AC" w:rsidRPr="00653421" w:rsidRDefault="008357AC" w:rsidP="00BA1576">
            <w:pPr>
              <w:pStyle w:val="TableText"/>
              <w:spacing w:before="30" w:after="30"/>
              <w:rPr>
                <w:rFonts w:ascii="Tahoma" w:hAnsi="Tahoma" w:cs="Tahoma"/>
                <w:sz w:val="13"/>
              </w:rPr>
            </w:pPr>
          </w:p>
        </w:tc>
        <w:tc>
          <w:tcPr>
            <w:tcW w:w="720" w:type="dxa"/>
            <w:tcBorders>
              <w:bottom w:val="single" w:sz="4" w:space="0" w:color="auto"/>
            </w:tcBorders>
            <w:shd w:val="clear" w:color="auto" w:fill="FABF8F"/>
            <w:vAlign w:val="center"/>
          </w:tcPr>
          <w:p w:rsidR="008357AC" w:rsidRPr="00653421" w:rsidRDefault="008357AC"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8357AC" w:rsidRPr="00653421" w:rsidRDefault="008357AC" w:rsidP="00BA1576">
            <w:pPr>
              <w:pStyle w:val="TableText"/>
              <w:spacing w:before="30" w:after="30"/>
              <w:rPr>
                <w:rFonts w:ascii="Tahoma" w:hAnsi="Tahoma" w:cs="Tahoma"/>
                <w:sz w:val="13"/>
              </w:rPr>
            </w:pPr>
          </w:p>
        </w:tc>
      </w:tr>
      <w:tr w:rsidR="00B50A5B" w:rsidRPr="00653421" w:rsidTr="00BA1576">
        <w:trPr>
          <w:trHeight w:val="145"/>
        </w:trPr>
        <w:tc>
          <w:tcPr>
            <w:tcW w:w="2610" w:type="dxa"/>
            <w:tcBorders>
              <w:bottom w:val="single" w:sz="4" w:space="0" w:color="auto"/>
            </w:tcBorders>
            <w:shd w:val="clear" w:color="auto" w:fill="auto"/>
          </w:tcPr>
          <w:p w:rsidR="00B27742" w:rsidRPr="00734B50" w:rsidRDefault="00B27742" w:rsidP="00F70479">
            <w:pPr>
              <w:pStyle w:val="ProductNames"/>
              <w:rPr>
                <w:rFonts w:ascii="Tahoma" w:hAnsi="Tahoma" w:cs="Tahoma"/>
                <w:sz w:val="14"/>
                <w:lang w:val="pt-BR"/>
              </w:rPr>
            </w:pPr>
            <w:bookmarkStart w:id="129" w:name="_Toc336337901"/>
            <w:bookmarkStart w:id="130" w:name="_Toc353470552"/>
            <w:r w:rsidRPr="00734B50">
              <w:rPr>
                <w:rFonts w:ascii="Tahoma" w:hAnsi="Tahoma" w:cs="Tahoma"/>
                <w:sz w:val="14"/>
                <w:lang w:val="pt-BR"/>
              </w:rPr>
              <w:t>Direitos de Locação para Windows</w:t>
            </w:r>
            <w:bookmarkEnd w:id="129"/>
            <w:bookmarkEnd w:id="130"/>
          </w:p>
        </w:tc>
        <w:tc>
          <w:tcPr>
            <w:tcW w:w="360" w:type="dxa"/>
            <w:tcBorders>
              <w:bottom w:val="single" w:sz="4" w:space="0" w:color="auto"/>
            </w:tcBorders>
            <w:shd w:val="clear" w:color="auto" w:fill="auto"/>
            <w:vAlign w:val="center"/>
          </w:tcPr>
          <w:p w:rsidR="00B27742" w:rsidRPr="00734B50" w:rsidRDefault="00B27742" w:rsidP="00BA1576">
            <w:pPr>
              <w:pStyle w:val="TableText"/>
              <w:widowControl w:val="0"/>
              <w:spacing w:before="30" w:after="30"/>
              <w:rPr>
                <w:sz w:val="13"/>
                <w:szCs w:val="13"/>
                <w:lang w:val="pt-BR"/>
              </w:rPr>
            </w:pPr>
          </w:p>
        </w:tc>
        <w:tc>
          <w:tcPr>
            <w:tcW w:w="45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27742" w:rsidRPr="00653421" w:rsidRDefault="00391582" w:rsidP="00BA1576">
            <w:pPr>
              <w:pStyle w:val="TableText"/>
              <w:spacing w:before="30" w:after="30"/>
              <w:rPr>
                <w:rFonts w:ascii="Tahoma" w:hAnsi="Tahoma" w:cs="Tahoma"/>
                <w:sz w:val="13"/>
              </w:rPr>
            </w:pPr>
            <w:r w:rsidRPr="00653421">
              <w:rPr>
                <w:rFonts w:ascii="Tahoma" w:hAnsi="Tahoma" w:cs="Tahoma"/>
                <w:sz w:val="13"/>
              </w:rPr>
              <w:t>2</w:t>
            </w:r>
          </w:p>
        </w:tc>
        <w:tc>
          <w:tcPr>
            <w:tcW w:w="360" w:type="dxa"/>
            <w:gridSpan w:val="2"/>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27742" w:rsidRPr="00653421" w:rsidRDefault="00391582"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72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r>
      <w:tr w:rsidR="00024DF4" w:rsidRPr="00653421" w:rsidTr="00BA1576">
        <w:trPr>
          <w:trHeight w:val="145"/>
        </w:trPr>
        <w:tc>
          <w:tcPr>
            <w:tcW w:w="2610" w:type="dxa"/>
            <w:tcBorders>
              <w:bottom w:val="single" w:sz="4" w:space="0" w:color="auto"/>
            </w:tcBorders>
            <w:shd w:val="clear" w:color="auto" w:fill="FABF8F"/>
          </w:tcPr>
          <w:p w:rsidR="00024DF4" w:rsidRPr="00653421" w:rsidRDefault="00024DF4" w:rsidP="00F70479">
            <w:pPr>
              <w:pStyle w:val="ProductNames"/>
              <w:rPr>
                <w:rFonts w:ascii="Tahoma" w:hAnsi="Tahoma" w:cs="Tahoma"/>
                <w:sz w:val="14"/>
              </w:rPr>
            </w:pPr>
            <w:bookmarkStart w:id="131" w:name="_Toc336337902"/>
            <w:bookmarkStart w:id="132" w:name="_Toc353470553"/>
            <w:r w:rsidRPr="00653421">
              <w:rPr>
                <w:rFonts w:ascii="Tahoma" w:hAnsi="Tahoma" w:cs="Tahoma"/>
                <w:sz w:val="14"/>
              </w:rPr>
              <w:t>Windows 8 Enterprise Sideloading (Pacote com 100)</w:t>
            </w:r>
            <w:bookmarkEnd w:id="131"/>
            <w:bookmarkEnd w:id="132"/>
          </w:p>
        </w:tc>
        <w:tc>
          <w:tcPr>
            <w:tcW w:w="360" w:type="dxa"/>
            <w:tcBorders>
              <w:bottom w:val="single" w:sz="4" w:space="0" w:color="auto"/>
            </w:tcBorders>
            <w:shd w:val="clear" w:color="auto" w:fill="FABF8F"/>
            <w:vAlign w:val="center"/>
          </w:tcPr>
          <w:p w:rsidR="00024DF4" w:rsidRPr="00653421" w:rsidRDefault="0033195D" w:rsidP="00BA1576">
            <w:pPr>
              <w:pStyle w:val="TableText"/>
              <w:widowControl w:val="0"/>
              <w:spacing w:before="30" w:after="30"/>
              <w:rPr>
                <w:b/>
                <w:sz w:val="13"/>
                <w:szCs w:val="13"/>
                <w:u w:val="single"/>
              </w:rPr>
            </w:pPr>
            <w:hyperlink w:anchor="_27_Windows®_8" w:history="1">
              <w:r w:rsidR="00955428" w:rsidRPr="00653421">
                <w:rPr>
                  <w:rStyle w:val="Hyperlink"/>
                  <w:b/>
                  <w:sz w:val="13"/>
                  <w:szCs w:val="13"/>
                </w:rPr>
                <w:t>27</w:t>
              </w:r>
            </w:hyperlink>
          </w:p>
        </w:tc>
        <w:tc>
          <w:tcPr>
            <w:tcW w:w="450" w:type="dxa"/>
            <w:tcBorders>
              <w:bottom w:val="single" w:sz="4"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r w:rsidRPr="00653421">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r w:rsidRPr="00653421">
              <w:rPr>
                <w:rFonts w:ascii="Tahoma" w:hAnsi="Tahoma" w:cs="Tahoma"/>
                <w:sz w:val="13"/>
              </w:rPr>
              <w:t>DT</w:t>
            </w:r>
          </w:p>
        </w:tc>
        <w:tc>
          <w:tcPr>
            <w:tcW w:w="2610" w:type="dxa"/>
            <w:gridSpan w:val="8"/>
            <w:tcBorders>
              <w:left w:val="single" w:sz="18" w:space="0" w:color="auto"/>
              <w:bottom w:val="single" w:sz="4" w:space="0" w:color="auto"/>
              <w:right w:val="single" w:sz="18"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r w:rsidRPr="00653421">
              <w:rPr>
                <w:rFonts w:ascii="Tahoma" w:hAnsi="Tahoma" w:cs="Tahoma"/>
                <w:sz w:val="13"/>
              </w:rPr>
              <w:t>12</w:t>
            </w:r>
          </w:p>
        </w:tc>
        <w:tc>
          <w:tcPr>
            <w:tcW w:w="360" w:type="dxa"/>
            <w:tcBorders>
              <w:left w:val="single" w:sz="18" w:space="0" w:color="auto"/>
              <w:bottom w:val="single" w:sz="4"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r w:rsidRPr="00653421">
              <w:rPr>
                <w:rFonts w:ascii="Tahoma" w:hAnsi="Tahoma" w:cs="Tahoma"/>
                <w:sz w:val="13"/>
              </w:rPr>
              <w:t>12</w:t>
            </w:r>
          </w:p>
        </w:tc>
        <w:tc>
          <w:tcPr>
            <w:tcW w:w="450" w:type="dxa"/>
            <w:tcBorders>
              <w:bottom w:val="single" w:sz="4"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p>
        </w:tc>
        <w:tc>
          <w:tcPr>
            <w:tcW w:w="720" w:type="dxa"/>
            <w:tcBorders>
              <w:bottom w:val="single" w:sz="4"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024DF4" w:rsidRPr="00653421" w:rsidRDefault="00024DF4" w:rsidP="00BA1576">
            <w:pPr>
              <w:pStyle w:val="TableText"/>
              <w:spacing w:before="30" w:after="30"/>
              <w:rPr>
                <w:rFonts w:ascii="Tahoma" w:hAnsi="Tahoma" w:cs="Tahoma"/>
                <w:sz w:val="13"/>
              </w:rPr>
            </w:pPr>
            <w:r w:rsidRPr="00653421">
              <w:rPr>
                <w:rFonts w:ascii="Tahoma" w:hAnsi="Tahoma" w:cs="Tahoma"/>
                <w:sz w:val="13"/>
              </w:rPr>
              <w:t>LO</w:t>
            </w:r>
          </w:p>
        </w:tc>
      </w:tr>
      <w:tr w:rsidR="00B50A5B" w:rsidRPr="00653421" w:rsidTr="00BA1576">
        <w:trPr>
          <w:trHeight w:val="145"/>
        </w:trPr>
        <w:tc>
          <w:tcPr>
            <w:tcW w:w="2610" w:type="dxa"/>
            <w:tcBorders>
              <w:bottom w:val="single" w:sz="4" w:space="0" w:color="auto"/>
            </w:tcBorders>
            <w:shd w:val="clear" w:color="auto" w:fill="auto"/>
            <w:vAlign w:val="center"/>
          </w:tcPr>
          <w:p w:rsidR="00B27742" w:rsidRPr="00734B50" w:rsidRDefault="00B27742" w:rsidP="004D3139">
            <w:pPr>
              <w:pStyle w:val="ProductNames"/>
              <w:rPr>
                <w:rFonts w:ascii="Tahoma" w:hAnsi="Tahoma" w:cs="Tahoma"/>
                <w:sz w:val="14"/>
                <w:lang w:val="pt-BR"/>
              </w:rPr>
            </w:pPr>
            <w:bookmarkStart w:id="133" w:name="_Toc336337903"/>
            <w:bookmarkStart w:id="134" w:name="_Toc353470554"/>
            <w:r w:rsidRPr="00734B50">
              <w:rPr>
                <w:rFonts w:ascii="Tahoma" w:hAnsi="Tahoma" w:cs="Tahoma"/>
                <w:sz w:val="14"/>
                <w:lang w:val="pt-BR"/>
              </w:rPr>
              <w:t>Parceiros na Aprendizagem do</w:t>
            </w:r>
            <w:r w:rsidR="004D3139" w:rsidRPr="00734B50">
              <w:rPr>
                <w:rFonts w:ascii="Tahoma" w:hAnsi="Tahoma" w:cs="Tahoma"/>
                <w:sz w:val="14"/>
                <w:lang w:val="pt-BR"/>
              </w:rPr>
              <w:t> </w:t>
            </w:r>
            <w:r w:rsidRPr="00734B50">
              <w:rPr>
                <w:rFonts w:ascii="Tahoma" w:hAnsi="Tahoma" w:cs="Tahoma"/>
                <w:sz w:val="14"/>
                <w:lang w:val="pt-BR"/>
              </w:rPr>
              <w:t>Windows</w:t>
            </w:r>
            <w:r w:rsidRPr="00734B50">
              <w:rPr>
                <w:rFonts w:ascii="Tahoma" w:hAnsi="Tahoma" w:cs="Tahoma"/>
                <w:sz w:val="14"/>
                <w:vertAlign w:val="superscript"/>
                <w:lang w:val="pt-BR"/>
              </w:rPr>
              <w:t>®</w:t>
            </w:r>
            <w:r w:rsidRPr="00734B50">
              <w:rPr>
                <w:rFonts w:ascii="Tahoma" w:hAnsi="Tahoma" w:cs="Tahoma"/>
                <w:sz w:val="14"/>
                <w:lang w:val="pt-BR"/>
              </w:rPr>
              <w:t xml:space="preserve"> 7</w:t>
            </w:r>
            <w:bookmarkEnd w:id="133"/>
            <w:bookmarkEnd w:id="134"/>
          </w:p>
        </w:tc>
        <w:tc>
          <w:tcPr>
            <w:tcW w:w="360" w:type="dxa"/>
            <w:tcBorders>
              <w:bottom w:val="single" w:sz="4" w:space="0" w:color="auto"/>
            </w:tcBorders>
            <w:shd w:val="clear" w:color="auto" w:fill="auto"/>
            <w:vAlign w:val="center"/>
          </w:tcPr>
          <w:p w:rsidR="00B27742" w:rsidRPr="00653421" w:rsidRDefault="0033195D" w:rsidP="00BA1576">
            <w:pPr>
              <w:pStyle w:val="TableText"/>
              <w:widowControl w:val="0"/>
              <w:spacing w:before="30" w:after="30"/>
              <w:rPr>
                <w:b/>
                <w:sz w:val="13"/>
                <w:szCs w:val="13"/>
                <w:u w:val="single"/>
              </w:rPr>
            </w:pPr>
            <w:hyperlink w:anchor="_28_Parceiros_na" w:history="1">
              <w:r w:rsidR="00955428" w:rsidRPr="00653421">
                <w:rPr>
                  <w:rStyle w:val="Hyperlink"/>
                  <w:b/>
                  <w:sz w:val="13"/>
                  <w:szCs w:val="13"/>
                </w:rPr>
                <w:t>28</w:t>
              </w:r>
            </w:hyperlink>
          </w:p>
        </w:tc>
        <w:tc>
          <w:tcPr>
            <w:tcW w:w="45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gridSpan w:val="2"/>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 xml:space="preserve">2 </w:t>
            </w:r>
            <w:r w:rsidRPr="00653421">
              <w:rPr>
                <w:rFonts w:ascii="Tahoma" w:hAnsi="Tahoma" w:cs="Tahoma"/>
                <w:sz w:val="10"/>
                <w:szCs w:val="12"/>
              </w:rPr>
              <w:t>(Somente School</w:t>
            </w:r>
          </w:p>
        </w:tc>
        <w:tc>
          <w:tcPr>
            <w:tcW w:w="54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72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r>
      <w:tr w:rsidR="00B50A5B" w:rsidRPr="00653421" w:rsidTr="00BA1576">
        <w:trPr>
          <w:trHeight w:val="145"/>
        </w:trPr>
        <w:tc>
          <w:tcPr>
            <w:tcW w:w="2610" w:type="dxa"/>
            <w:tcBorders>
              <w:bottom w:val="single" w:sz="4" w:space="0" w:color="auto"/>
            </w:tcBorders>
            <w:shd w:val="clear" w:color="auto" w:fill="FABF8F"/>
          </w:tcPr>
          <w:p w:rsidR="00B27742" w:rsidRPr="00653421" w:rsidRDefault="00B27742" w:rsidP="00F70479">
            <w:pPr>
              <w:pStyle w:val="ProductNames"/>
              <w:rPr>
                <w:rFonts w:ascii="Tahoma" w:hAnsi="Tahoma" w:cs="Tahoma"/>
                <w:sz w:val="14"/>
              </w:rPr>
            </w:pPr>
            <w:bookmarkStart w:id="135" w:name="_Toc336337904"/>
            <w:bookmarkStart w:id="136" w:name="_Toc353470555"/>
            <w:r w:rsidRPr="00653421">
              <w:rPr>
                <w:rFonts w:ascii="Tahoma" w:hAnsi="Tahoma" w:cs="Tahoma"/>
                <w:sz w:val="14"/>
              </w:rPr>
              <w:t>Windows</w:t>
            </w:r>
            <w:r w:rsidRPr="00653421">
              <w:rPr>
                <w:rFonts w:ascii="Tahoma" w:hAnsi="Tahoma" w:cs="Tahoma"/>
                <w:sz w:val="14"/>
                <w:vertAlign w:val="superscript"/>
              </w:rPr>
              <w:t>®</w:t>
            </w:r>
            <w:r w:rsidRPr="00653421">
              <w:rPr>
                <w:rFonts w:ascii="Tahoma" w:hAnsi="Tahoma" w:cs="Tahoma"/>
                <w:sz w:val="14"/>
              </w:rPr>
              <w:t xml:space="preserve"> 8 Pro</w:t>
            </w:r>
            <w:bookmarkEnd w:id="135"/>
            <w:bookmarkEnd w:id="136"/>
            <w:r w:rsidRPr="00653421">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653421" w:rsidRDefault="0033195D" w:rsidP="00BA1576">
            <w:pPr>
              <w:pStyle w:val="TableText"/>
              <w:widowControl w:val="0"/>
              <w:spacing w:before="30" w:after="30"/>
              <w:rPr>
                <w:rStyle w:val="EndnoteReference"/>
                <w:b w:val="0"/>
                <w:color w:val="0000FF"/>
                <w:sz w:val="13"/>
                <w:szCs w:val="13"/>
                <w:u w:val="single"/>
              </w:rPr>
            </w:pPr>
            <w:hyperlink w:anchor="_29_Atualização_do" w:history="1">
              <w:r w:rsidR="00955428" w:rsidRPr="00653421">
                <w:rPr>
                  <w:rStyle w:val="Hyperlink"/>
                  <w:b/>
                  <w:sz w:val="13"/>
                  <w:szCs w:val="13"/>
                </w:rPr>
                <w:t>29</w:t>
              </w:r>
            </w:hyperlink>
          </w:p>
        </w:tc>
        <w:tc>
          <w:tcPr>
            <w:tcW w:w="45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DT</w:t>
            </w:r>
          </w:p>
        </w:tc>
        <w:tc>
          <w:tcPr>
            <w:tcW w:w="36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2</w:t>
            </w:r>
          </w:p>
        </w:tc>
        <w:tc>
          <w:tcPr>
            <w:tcW w:w="360" w:type="dxa"/>
            <w:gridSpan w:val="2"/>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4</w:t>
            </w:r>
          </w:p>
        </w:tc>
        <w:tc>
          <w:tcPr>
            <w:tcW w:w="36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4</w:t>
            </w:r>
          </w:p>
        </w:tc>
        <w:tc>
          <w:tcPr>
            <w:tcW w:w="36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2</w:t>
            </w:r>
          </w:p>
        </w:tc>
        <w:tc>
          <w:tcPr>
            <w:tcW w:w="630" w:type="dxa"/>
            <w:tcBorders>
              <w:left w:val="single" w:sz="18" w:space="0" w:color="auto"/>
              <w:bottom w:val="single" w:sz="4" w:space="0" w:color="auto"/>
            </w:tcBorders>
            <w:shd w:val="clear" w:color="auto" w:fill="FABF8F"/>
            <w:vAlign w:val="center"/>
          </w:tcPr>
          <w:p w:rsidR="00B27742" w:rsidRPr="00653421" w:rsidRDefault="00664EE9" w:rsidP="00BA1576">
            <w:pPr>
              <w:pStyle w:val="TableText"/>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E</w:t>
            </w:r>
          </w:p>
        </w:tc>
        <w:tc>
          <w:tcPr>
            <w:tcW w:w="540" w:type="dxa"/>
            <w:tcBorders>
              <w:left w:val="single" w:sz="18" w:space="0" w:color="auto"/>
              <w:bottom w:val="single" w:sz="4"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E, P</w:t>
            </w:r>
          </w:p>
        </w:tc>
        <w:tc>
          <w:tcPr>
            <w:tcW w:w="72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E,ST</w:t>
            </w:r>
          </w:p>
        </w:tc>
        <w:tc>
          <w:tcPr>
            <w:tcW w:w="540" w:type="dxa"/>
            <w:tcBorders>
              <w:bottom w:val="single" w:sz="4"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p>
        </w:tc>
      </w:tr>
      <w:tr w:rsidR="00B50A5B" w:rsidRPr="00653421" w:rsidTr="00BA1576">
        <w:trPr>
          <w:trHeight w:val="145"/>
        </w:trPr>
        <w:tc>
          <w:tcPr>
            <w:tcW w:w="2610" w:type="dxa"/>
            <w:tcBorders>
              <w:bottom w:val="single" w:sz="4" w:space="0" w:color="auto"/>
            </w:tcBorders>
            <w:shd w:val="clear" w:color="auto" w:fill="auto"/>
          </w:tcPr>
          <w:p w:rsidR="00B27742" w:rsidRPr="00653421" w:rsidRDefault="00B27742" w:rsidP="00F70479">
            <w:pPr>
              <w:pStyle w:val="ProductNames"/>
              <w:rPr>
                <w:rFonts w:ascii="Tahoma" w:hAnsi="Tahoma" w:cs="Tahoma"/>
                <w:sz w:val="14"/>
              </w:rPr>
            </w:pPr>
            <w:bookmarkStart w:id="137" w:name="_Toc336337905"/>
            <w:bookmarkStart w:id="138" w:name="_Toc353470556"/>
            <w:r w:rsidRPr="00653421">
              <w:rPr>
                <w:rFonts w:ascii="Tahoma" w:hAnsi="Tahoma" w:cs="Tahoma"/>
                <w:sz w:val="14"/>
              </w:rPr>
              <w:t>Windows</w:t>
            </w:r>
            <w:r w:rsidRPr="00653421">
              <w:rPr>
                <w:rFonts w:ascii="Tahoma" w:hAnsi="Tahoma" w:cs="Tahoma"/>
                <w:sz w:val="14"/>
                <w:vertAlign w:val="superscript"/>
              </w:rPr>
              <w:t>®</w:t>
            </w:r>
            <w:r w:rsidRPr="00653421">
              <w:rPr>
                <w:rFonts w:ascii="Tahoma" w:hAnsi="Tahoma" w:cs="Tahoma"/>
                <w:sz w:val="14"/>
              </w:rPr>
              <w:t xml:space="preserve"> 8 Pro com MDOP</w:t>
            </w:r>
            <w:bookmarkEnd w:id="137"/>
            <w:bookmarkEnd w:id="138"/>
            <w:r w:rsidRPr="00653421">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653421" w:rsidRDefault="00B27742" w:rsidP="00BA1576">
            <w:pPr>
              <w:pStyle w:val="TableText"/>
              <w:widowControl w:val="0"/>
              <w:spacing w:before="30" w:after="30"/>
              <w:rPr>
                <w:rStyle w:val="EndnoteReference"/>
                <w:color w:val="0000FF"/>
                <w:sz w:val="13"/>
                <w:szCs w:val="13"/>
                <w:u w:val="single"/>
              </w:rPr>
            </w:pPr>
          </w:p>
        </w:tc>
        <w:tc>
          <w:tcPr>
            <w:tcW w:w="450" w:type="dxa"/>
            <w:tcBorders>
              <w:bottom w:val="single" w:sz="4" w:space="0" w:color="auto"/>
            </w:tcBorders>
            <w:shd w:val="clear" w:color="auto" w:fill="auto"/>
            <w:vAlign w:val="center"/>
          </w:tcPr>
          <w:p w:rsidR="00B27742" w:rsidRPr="00653421" w:rsidRDefault="001327D3" w:rsidP="00BA1576">
            <w:pPr>
              <w:pStyle w:val="TableText"/>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DT</w:t>
            </w:r>
          </w:p>
        </w:tc>
        <w:tc>
          <w:tcPr>
            <w:tcW w:w="360" w:type="dxa"/>
            <w:tcBorders>
              <w:left w:val="single" w:sz="18" w:space="0" w:color="auto"/>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2</w:t>
            </w:r>
          </w:p>
        </w:tc>
        <w:tc>
          <w:tcPr>
            <w:tcW w:w="360" w:type="dxa"/>
            <w:gridSpan w:val="2"/>
            <w:tcBorders>
              <w:bottom w:val="single" w:sz="4" w:space="0" w:color="auto"/>
            </w:tcBorders>
            <w:shd w:val="clear" w:color="auto" w:fill="auto"/>
            <w:vAlign w:val="center"/>
          </w:tcPr>
          <w:p w:rsidR="00B27742" w:rsidRPr="00653421" w:rsidRDefault="00287725" w:rsidP="00BA1576">
            <w:pPr>
              <w:pStyle w:val="TableText"/>
              <w:spacing w:before="30" w:after="30"/>
              <w:rPr>
                <w:rFonts w:ascii="Tahoma" w:hAnsi="Tahoma" w:cs="Tahoma"/>
                <w:sz w:val="13"/>
              </w:rPr>
            </w:pPr>
            <w:r w:rsidRPr="00653421">
              <w:rPr>
                <w:rFonts w:ascii="Tahoma" w:hAnsi="Tahoma" w:cs="Tahoma"/>
                <w:sz w:val="13"/>
              </w:rPr>
              <w:t>6</w:t>
            </w:r>
          </w:p>
        </w:tc>
        <w:tc>
          <w:tcPr>
            <w:tcW w:w="360" w:type="dxa"/>
            <w:tcBorders>
              <w:bottom w:val="single" w:sz="4" w:space="0" w:color="auto"/>
            </w:tcBorders>
            <w:shd w:val="clear" w:color="auto" w:fill="auto"/>
            <w:vAlign w:val="center"/>
          </w:tcPr>
          <w:p w:rsidR="00B27742" w:rsidRPr="00653421" w:rsidRDefault="00287725" w:rsidP="00BA1576">
            <w:pPr>
              <w:pStyle w:val="TableText"/>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auto"/>
            <w:vAlign w:val="center"/>
          </w:tcPr>
          <w:p w:rsidR="00B27742" w:rsidRPr="00653421" w:rsidRDefault="00287725" w:rsidP="00BA1576">
            <w:pPr>
              <w:pStyle w:val="TableText"/>
              <w:spacing w:before="30" w:after="30"/>
              <w:rPr>
                <w:rFonts w:ascii="Tahoma" w:hAnsi="Tahoma" w:cs="Tahoma"/>
                <w:sz w:val="13"/>
              </w:rPr>
            </w:pPr>
            <w:r w:rsidRPr="00653421">
              <w:rPr>
                <w:rFonts w:ascii="Tahoma" w:hAnsi="Tahoma" w:cs="Tahoma"/>
                <w:sz w:val="13"/>
              </w:rPr>
              <w:t>4</w:t>
            </w:r>
          </w:p>
        </w:tc>
        <w:tc>
          <w:tcPr>
            <w:tcW w:w="36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3</w:t>
            </w:r>
          </w:p>
        </w:tc>
        <w:tc>
          <w:tcPr>
            <w:tcW w:w="45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B27742" w:rsidRPr="00653421" w:rsidRDefault="00664EE9" w:rsidP="00BA1576">
            <w:pPr>
              <w:pStyle w:val="TableText"/>
              <w:spacing w:before="30" w:after="30"/>
              <w:rPr>
                <w:rFonts w:ascii="Tahoma" w:hAnsi="Tahoma" w:cs="Tahoma"/>
                <w:sz w:val="13"/>
              </w:rPr>
            </w:pPr>
            <w:r w:rsidRPr="00653421">
              <w:rPr>
                <w:rFonts w:ascii="Tahoma" w:hAnsi="Tahoma" w:cs="Tahoma"/>
                <w:sz w:val="13"/>
              </w:rPr>
              <w:t>2</w:t>
            </w:r>
          </w:p>
        </w:tc>
        <w:tc>
          <w:tcPr>
            <w:tcW w:w="540" w:type="dxa"/>
            <w:tcBorders>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E</w:t>
            </w:r>
          </w:p>
        </w:tc>
        <w:tc>
          <w:tcPr>
            <w:tcW w:w="540" w:type="dxa"/>
            <w:tcBorders>
              <w:left w:val="single" w:sz="18" w:space="0" w:color="auto"/>
              <w:bottom w:val="single" w:sz="4" w:space="0" w:color="auto"/>
              <w:right w:val="single" w:sz="18"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E, P</w:t>
            </w:r>
          </w:p>
        </w:tc>
        <w:tc>
          <w:tcPr>
            <w:tcW w:w="72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E,ST</w:t>
            </w:r>
          </w:p>
        </w:tc>
        <w:tc>
          <w:tcPr>
            <w:tcW w:w="540" w:type="dxa"/>
            <w:tcBorders>
              <w:bottom w:val="single" w:sz="4" w:space="0" w:color="auto"/>
            </w:tcBorders>
            <w:shd w:val="clear" w:color="auto" w:fill="auto"/>
            <w:vAlign w:val="center"/>
          </w:tcPr>
          <w:p w:rsidR="00B27742" w:rsidRPr="00653421" w:rsidRDefault="00B27742" w:rsidP="00BA1576">
            <w:pPr>
              <w:pStyle w:val="TableText"/>
              <w:spacing w:before="30" w:after="30"/>
              <w:rPr>
                <w:rFonts w:ascii="Tahoma" w:hAnsi="Tahoma" w:cs="Tahoma"/>
                <w:sz w:val="13"/>
              </w:rPr>
            </w:pPr>
          </w:p>
        </w:tc>
      </w:tr>
      <w:tr w:rsidR="00B50A5B" w:rsidRPr="00653421" w:rsidTr="00BA1576">
        <w:trPr>
          <w:trHeight w:val="123"/>
        </w:trPr>
        <w:tc>
          <w:tcPr>
            <w:tcW w:w="2610" w:type="dxa"/>
            <w:shd w:val="clear" w:color="auto" w:fill="FABF8F"/>
          </w:tcPr>
          <w:p w:rsidR="00B27742" w:rsidRPr="00653421" w:rsidRDefault="00B27742" w:rsidP="0070485B">
            <w:pPr>
              <w:pStyle w:val="ProductNames"/>
              <w:spacing w:before="40" w:after="40"/>
              <w:rPr>
                <w:rFonts w:ascii="Tahoma" w:hAnsi="Tahoma" w:cs="Tahoma"/>
                <w:sz w:val="14"/>
              </w:rPr>
            </w:pPr>
            <w:bookmarkStart w:id="139" w:name="_Toc336337906"/>
            <w:bookmarkStart w:id="140" w:name="_Toc353470557"/>
            <w:r w:rsidRPr="00653421">
              <w:rPr>
                <w:rFonts w:ascii="Tahoma" w:hAnsi="Tahoma" w:cs="Tahoma"/>
                <w:sz w:val="14"/>
              </w:rPr>
              <w:t>Windows Virtual Desktop Access (VDA)</w:t>
            </w:r>
            <w:bookmarkEnd w:id="139"/>
            <w:bookmarkEnd w:id="140"/>
          </w:p>
        </w:tc>
        <w:tc>
          <w:tcPr>
            <w:tcW w:w="360" w:type="dxa"/>
            <w:shd w:val="clear" w:color="auto" w:fill="FABF8F"/>
            <w:vAlign w:val="center"/>
          </w:tcPr>
          <w:p w:rsidR="00B27742" w:rsidRPr="00653421" w:rsidRDefault="00B27742" w:rsidP="00BA1576">
            <w:pPr>
              <w:pStyle w:val="TableText"/>
              <w:widowControl w:val="0"/>
              <w:spacing w:before="30" w:after="30"/>
              <w:rPr>
                <w:rStyle w:val="EndnoteReference"/>
                <w:rFonts w:ascii="Tahoma" w:hAnsi="Tahoma"/>
                <w:color w:val="0000FF"/>
                <w:sz w:val="13"/>
                <w:szCs w:val="13"/>
              </w:rPr>
            </w:pPr>
          </w:p>
        </w:tc>
        <w:tc>
          <w:tcPr>
            <w:tcW w:w="450" w:type="dxa"/>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07/10</w:t>
            </w:r>
          </w:p>
        </w:tc>
        <w:tc>
          <w:tcPr>
            <w:tcW w:w="360" w:type="dxa"/>
            <w:tcBorders>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DT</w:t>
            </w:r>
          </w:p>
        </w:tc>
        <w:tc>
          <w:tcPr>
            <w:tcW w:w="2610" w:type="dxa"/>
            <w:gridSpan w:val="8"/>
            <w:tcBorders>
              <w:left w:val="single" w:sz="18"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2</w:t>
            </w:r>
          </w:p>
        </w:tc>
        <w:tc>
          <w:tcPr>
            <w:tcW w:w="360" w:type="dxa"/>
            <w:tcBorders>
              <w:lef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p>
        </w:tc>
        <w:tc>
          <w:tcPr>
            <w:tcW w:w="450" w:type="dxa"/>
            <w:shd w:val="clear" w:color="auto" w:fill="FABF8F"/>
            <w:vAlign w:val="center"/>
          </w:tcPr>
          <w:p w:rsidR="00B27742" w:rsidRPr="00653421" w:rsidRDefault="00B27742" w:rsidP="00BA1576">
            <w:pPr>
              <w:pStyle w:val="TableText"/>
              <w:spacing w:before="30" w:after="30"/>
              <w:rPr>
                <w:rFonts w:ascii="Tahoma" w:hAnsi="Tahoma" w:cs="Tahoma"/>
                <w:sz w:val="13"/>
              </w:rPr>
            </w:pPr>
          </w:p>
        </w:tc>
        <w:tc>
          <w:tcPr>
            <w:tcW w:w="360" w:type="dxa"/>
            <w:tcBorders>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p>
        </w:tc>
        <w:tc>
          <w:tcPr>
            <w:tcW w:w="630" w:type="dxa"/>
            <w:tcBorders>
              <w:left w:val="single" w:sz="18" w:space="0" w:color="auto"/>
            </w:tcBorders>
            <w:shd w:val="clear" w:color="auto" w:fill="FABF8F"/>
            <w:vAlign w:val="center"/>
          </w:tcPr>
          <w:p w:rsidR="00B27742" w:rsidRPr="00653421" w:rsidRDefault="00751F50" w:rsidP="00BA1576">
            <w:pPr>
              <w:pStyle w:val="TableText"/>
              <w:spacing w:before="30" w:after="30"/>
              <w:rPr>
                <w:rFonts w:ascii="Tahoma" w:hAnsi="Tahoma" w:cs="Tahoma"/>
                <w:sz w:val="13"/>
              </w:rPr>
            </w:pPr>
            <w:r w:rsidRPr="00653421">
              <w:rPr>
                <w:rFonts w:ascii="Tahoma" w:hAnsi="Tahoma" w:cs="Tahoma"/>
                <w:sz w:val="13"/>
              </w:rPr>
              <w:t>1)</w:t>
            </w:r>
          </w:p>
        </w:tc>
        <w:tc>
          <w:tcPr>
            <w:tcW w:w="540" w:type="dxa"/>
            <w:tcBorders>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E, A</w:t>
            </w:r>
          </w:p>
        </w:tc>
        <w:tc>
          <w:tcPr>
            <w:tcW w:w="540" w:type="dxa"/>
            <w:tcBorders>
              <w:left w:val="single" w:sz="18" w:space="0" w:color="auto"/>
              <w:right w:val="single" w:sz="18" w:space="0" w:color="auto"/>
            </w:tcBorders>
            <w:shd w:val="clear" w:color="auto" w:fill="FABF8F"/>
            <w:vAlign w:val="center"/>
          </w:tcPr>
          <w:p w:rsidR="00B27742" w:rsidRPr="00653421" w:rsidRDefault="00B27742" w:rsidP="00BA1576">
            <w:pPr>
              <w:pStyle w:val="TableText"/>
              <w:spacing w:before="30" w:after="30"/>
              <w:rPr>
                <w:rFonts w:ascii="Tahoma" w:hAnsi="Tahoma" w:cs="Tahoma"/>
                <w:sz w:val="13"/>
              </w:rPr>
            </w:pPr>
            <w:r w:rsidRPr="00653421">
              <w:rPr>
                <w:rFonts w:ascii="Tahoma" w:hAnsi="Tahoma" w:cs="Tahoma"/>
                <w:sz w:val="13"/>
              </w:rPr>
              <w:t>P</w:t>
            </w:r>
          </w:p>
        </w:tc>
        <w:tc>
          <w:tcPr>
            <w:tcW w:w="720" w:type="dxa"/>
            <w:shd w:val="clear" w:color="auto" w:fill="FABF8F"/>
            <w:vAlign w:val="center"/>
          </w:tcPr>
          <w:p w:rsidR="00B27742" w:rsidRPr="00653421" w:rsidRDefault="00954BF1" w:rsidP="00BA1576">
            <w:pPr>
              <w:pStyle w:val="TableText"/>
              <w:spacing w:before="30" w:after="30"/>
              <w:rPr>
                <w:rFonts w:ascii="Tahoma" w:hAnsi="Tahoma" w:cs="Tahoma"/>
                <w:sz w:val="13"/>
              </w:rPr>
            </w:pPr>
            <w:r w:rsidRPr="00653421">
              <w:rPr>
                <w:rFonts w:ascii="Tahoma" w:hAnsi="Tahoma" w:cs="Tahoma"/>
                <w:sz w:val="13"/>
              </w:rPr>
              <w:t>A</w:t>
            </w:r>
          </w:p>
        </w:tc>
        <w:tc>
          <w:tcPr>
            <w:tcW w:w="540" w:type="dxa"/>
            <w:shd w:val="clear" w:color="auto" w:fill="FABF8F"/>
            <w:vAlign w:val="center"/>
          </w:tcPr>
          <w:p w:rsidR="00B27742" w:rsidRPr="00653421" w:rsidRDefault="00B27742" w:rsidP="00BA1576">
            <w:pPr>
              <w:pStyle w:val="TableText"/>
              <w:spacing w:before="30" w:after="30"/>
              <w:rPr>
                <w:rFonts w:ascii="Tahoma" w:hAnsi="Tahoma" w:cs="Tahoma"/>
                <w:sz w:val="13"/>
              </w:rPr>
            </w:pPr>
          </w:p>
        </w:tc>
      </w:tr>
      <w:tr w:rsidR="006F741C" w:rsidRPr="00653421" w:rsidTr="00BA1576">
        <w:trPr>
          <w:trHeight w:val="123"/>
        </w:trPr>
        <w:tc>
          <w:tcPr>
            <w:tcW w:w="2610" w:type="dxa"/>
            <w:shd w:val="clear" w:color="auto" w:fill="auto"/>
          </w:tcPr>
          <w:p w:rsidR="006F741C" w:rsidRPr="00653421" w:rsidRDefault="006F741C" w:rsidP="00F70479">
            <w:pPr>
              <w:pStyle w:val="ProductNames"/>
              <w:rPr>
                <w:rFonts w:ascii="Tahoma" w:hAnsi="Tahoma" w:cs="Tahoma"/>
                <w:sz w:val="14"/>
              </w:rPr>
            </w:pPr>
            <w:bookmarkStart w:id="141" w:name="_Toc353470558"/>
            <w:r w:rsidRPr="00653421">
              <w:rPr>
                <w:rFonts w:ascii="Tahoma" w:hAnsi="Tahoma" w:cs="Tahoma"/>
                <w:sz w:val="14"/>
              </w:rPr>
              <w:t>Windows Intune (Por Dispositivo)</w:t>
            </w:r>
            <w:bookmarkEnd w:id="141"/>
          </w:p>
        </w:tc>
        <w:tc>
          <w:tcPr>
            <w:tcW w:w="360" w:type="dxa"/>
            <w:shd w:val="clear" w:color="auto" w:fill="auto"/>
            <w:vAlign w:val="center"/>
          </w:tcPr>
          <w:p w:rsidR="006F741C" w:rsidRPr="00653421" w:rsidRDefault="0033195D" w:rsidP="00BA1576">
            <w:pPr>
              <w:pStyle w:val="TableText"/>
              <w:widowControl w:val="0"/>
              <w:spacing w:before="30" w:after="30"/>
              <w:rPr>
                <w:rStyle w:val="EndnoteReference"/>
                <w:b w:val="0"/>
                <w:color w:val="0000FF"/>
                <w:sz w:val="13"/>
                <w:szCs w:val="13"/>
              </w:rPr>
            </w:pPr>
            <w:hyperlink w:anchor="_29_Windows®_8" w:history="1">
              <w:r w:rsidR="00955428" w:rsidRPr="00653421">
                <w:rPr>
                  <w:rStyle w:val="Hyperlink"/>
                  <w:b/>
                  <w:sz w:val="13"/>
                  <w:szCs w:val="13"/>
                </w:rPr>
                <w:t>29</w:t>
              </w:r>
            </w:hyperlink>
          </w:p>
        </w:tc>
        <w:tc>
          <w:tcPr>
            <w:tcW w:w="450" w:type="dxa"/>
            <w:shd w:val="clear" w:color="auto" w:fill="auto"/>
            <w:vAlign w:val="center"/>
          </w:tcPr>
          <w:p w:rsidR="006F741C" w:rsidRPr="00653421" w:rsidRDefault="006F741C" w:rsidP="00BA1576">
            <w:pPr>
              <w:pStyle w:val="TableText"/>
              <w:spacing w:before="30" w:after="30"/>
              <w:rPr>
                <w:rFonts w:ascii="Tahoma" w:hAnsi="Tahoma" w:cs="Tahoma"/>
                <w:sz w:val="13"/>
              </w:rPr>
            </w:pPr>
            <w:r w:rsidRPr="00653421">
              <w:rPr>
                <w:rFonts w:ascii="Tahoma" w:hAnsi="Tahoma" w:cs="Tahoma"/>
                <w:sz w:val="13"/>
              </w:rPr>
              <w:t>4/11</w:t>
            </w:r>
          </w:p>
        </w:tc>
        <w:tc>
          <w:tcPr>
            <w:tcW w:w="360" w:type="dxa"/>
            <w:tcBorders>
              <w:right w:val="single" w:sz="18" w:space="0" w:color="auto"/>
            </w:tcBorders>
            <w:shd w:val="clear" w:color="auto" w:fill="auto"/>
            <w:vAlign w:val="center"/>
          </w:tcPr>
          <w:p w:rsidR="006F741C" w:rsidRPr="00653421" w:rsidRDefault="006F741C" w:rsidP="00BA1576">
            <w:pPr>
              <w:pStyle w:val="TableText"/>
              <w:spacing w:before="30" w:after="30"/>
              <w:rPr>
                <w:rFonts w:ascii="Tahoma" w:hAnsi="Tahoma" w:cs="Tahoma"/>
                <w:sz w:val="13"/>
              </w:rPr>
            </w:pPr>
          </w:p>
        </w:tc>
        <w:tc>
          <w:tcPr>
            <w:tcW w:w="2610" w:type="dxa"/>
            <w:gridSpan w:val="8"/>
            <w:tcBorders>
              <w:left w:val="single" w:sz="18" w:space="0" w:color="auto"/>
              <w:right w:val="single" w:sz="18" w:space="0" w:color="auto"/>
            </w:tcBorders>
            <w:shd w:val="clear" w:color="auto" w:fill="auto"/>
            <w:vAlign w:val="center"/>
          </w:tcPr>
          <w:p w:rsidR="006F741C" w:rsidRPr="00653421" w:rsidRDefault="006F741C" w:rsidP="00BA1576">
            <w:pPr>
              <w:pStyle w:val="TableText"/>
              <w:spacing w:before="30" w:after="30"/>
              <w:rPr>
                <w:rFonts w:ascii="Tahoma" w:hAnsi="Tahoma" w:cs="Tahoma"/>
                <w:sz w:val="13"/>
              </w:rPr>
            </w:pPr>
          </w:p>
        </w:tc>
        <w:tc>
          <w:tcPr>
            <w:tcW w:w="360" w:type="dxa"/>
            <w:tcBorders>
              <w:left w:val="single" w:sz="18" w:space="0" w:color="auto"/>
            </w:tcBorders>
            <w:shd w:val="clear" w:color="auto" w:fill="auto"/>
            <w:vAlign w:val="center"/>
          </w:tcPr>
          <w:p w:rsidR="006F741C" w:rsidRPr="00653421" w:rsidRDefault="006F741C" w:rsidP="00BA1576">
            <w:pPr>
              <w:pStyle w:val="TableText"/>
              <w:spacing w:before="30" w:after="30"/>
              <w:rPr>
                <w:rFonts w:ascii="Tahoma" w:hAnsi="Tahoma" w:cs="Tahoma"/>
                <w:sz w:val="13"/>
              </w:rPr>
            </w:pPr>
          </w:p>
        </w:tc>
        <w:tc>
          <w:tcPr>
            <w:tcW w:w="450" w:type="dxa"/>
            <w:shd w:val="clear" w:color="auto" w:fill="auto"/>
            <w:vAlign w:val="center"/>
          </w:tcPr>
          <w:p w:rsidR="006F741C" w:rsidRPr="00653421" w:rsidRDefault="006F741C" w:rsidP="00BA1576">
            <w:pPr>
              <w:pStyle w:val="TableText"/>
              <w:spacing w:before="30" w:after="30"/>
              <w:rPr>
                <w:rFonts w:ascii="Tahoma" w:hAnsi="Tahoma" w:cs="Tahoma"/>
                <w:sz w:val="13"/>
              </w:rPr>
            </w:pPr>
          </w:p>
        </w:tc>
        <w:tc>
          <w:tcPr>
            <w:tcW w:w="360" w:type="dxa"/>
            <w:tcBorders>
              <w:right w:val="single" w:sz="18" w:space="0" w:color="auto"/>
            </w:tcBorders>
            <w:shd w:val="clear" w:color="auto" w:fill="auto"/>
            <w:vAlign w:val="center"/>
          </w:tcPr>
          <w:p w:rsidR="006F741C" w:rsidRPr="00653421" w:rsidRDefault="006F741C" w:rsidP="00BA1576">
            <w:pPr>
              <w:pStyle w:val="TableText"/>
              <w:spacing w:before="30" w:after="30"/>
              <w:rPr>
                <w:rFonts w:ascii="Tahoma" w:hAnsi="Tahoma" w:cs="Tahoma"/>
                <w:sz w:val="13"/>
              </w:rPr>
            </w:pPr>
          </w:p>
        </w:tc>
        <w:tc>
          <w:tcPr>
            <w:tcW w:w="630" w:type="dxa"/>
            <w:tcBorders>
              <w:left w:val="single" w:sz="18" w:space="0" w:color="auto"/>
            </w:tcBorders>
            <w:shd w:val="clear" w:color="auto" w:fill="auto"/>
            <w:vAlign w:val="center"/>
          </w:tcPr>
          <w:p w:rsidR="006F741C" w:rsidRPr="00653421" w:rsidRDefault="006F741C" w:rsidP="00BA1576">
            <w:pPr>
              <w:pStyle w:val="TableText"/>
              <w:spacing w:before="30" w:after="30"/>
              <w:rPr>
                <w:rFonts w:ascii="Tahoma" w:hAnsi="Tahoma" w:cs="Tahoma"/>
                <w:sz w:val="13"/>
              </w:rPr>
            </w:pPr>
          </w:p>
        </w:tc>
        <w:tc>
          <w:tcPr>
            <w:tcW w:w="540" w:type="dxa"/>
            <w:tcBorders>
              <w:right w:val="single" w:sz="18" w:space="0" w:color="auto"/>
            </w:tcBorders>
            <w:shd w:val="clear" w:color="auto" w:fill="auto"/>
            <w:vAlign w:val="center"/>
          </w:tcPr>
          <w:p w:rsidR="006F741C" w:rsidRPr="00653421" w:rsidRDefault="006F741C" w:rsidP="00BA1576">
            <w:pPr>
              <w:pStyle w:val="TableText"/>
              <w:spacing w:before="30" w:after="30"/>
              <w:rPr>
                <w:rFonts w:ascii="Tahoma" w:hAnsi="Tahoma" w:cs="Tahoma"/>
                <w:sz w:val="13"/>
              </w:rPr>
            </w:pPr>
          </w:p>
        </w:tc>
        <w:tc>
          <w:tcPr>
            <w:tcW w:w="540" w:type="dxa"/>
            <w:tcBorders>
              <w:left w:val="single" w:sz="18" w:space="0" w:color="auto"/>
              <w:right w:val="single" w:sz="18" w:space="0" w:color="auto"/>
            </w:tcBorders>
            <w:shd w:val="clear" w:color="auto" w:fill="auto"/>
            <w:vAlign w:val="center"/>
          </w:tcPr>
          <w:p w:rsidR="006F741C" w:rsidRPr="00653421" w:rsidRDefault="006F741C" w:rsidP="00BA1576">
            <w:pPr>
              <w:pStyle w:val="TableText"/>
              <w:spacing w:before="30" w:after="30"/>
              <w:rPr>
                <w:rFonts w:ascii="Tahoma" w:hAnsi="Tahoma" w:cs="Tahoma"/>
                <w:sz w:val="13"/>
              </w:rPr>
            </w:pPr>
          </w:p>
        </w:tc>
        <w:tc>
          <w:tcPr>
            <w:tcW w:w="720" w:type="dxa"/>
            <w:shd w:val="clear" w:color="auto" w:fill="auto"/>
            <w:vAlign w:val="center"/>
          </w:tcPr>
          <w:p w:rsidR="006F741C" w:rsidRPr="00653421" w:rsidRDefault="006F741C" w:rsidP="00BA1576">
            <w:pPr>
              <w:pStyle w:val="TableText"/>
              <w:spacing w:before="30" w:after="30"/>
              <w:rPr>
                <w:rFonts w:ascii="Tahoma" w:hAnsi="Tahoma" w:cs="Tahoma"/>
                <w:sz w:val="13"/>
              </w:rPr>
            </w:pPr>
          </w:p>
        </w:tc>
        <w:tc>
          <w:tcPr>
            <w:tcW w:w="540" w:type="dxa"/>
            <w:shd w:val="clear" w:color="auto" w:fill="auto"/>
            <w:vAlign w:val="center"/>
          </w:tcPr>
          <w:p w:rsidR="006F741C" w:rsidRPr="00653421" w:rsidRDefault="006F741C" w:rsidP="00BA1576">
            <w:pPr>
              <w:pStyle w:val="TableText"/>
              <w:spacing w:before="30" w:after="30"/>
              <w:rPr>
                <w:rFonts w:ascii="Tahoma" w:hAnsi="Tahoma" w:cs="Tahoma"/>
                <w:sz w:val="13"/>
              </w:rPr>
            </w:pPr>
          </w:p>
        </w:tc>
      </w:tr>
      <w:tr w:rsidR="00955DF1" w:rsidRPr="00653421" w:rsidTr="00BA1576">
        <w:trPr>
          <w:trHeight w:val="123"/>
        </w:trPr>
        <w:tc>
          <w:tcPr>
            <w:tcW w:w="2610" w:type="dxa"/>
            <w:tcBorders>
              <w:bottom w:val="single" w:sz="4" w:space="0" w:color="auto"/>
            </w:tcBorders>
            <w:shd w:val="clear" w:color="auto" w:fill="FABF8F"/>
          </w:tcPr>
          <w:p w:rsidR="00955DF1" w:rsidRPr="00734B50" w:rsidRDefault="00955DF1" w:rsidP="00F86A4B">
            <w:pPr>
              <w:pStyle w:val="ProductNames"/>
              <w:rPr>
                <w:rFonts w:ascii="Tahoma" w:hAnsi="Tahoma" w:cs="Tahoma"/>
                <w:sz w:val="14"/>
                <w:lang w:val="pt-BR"/>
              </w:rPr>
            </w:pPr>
            <w:bookmarkStart w:id="142" w:name="_Toc353470559"/>
            <w:r w:rsidRPr="00734B50">
              <w:rPr>
                <w:rFonts w:ascii="Tahoma" w:hAnsi="Tahoma" w:cs="Tahoma"/>
                <w:sz w:val="14"/>
                <w:lang w:val="pt-BR"/>
              </w:rPr>
              <w:t>Complemento do Windows Intune (Por</w:t>
            </w:r>
            <w:r w:rsidR="00F86A4B" w:rsidRPr="00734B50">
              <w:rPr>
                <w:rFonts w:ascii="Tahoma" w:hAnsi="Tahoma" w:cs="Tahoma"/>
                <w:sz w:val="14"/>
                <w:lang w:val="pt-BR"/>
              </w:rPr>
              <w:t> </w:t>
            </w:r>
            <w:r w:rsidRPr="00734B50">
              <w:rPr>
                <w:rFonts w:ascii="Tahoma" w:hAnsi="Tahoma" w:cs="Tahoma"/>
                <w:sz w:val="14"/>
                <w:lang w:val="pt-BR"/>
              </w:rPr>
              <w:t>Dispositivo)</w:t>
            </w:r>
            <w:bookmarkEnd w:id="142"/>
          </w:p>
        </w:tc>
        <w:tc>
          <w:tcPr>
            <w:tcW w:w="360" w:type="dxa"/>
            <w:tcBorders>
              <w:bottom w:val="single" w:sz="4" w:space="0" w:color="auto"/>
            </w:tcBorders>
            <w:shd w:val="clear" w:color="auto" w:fill="FABF8F"/>
            <w:vAlign w:val="center"/>
          </w:tcPr>
          <w:p w:rsidR="00955DF1" w:rsidRPr="00653421" w:rsidRDefault="0033195D" w:rsidP="00BA1576">
            <w:pPr>
              <w:pStyle w:val="TableText"/>
              <w:widowControl w:val="0"/>
              <w:spacing w:before="30" w:after="30"/>
              <w:rPr>
                <w:rStyle w:val="EndnoteReference"/>
                <w:b w:val="0"/>
                <w:color w:val="0000FF"/>
                <w:sz w:val="13"/>
                <w:szCs w:val="13"/>
              </w:rPr>
            </w:pPr>
            <w:hyperlink w:anchor="_30_Complemento_do" w:history="1">
              <w:r w:rsidR="00B0065F" w:rsidRPr="00653421">
                <w:rPr>
                  <w:rStyle w:val="Hyperlink"/>
                  <w:b/>
                  <w:sz w:val="13"/>
                  <w:szCs w:val="13"/>
                </w:rPr>
                <w:t>30</w:t>
              </w:r>
            </w:hyperlink>
            <w:hyperlink w:anchor="Sys_27WindowsVistaProUpgrade" w:history="1"/>
          </w:p>
        </w:tc>
        <w:tc>
          <w:tcPr>
            <w:tcW w:w="450" w:type="dxa"/>
            <w:tcBorders>
              <w:bottom w:val="single" w:sz="4"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r w:rsidRPr="00653421">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c>
          <w:tcPr>
            <w:tcW w:w="2610" w:type="dxa"/>
            <w:gridSpan w:val="8"/>
            <w:tcBorders>
              <w:left w:val="single" w:sz="18" w:space="0" w:color="auto"/>
              <w:bottom w:val="single" w:sz="4" w:space="0" w:color="auto"/>
              <w:right w:val="single" w:sz="18"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c>
          <w:tcPr>
            <w:tcW w:w="720" w:type="dxa"/>
            <w:tcBorders>
              <w:bottom w:val="single" w:sz="4"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955DF1" w:rsidRPr="00653421" w:rsidRDefault="00955DF1" w:rsidP="00BA1576">
            <w:pPr>
              <w:pStyle w:val="TableText"/>
              <w:spacing w:before="30" w:after="30"/>
              <w:rPr>
                <w:rFonts w:ascii="Tahoma" w:hAnsi="Tahoma" w:cs="Tahoma"/>
                <w:sz w:val="13"/>
              </w:rPr>
            </w:pPr>
          </w:p>
        </w:tc>
      </w:tr>
    </w:tbl>
    <w:p w:rsidR="00091558" w:rsidRPr="00653421" w:rsidRDefault="00091558">
      <w:pPr>
        <w:pStyle w:val="ProductPool"/>
      </w:pPr>
    </w:p>
    <w:p w:rsidR="0021637C" w:rsidRPr="00653421" w:rsidRDefault="0021637C" w:rsidP="004E292A">
      <w:pPr>
        <w:pStyle w:val="Heading3"/>
      </w:pPr>
    </w:p>
    <w:p w:rsidR="00023FE7" w:rsidRPr="00653421" w:rsidRDefault="00023FE7" w:rsidP="004E292A">
      <w:pPr>
        <w:pStyle w:val="Heading3"/>
      </w:pPr>
      <w:bookmarkStart w:id="143" w:name="_Toc336337908"/>
      <w:bookmarkStart w:id="144" w:name="_Toc353470560"/>
      <w:r w:rsidRPr="00653421">
        <w:rPr>
          <w:rFonts w:ascii="Tahoma" w:hAnsi="Tahoma" w:cs="Tahoma"/>
          <w:sz w:val="22"/>
          <w:szCs w:val="22"/>
        </w:rPr>
        <w:t>POOL DE SERVIDORES</w:t>
      </w:r>
      <w:bookmarkEnd w:id="143"/>
      <w:bookmarkEnd w:id="144"/>
    </w:p>
    <w:p w:rsidR="00023FE7" w:rsidRPr="00653421"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360"/>
        <w:gridCol w:w="450"/>
        <w:gridCol w:w="360"/>
        <w:gridCol w:w="360"/>
        <w:gridCol w:w="360"/>
        <w:gridCol w:w="360"/>
        <w:gridCol w:w="360"/>
        <w:gridCol w:w="360"/>
        <w:gridCol w:w="450"/>
        <w:gridCol w:w="360"/>
        <w:gridCol w:w="360"/>
        <w:gridCol w:w="450"/>
        <w:gridCol w:w="360"/>
        <w:gridCol w:w="630"/>
        <w:gridCol w:w="540"/>
        <w:gridCol w:w="540"/>
        <w:gridCol w:w="720"/>
        <w:gridCol w:w="540"/>
      </w:tblGrid>
      <w:tr w:rsidR="001C38D4" w:rsidRPr="00653421" w:rsidTr="00BA1576">
        <w:trPr>
          <w:cantSplit/>
          <w:trHeight w:val="389"/>
          <w:tblHeader/>
        </w:trPr>
        <w:tc>
          <w:tcPr>
            <w:tcW w:w="2734" w:type="dxa"/>
            <w:gridSpan w:val="2"/>
            <w:vMerge w:val="restart"/>
            <w:tcBorders>
              <w:top w:val="single" w:sz="4" w:space="0" w:color="FFFFFF"/>
              <w:left w:val="single" w:sz="4" w:space="0" w:color="FFFFFF"/>
            </w:tcBorders>
          </w:tcPr>
          <w:p w:rsidR="00C031FA" w:rsidRPr="00653421" w:rsidRDefault="003E5DC9">
            <w:pPr>
              <w:rPr>
                <w:rFonts w:cs="Tahoma"/>
                <w:sz w:val="20"/>
              </w:rPr>
            </w:pPr>
            <w:r w:rsidRPr="00653421">
              <w:rPr>
                <w:rFonts w:cs="Tahoma"/>
                <w:noProof/>
              </w:rPr>
              <mc:AlternateContent>
                <mc:Choice Requires="wps">
                  <w:drawing>
                    <wp:anchor distT="0" distB="0" distL="114300" distR="114300" simplePos="0" relativeHeight="251663872" behindDoc="0" locked="0" layoutInCell="1" allowOverlap="1" wp14:anchorId="14064829" wp14:editId="500B13C7">
                      <wp:simplePos x="0" y="0"/>
                      <wp:positionH relativeFrom="column">
                        <wp:posOffset>1612900</wp:posOffset>
                      </wp:positionH>
                      <wp:positionV relativeFrom="paragraph">
                        <wp:posOffset>652780</wp:posOffset>
                      </wp:positionV>
                      <wp:extent cx="405130" cy="32385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40513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0678" w:rsidRDefault="006E0678" w:rsidP="00A64D19">
                                  <w:pPr>
                                    <w:jc w:val="center"/>
                                    <w:rPr>
                                      <w:color w:val="0000FF"/>
                                      <w:sz w:val="20"/>
                                    </w:rPr>
                                  </w:pPr>
                                  <w:r>
                                    <w:rPr>
                                      <w:rFonts w:cs="Tahoma"/>
                                      <w:b/>
                                      <w:color w:val="0000FF"/>
                                      <w:sz w:val="8"/>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064829" id="Text Box 64" o:spid="_x0000_s1028" type="#_x0000_t202" style="position:absolute;margin-left:127pt;margin-top:51.4pt;width:31.9pt;height:25.5pt;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" filled="f" stroked="f">
                      <v:textbox>
                        <w:txbxContent>
                          <w:p w:rsidR="006E0678" w:rsidRDefault="006E0678" w:rsidP="00A64D19">
                            <w:pPr>
                              <w:jc w:val="center"/>
                              <w:rPr>
                                <w:color w:val="0000FF"/>
                                <w:sz w:val="20"/>
                              </w:rPr>
                            </w:pPr>
                            <w:r>
                              <w:rPr>
                                <w:rFonts w:cs="Tahoma"/>
                                <w:b/>
                                <w:color w:val="0000FF"/>
                                <w:sz w:val="8"/>
                              </w:rPr>
                              <w:t>(Ctrl + clique)</w:t>
                            </w:r>
                          </w:p>
                        </w:txbxContent>
                      </v:textbox>
                    </v:shape>
                  </w:pict>
                </mc:Fallback>
              </mc:AlternateContent>
            </w:r>
          </w:p>
        </w:tc>
        <w:tc>
          <w:tcPr>
            <w:tcW w:w="360" w:type="dxa"/>
            <w:vMerge w:val="restart"/>
            <w:tcBorders>
              <w:top w:val="single" w:sz="12" w:space="0" w:color="auto"/>
            </w:tcBorders>
            <w:textDirection w:val="btLr"/>
            <w:vAlign w:val="center"/>
          </w:tcPr>
          <w:p w:rsidR="00C031FA" w:rsidRPr="00653421" w:rsidRDefault="00C031FA" w:rsidP="00BA1576">
            <w:pPr>
              <w:pStyle w:val="TableVerticalText"/>
              <w:spacing w:before="30" w:after="30"/>
              <w:rPr>
                <w:rFonts w:ascii="Tahoma" w:hAnsi="Tahoma" w:cs="Tahoma"/>
                <w:sz w:val="9"/>
              </w:rPr>
            </w:pPr>
            <w:r w:rsidRPr="00653421">
              <w:rPr>
                <w:rFonts w:ascii="Tahoma" w:hAnsi="Tahoma" w:cs="Tahoma"/>
                <w:sz w:val="9"/>
              </w:rPr>
              <w:t>Notas do Produto</w:t>
            </w:r>
          </w:p>
        </w:tc>
        <w:tc>
          <w:tcPr>
            <w:tcW w:w="450" w:type="dxa"/>
            <w:vMerge w:val="restart"/>
            <w:tcBorders>
              <w:top w:val="single" w:sz="12" w:space="0" w:color="auto"/>
            </w:tcBorders>
            <w:textDirection w:val="btLr"/>
            <w:vAlign w:val="center"/>
          </w:tcPr>
          <w:p w:rsidR="00C031FA" w:rsidRPr="00653421" w:rsidRDefault="00C031FA" w:rsidP="00BA1576">
            <w:pPr>
              <w:pStyle w:val="TableVerticalText"/>
              <w:spacing w:before="30" w:after="30"/>
              <w:rPr>
                <w:rFonts w:ascii="Tahoma" w:hAnsi="Tahoma" w:cs="Tahoma"/>
                <w:sz w:val="9"/>
              </w:rPr>
            </w:pPr>
            <w:r w:rsidRPr="00653421">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rsidR="00C031FA" w:rsidRPr="00653421" w:rsidRDefault="00C031FA" w:rsidP="00BA1576">
            <w:pPr>
              <w:pStyle w:val="TableVerticalText"/>
              <w:spacing w:before="30" w:after="30"/>
              <w:rPr>
                <w:rFonts w:ascii="Tahoma" w:hAnsi="Tahoma" w:cs="Tahoma"/>
                <w:sz w:val="9"/>
              </w:rPr>
            </w:pPr>
            <w:r w:rsidRPr="00653421">
              <w:rPr>
                <w:rFonts w:ascii="Tahoma" w:hAnsi="Tahoma" w:cs="Tahoma"/>
                <w:sz w:val="9"/>
              </w:rPr>
              <w:t>SAB/OSB</w:t>
            </w:r>
          </w:p>
        </w:tc>
        <w:tc>
          <w:tcPr>
            <w:tcW w:w="2610" w:type="dxa"/>
            <w:gridSpan w:val="7"/>
            <w:tcBorders>
              <w:top w:val="single" w:sz="12" w:space="0" w:color="auto"/>
              <w:left w:val="single" w:sz="18" w:space="0" w:color="auto"/>
              <w:right w:val="single" w:sz="18" w:space="0" w:color="auto"/>
            </w:tcBorders>
            <w:vAlign w:val="center"/>
          </w:tcPr>
          <w:p w:rsidR="00C031FA" w:rsidRPr="00653421" w:rsidRDefault="00C031FA" w:rsidP="00BA1576">
            <w:pPr>
              <w:pStyle w:val="TableHeadingsBlack"/>
              <w:spacing w:before="30" w:after="30"/>
              <w:rPr>
                <w:rFonts w:ascii="Tahoma" w:hAnsi="Tahoma" w:cs="Tahoma"/>
              </w:rPr>
            </w:pPr>
            <w:r w:rsidRPr="00653421">
              <w:rPr>
                <w:rFonts w:ascii="Tahoma" w:hAnsi="Tahoma" w:cs="Tahoma"/>
              </w:rPr>
              <w:t>Select/Select Plus*</w:t>
            </w:r>
          </w:p>
        </w:tc>
        <w:tc>
          <w:tcPr>
            <w:tcW w:w="1170" w:type="dxa"/>
            <w:gridSpan w:val="3"/>
            <w:tcBorders>
              <w:top w:val="single" w:sz="12" w:space="0" w:color="auto"/>
              <w:left w:val="single" w:sz="18" w:space="0" w:color="auto"/>
              <w:right w:val="single" w:sz="18" w:space="0" w:color="auto"/>
            </w:tcBorders>
            <w:vAlign w:val="center"/>
          </w:tcPr>
          <w:p w:rsidR="00C031FA" w:rsidRPr="00653421" w:rsidRDefault="00C031FA" w:rsidP="00BA1576">
            <w:pPr>
              <w:pStyle w:val="TableHeadingsBlack"/>
              <w:spacing w:before="30" w:after="30"/>
              <w:rPr>
                <w:rFonts w:ascii="Tahoma" w:hAnsi="Tahoma" w:cs="Tahoma"/>
                <w:szCs w:val="11"/>
              </w:rPr>
            </w:pPr>
            <w:r w:rsidRPr="00653421">
              <w:rPr>
                <w:rFonts w:ascii="Tahoma" w:hAnsi="Tahoma" w:cs="Tahoma"/>
                <w:szCs w:val="11"/>
              </w:rPr>
              <w:t>Licença Open</w:t>
            </w:r>
          </w:p>
        </w:tc>
        <w:tc>
          <w:tcPr>
            <w:tcW w:w="630" w:type="dxa"/>
            <w:vMerge w:val="restart"/>
            <w:tcBorders>
              <w:top w:val="single" w:sz="12" w:space="0" w:color="auto"/>
              <w:left w:val="single" w:sz="18" w:space="0" w:color="auto"/>
            </w:tcBorders>
            <w:textDirection w:val="btLr"/>
            <w:vAlign w:val="center"/>
          </w:tcPr>
          <w:p w:rsidR="00C031FA" w:rsidRPr="00653421" w:rsidRDefault="00C031FA" w:rsidP="00BA1576">
            <w:pPr>
              <w:pStyle w:val="TableVerticalText"/>
              <w:spacing w:before="30" w:after="30"/>
              <w:rPr>
                <w:rFonts w:ascii="Tahoma" w:hAnsi="Tahoma" w:cs="Tahoma"/>
                <w:sz w:val="9"/>
              </w:rPr>
            </w:pPr>
            <w:r w:rsidRPr="00653421">
              <w:rPr>
                <w:rFonts w:ascii="Tahoma" w:hAnsi="Tahoma" w:cs="Tahoma"/>
                <w:sz w:val="9"/>
              </w:rPr>
              <w:t>Unidades Campus e School</w:t>
            </w:r>
          </w:p>
        </w:tc>
        <w:tc>
          <w:tcPr>
            <w:tcW w:w="540" w:type="dxa"/>
            <w:vMerge w:val="restart"/>
            <w:tcBorders>
              <w:top w:val="single" w:sz="12" w:space="0" w:color="auto"/>
              <w:right w:val="single" w:sz="18" w:space="0" w:color="auto"/>
            </w:tcBorders>
            <w:textDirection w:val="btLr"/>
            <w:vAlign w:val="center"/>
          </w:tcPr>
          <w:p w:rsidR="00C031FA" w:rsidRPr="00653421" w:rsidRDefault="00C031FA" w:rsidP="00BA1576">
            <w:pPr>
              <w:pStyle w:val="TableVerticalText"/>
              <w:spacing w:before="30" w:after="30"/>
              <w:rPr>
                <w:rFonts w:ascii="Tahoma" w:hAnsi="Tahoma" w:cs="Tahoma"/>
                <w:sz w:val="9"/>
              </w:rPr>
            </w:pPr>
            <w:r w:rsidRPr="00653421">
              <w:rPr>
                <w:rFonts w:ascii="Tahoma" w:hAnsi="Tahoma" w:cs="Tahoma"/>
                <w:sz w:val="9"/>
              </w:rPr>
              <w:t xml:space="preserve">EA e </w:t>
            </w:r>
            <w:r w:rsidRPr="00653421">
              <w:rPr>
                <w:rFonts w:ascii="Tahoma" w:hAnsi="Tahoma" w:cs="Tahoma"/>
                <w:sz w:val="9"/>
              </w:rPr>
              <w:br/>
              <w:t>EA Sub</w:t>
            </w:r>
          </w:p>
        </w:tc>
        <w:tc>
          <w:tcPr>
            <w:tcW w:w="540" w:type="dxa"/>
            <w:vMerge w:val="restart"/>
            <w:tcBorders>
              <w:top w:val="single" w:sz="12" w:space="0" w:color="auto"/>
              <w:left w:val="single" w:sz="18" w:space="0" w:color="auto"/>
              <w:right w:val="single" w:sz="18" w:space="0" w:color="auto"/>
            </w:tcBorders>
            <w:textDirection w:val="btLr"/>
            <w:vAlign w:val="center"/>
          </w:tcPr>
          <w:p w:rsidR="00C031FA" w:rsidRPr="00653421" w:rsidRDefault="00C031FA" w:rsidP="00BA1576">
            <w:pPr>
              <w:pStyle w:val="TableVerticalText"/>
              <w:spacing w:before="30" w:after="30"/>
              <w:rPr>
                <w:rFonts w:ascii="Tahoma" w:hAnsi="Tahoma" w:cs="Tahoma"/>
                <w:sz w:val="9"/>
              </w:rPr>
            </w:pPr>
            <w:r w:rsidRPr="00653421">
              <w:rPr>
                <w:rFonts w:ascii="Tahoma" w:hAnsi="Tahoma" w:cs="Tahoma"/>
                <w:sz w:val="9"/>
              </w:rPr>
              <w:t>OV/OVS</w:t>
            </w:r>
          </w:p>
        </w:tc>
        <w:tc>
          <w:tcPr>
            <w:tcW w:w="720" w:type="dxa"/>
            <w:vMerge w:val="restart"/>
            <w:tcBorders>
              <w:top w:val="single" w:sz="12" w:space="0" w:color="auto"/>
            </w:tcBorders>
            <w:textDirection w:val="btLr"/>
            <w:vAlign w:val="center"/>
          </w:tcPr>
          <w:p w:rsidR="00C031FA" w:rsidRPr="00653421" w:rsidRDefault="00C031FA" w:rsidP="00BA1576">
            <w:pPr>
              <w:pStyle w:val="TableVerticalText"/>
              <w:spacing w:before="30" w:after="30"/>
              <w:rPr>
                <w:rFonts w:ascii="Tahoma" w:hAnsi="Tahoma" w:cs="Tahoma"/>
                <w:sz w:val="9"/>
              </w:rPr>
            </w:pPr>
            <w:r w:rsidRPr="00653421">
              <w:rPr>
                <w:rFonts w:ascii="Tahoma" w:hAnsi="Tahoma" w:cs="Tahoma"/>
                <w:sz w:val="9"/>
              </w:rPr>
              <w:t>EES/OVS -ES</w:t>
            </w:r>
          </w:p>
        </w:tc>
        <w:tc>
          <w:tcPr>
            <w:tcW w:w="540" w:type="dxa"/>
            <w:vMerge w:val="restart"/>
            <w:tcBorders>
              <w:top w:val="single" w:sz="12" w:space="0" w:color="auto"/>
            </w:tcBorders>
            <w:textDirection w:val="btLr"/>
            <w:vAlign w:val="center"/>
          </w:tcPr>
          <w:p w:rsidR="00C031FA" w:rsidRPr="00653421" w:rsidRDefault="00C031FA" w:rsidP="00BA1576">
            <w:pPr>
              <w:pStyle w:val="TableVerticalText"/>
              <w:spacing w:before="30" w:after="30"/>
              <w:rPr>
                <w:rFonts w:ascii="Tahoma" w:hAnsi="Tahoma" w:cs="Tahoma"/>
                <w:sz w:val="9"/>
              </w:rPr>
            </w:pPr>
            <w:r w:rsidRPr="00653421">
              <w:rPr>
                <w:rFonts w:ascii="Tahoma" w:hAnsi="Tahoma" w:cs="Tahoma"/>
                <w:sz w:val="9"/>
              </w:rPr>
              <w:t>Mínimo de Licenças Open</w:t>
            </w:r>
          </w:p>
        </w:tc>
      </w:tr>
      <w:tr w:rsidR="001C38D4" w:rsidRPr="00653421" w:rsidTr="00BA1576">
        <w:trPr>
          <w:cantSplit/>
          <w:trHeight w:val="262"/>
          <w:tblHeader/>
        </w:trPr>
        <w:tc>
          <w:tcPr>
            <w:tcW w:w="2734" w:type="dxa"/>
            <w:gridSpan w:val="2"/>
            <w:vMerge/>
            <w:tcBorders>
              <w:left w:val="single" w:sz="4" w:space="0" w:color="FFFFFF"/>
            </w:tcBorders>
          </w:tcPr>
          <w:p w:rsidR="00C031FA" w:rsidRPr="00653421" w:rsidRDefault="00C031FA">
            <w:pPr>
              <w:rPr>
                <w:rFonts w:cs="Tahoma"/>
                <w:sz w:val="20"/>
              </w:rPr>
            </w:pPr>
          </w:p>
        </w:tc>
        <w:tc>
          <w:tcPr>
            <w:tcW w:w="360" w:type="dxa"/>
            <w:vMerge/>
            <w:vAlign w:val="center"/>
          </w:tcPr>
          <w:p w:rsidR="00C031FA" w:rsidRPr="00653421" w:rsidRDefault="00C031FA" w:rsidP="00BA1576">
            <w:pPr>
              <w:spacing w:before="30" w:after="30"/>
              <w:jc w:val="center"/>
              <w:rPr>
                <w:rFonts w:cs="Tahoma"/>
                <w:b/>
                <w:sz w:val="20"/>
              </w:rPr>
            </w:pPr>
          </w:p>
        </w:tc>
        <w:tc>
          <w:tcPr>
            <w:tcW w:w="450" w:type="dxa"/>
            <w:vMerge/>
            <w:vAlign w:val="center"/>
          </w:tcPr>
          <w:p w:rsidR="00C031FA" w:rsidRPr="00653421" w:rsidRDefault="00C031FA" w:rsidP="00BA1576">
            <w:pPr>
              <w:spacing w:before="30" w:after="30"/>
              <w:jc w:val="center"/>
              <w:rPr>
                <w:rFonts w:cs="Tahoma"/>
                <w:sz w:val="20"/>
              </w:rPr>
            </w:pPr>
          </w:p>
        </w:tc>
        <w:tc>
          <w:tcPr>
            <w:tcW w:w="360" w:type="dxa"/>
            <w:vMerge/>
            <w:tcBorders>
              <w:right w:val="single" w:sz="18" w:space="0" w:color="auto"/>
            </w:tcBorders>
            <w:vAlign w:val="center"/>
          </w:tcPr>
          <w:p w:rsidR="00C031FA" w:rsidRPr="00653421" w:rsidRDefault="00C031FA" w:rsidP="00BA1576">
            <w:pPr>
              <w:spacing w:before="30" w:after="30"/>
              <w:jc w:val="center"/>
              <w:rPr>
                <w:rFonts w:cs="Tahoma"/>
                <w:sz w:val="20"/>
              </w:rPr>
            </w:pPr>
          </w:p>
        </w:tc>
        <w:tc>
          <w:tcPr>
            <w:tcW w:w="360" w:type="dxa"/>
            <w:vMerge w:val="restart"/>
            <w:tcBorders>
              <w:left w:val="single" w:sz="18" w:space="0" w:color="auto"/>
            </w:tcBorders>
            <w:vAlign w:val="center"/>
          </w:tcPr>
          <w:p w:rsidR="00C031FA" w:rsidRPr="00653421" w:rsidRDefault="00C031FA" w:rsidP="00BA1576">
            <w:pPr>
              <w:pStyle w:val="TableHeadingsRed"/>
              <w:spacing w:before="30" w:after="30"/>
              <w:rPr>
                <w:rFonts w:ascii="Tahoma" w:hAnsi="Tahoma" w:cs="Tahoma"/>
                <w:sz w:val="9"/>
              </w:rPr>
            </w:pPr>
            <w:r w:rsidRPr="00653421">
              <w:rPr>
                <w:rFonts w:ascii="Tahoma" w:hAnsi="Tahoma" w:cs="Tahoma"/>
                <w:sz w:val="9"/>
              </w:rPr>
              <w:t>L</w:t>
            </w:r>
          </w:p>
        </w:tc>
        <w:tc>
          <w:tcPr>
            <w:tcW w:w="1080" w:type="dxa"/>
            <w:gridSpan w:val="3"/>
            <w:vAlign w:val="center"/>
          </w:tcPr>
          <w:p w:rsidR="00C031FA" w:rsidRPr="00653421" w:rsidRDefault="00C031FA" w:rsidP="00BA1576">
            <w:pPr>
              <w:pStyle w:val="TableHeadingsGreen"/>
              <w:spacing w:before="30" w:after="30"/>
              <w:rPr>
                <w:rFonts w:ascii="Tahoma" w:hAnsi="Tahoma" w:cs="Tahoma"/>
                <w:sz w:val="9"/>
              </w:rPr>
            </w:pPr>
            <w:r w:rsidRPr="00653421">
              <w:rPr>
                <w:rFonts w:ascii="Tahoma" w:hAnsi="Tahoma" w:cs="Tahoma"/>
                <w:sz w:val="9"/>
              </w:rPr>
              <w:t>L&amp;SA</w:t>
            </w:r>
          </w:p>
        </w:tc>
        <w:tc>
          <w:tcPr>
            <w:tcW w:w="1170" w:type="dxa"/>
            <w:gridSpan w:val="3"/>
            <w:tcBorders>
              <w:right w:val="single" w:sz="18" w:space="0" w:color="auto"/>
            </w:tcBorders>
            <w:vAlign w:val="center"/>
          </w:tcPr>
          <w:p w:rsidR="00C031FA" w:rsidRPr="00653421" w:rsidRDefault="00C031FA" w:rsidP="00BA1576">
            <w:pPr>
              <w:pStyle w:val="TableHeadingsBlue"/>
              <w:spacing w:before="30" w:after="30"/>
              <w:rPr>
                <w:rFonts w:ascii="Tahoma" w:hAnsi="Tahoma" w:cs="Tahoma"/>
                <w:sz w:val="9"/>
              </w:rPr>
            </w:pPr>
            <w:r w:rsidRPr="00653421">
              <w:rPr>
                <w:rFonts w:ascii="Tahoma" w:hAnsi="Tahoma" w:cs="Tahoma"/>
                <w:sz w:val="9"/>
              </w:rPr>
              <w:t>SA</w:t>
            </w:r>
          </w:p>
        </w:tc>
        <w:tc>
          <w:tcPr>
            <w:tcW w:w="360" w:type="dxa"/>
            <w:tcBorders>
              <w:left w:val="single" w:sz="18" w:space="0" w:color="auto"/>
            </w:tcBorders>
            <w:vAlign w:val="center"/>
          </w:tcPr>
          <w:p w:rsidR="00C031FA" w:rsidRPr="00653421" w:rsidRDefault="00C031FA" w:rsidP="00BA1576">
            <w:pPr>
              <w:pStyle w:val="TableHeadingsRed"/>
              <w:spacing w:before="30" w:after="30"/>
              <w:rPr>
                <w:rFonts w:ascii="Tahoma" w:hAnsi="Tahoma" w:cs="Tahoma"/>
                <w:sz w:val="9"/>
              </w:rPr>
            </w:pPr>
            <w:r w:rsidRPr="00653421">
              <w:rPr>
                <w:rFonts w:ascii="Tahoma" w:hAnsi="Tahoma" w:cs="Tahoma"/>
                <w:sz w:val="9"/>
              </w:rPr>
              <w:t>L</w:t>
            </w:r>
          </w:p>
        </w:tc>
        <w:tc>
          <w:tcPr>
            <w:tcW w:w="450" w:type="dxa"/>
            <w:vAlign w:val="center"/>
          </w:tcPr>
          <w:p w:rsidR="00C031FA" w:rsidRPr="00653421" w:rsidRDefault="00C031FA" w:rsidP="00BA1576">
            <w:pPr>
              <w:pStyle w:val="TableHeadingsGreen"/>
              <w:spacing w:before="30" w:after="30"/>
              <w:rPr>
                <w:rFonts w:ascii="Tahoma" w:hAnsi="Tahoma" w:cs="Tahoma"/>
                <w:sz w:val="9"/>
              </w:rPr>
            </w:pPr>
            <w:r w:rsidRPr="00653421">
              <w:rPr>
                <w:rFonts w:ascii="Tahoma" w:hAnsi="Tahoma" w:cs="Tahoma"/>
                <w:sz w:val="9"/>
              </w:rPr>
              <w:t>L&amp;SA</w:t>
            </w:r>
          </w:p>
        </w:tc>
        <w:tc>
          <w:tcPr>
            <w:tcW w:w="360" w:type="dxa"/>
            <w:vMerge w:val="restart"/>
            <w:tcBorders>
              <w:right w:val="single" w:sz="18" w:space="0" w:color="auto"/>
            </w:tcBorders>
            <w:vAlign w:val="center"/>
          </w:tcPr>
          <w:p w:rsidR="00C031FA" w:rsidRPr="00653421" w:rsidRDefault="00C031FA" w:rsidP="00BA1576">
            <w:pPr>
              <w:pStyle w:val="TableHeadingsBlue"/>
              <w:spacing w:before="30" w:after="30"/>
              <w:rPr>
                <w:rFonts w:ascii="Tahoma" w:hAnsi="Tahoma" w:cs="Tahoma"/>
                <w:sz w:val="9"/>
              </w:rPr>
            </w:pPr>
            <w:r w:rsidRPr="00653421">
              <w:rPr>
                <w:rFonts w:ascii="Tahoma" w:hAnsi="Tahoma" w:cs="Tahoma"/>
                <w:sz w:val="9"/>
              </w:rPr>
              <w:t>SA</w:t>
            </w:r>
          </w:p>
        </w:tc>
        <w:tc>
          <w:tcPr>
            <w:tcW w:w="630" w:type="dxa"/>
            <w:vMerge/>
            <w:tcBorders>
              <w:left w:val="single" w:sz="18" w:space="0" w:color="auto"/>
            </w:tcBorders>
            <w:vAlign w:val="center"/>
          </w:tcPr>
          <w:p w:rsidR="00C031FA" w:rsidRPr="00653421" w:rsidRDefault="00C031FA" w:rsidP="00BA1576">
            <w:pPr>
              <w:spacing w:before="30" w:after="30"/>
              <w:jc w:val="center"/>
              <w:rPr>
                <w:rFonts w:cs="Tahoma"/>
                <w:sz w:val="20"/>
              </w:rPr>
            </w:pPr>
          </w:p>
        </w:tc>
        <w:tc>
          <w:tcPr>
            <w:tcW w:w="540" w:type="dxa"/>
            <w:vMerge/>
            <w:tcBorders>
              <w:right w:val="single" w:sz="18" w:space="0" w:color="auto"/>
            </w:tcBorders>
            <w:vAlign w:val="center"/>
          </w:tcPr>
          <w:p w:rsidR="00C031FA" w:rsidRPr="00653421" w:rsidRDefault="00C031FA" w:rsidP="00BA1576">
            <w:pPr>
              <w:spacing w:before="30" w:after="30"/>
              <w:jc w:val="center"/>
              <w:rPr>
                <w:rFonts w:cs="Tahoma"/>
                <w:sz w:val="20"/>
              </w:rPr>
            </w:pPr>
          </w:p>
        </w:tc>
        <w:tc>
          <w:tcPr>
            <w:tcW w:w="540" w:type="dxa"/>
            <w:vMerge/>
            <w:tcBorders>
              <w:left w:val="single" w:sz="18" w:space="0" w:color="auto"/>
              <w:right w:val="single" w:sz="18" w:space="0" w:color="auto"/>
            </w:tcBorders>
            <w:vAlign w:val="center"/>
          </w:tcPr>
          <w:p w:rsidR="00C031FA" w:rsidRPr="00653421" w:rsidRDefault="00C031FA" w:rsidP="00BA1576">
            <w:pPr>
              <w:spacing w:before="30" w:after="30"/>
              <w:jc w:val="center"/>
              <w:rPr>
                <w:rFonts w:cs="Tahoma"/>
                <w:sz w:val="20"/>
              </w:rPr>
            </w:pPr>
          </w:p>
        </w:tc>
        <w:tc>
          <w:tcPr>
            <w:tcW w:w="720" w:type="dxa"/>
            <w:vMerge/>
            <w:vAlign w:val="center"/>
          </w:tcPr>
          <w:p w:rsidR="00C031FA" w:rsidRPr="00653421" w:rsidRDefault="00C031FA" w:rsidP="00BA1576">
            <w:pPr>
              <w:spacing w:before="30" w:after="30"/>
              <w:jc w:val="center"/>
              <w:rPr>
                <w:rFonts w:cs="Tahoma"/>
                <w:sz w:val="20"/>
              </w:rPr>
            </w:pPr>
          </w:p>
        </w:tc>
        <w:tc>
          <w:tcPr>
            <w:tcW w:w="540" w:type="dxa"/>
            <w:vMerge/>
            <w:vAlign w:val="center"/>
          </w:tcPr>
          <w:p w:rsidR="00C031FA" w:rsidRPr="00653421" w:rsidRDefault="00C031FA" w:rsidP="00BA1576">
            <w:pPr>
              <w:spacing w:before="30" w:after="30"/>
              <w:jc w:val="center"/>
              <w:rPr>
                <w:rFonts w:cs="Tahoma"/>
                <w:sz w:val="20"/>
              </w:rPr>
            </w:pPr>
          </w:p>
        </w:tc>
      </w:tr>
      <w:tr w:rsidR="001C38D4" w:rsidRPr="00653421" w:rsidTr="00BA1576">
        <w:trPr>
          <w:cantSplit/>
          <w:trHeight w:val="755"/>
          <w:tblHeader/>
        </w:trPr>
        <w:tc>
          <w:tcPr>
            <w:tcW w:w="2734" w:type="dxa"/>
            <w:gridSpan w:val="2"/>
            <w:vMerge/>
            <w:tcBorders>
              <w:left w:val="single" w:sz="4" w:space="0" w:color="FFFFFF"/>
              <w:bottom w:val="single" w:sz="4" w:space="0" w:color="auto"/>
            </w:tcBorders>
          </w:tcPr>
          <w:p w:rsidR="00C031FA" w:rsidRPr="00653421" w:rsidRDefault="00C031FA">
            <w:pPr>
              <w:rPr>
                <w:rFonts w:cs="Tahoma"/>
                <w:sz w:val="20"/>
              </w:rPr>
            </w:pPr>
          </w:p>
        </w:tc>
        <w:tc>
          <w:tcPr>
            <w:tcW w:w="360" w:type="dxa"/>
            <w:vMerge/>
            <w:tcBorders>
              <w:bottom w:val="single" w:sz="4" w:space="0" w:color="auto"/>
            </w:tcBorders>
            <w:vAlign w:val="center"/>
          </w:tcPr>
          <w:p w:rsidR="00C031FA" w:rsidRPr="00653421" w:rsidRDefault="00C031FA" w:rsidP="00BA1576">
            <w:pPr>
              <w:spacing w:before="30" w:after="30"/>
              <w:jc w:val="center"/>
              <w:rPr>
                <w:rFonts w:cs="Tahoma"/>
                <w:b/>
                <w:sz w:val="20"/>
              </w:rPr>
            </w:pPr>
          </w:p>
        </w:tc>
        <w:tc>
          <w:tcPr>
            <w:tcW w:w="450" w:type="dxa"/>
            <w:vMerge/>
            <w:tcBorders>
              <w:bottom w:val="single" w:sz="4" w:space="0" w:color="auto"/>
            </w:tcBorders>
            <w:vAlign w:val="center"/>
          </w:tcPr>
          <w:p w:rsidR="00C031FA" w:rsidRPr="00653421" w:rsidRDefault="00C031FA" w:rsidP="00BA1576">
            <w:pPr>
              <w:spacing w:before="30" w:after="30"/>
              <w:jc w:val="center"/>
              <w:rPr>
                <w:rFonts w:cs="Tahoma"/>
                <w:sz w:val="20"/>
              </w:rPr>
            </w:pPr>
          </w:p>
        </w:tc>
        <w:tc>
          <w:tcPr>
            <w:tcW w:w="360" w:type="dxa"/>
            <w:vMerge/>
            <w:tcBorders>
              <w:bottom w:val="single" w:sz="4" w:space="0" w:color="auto"/>
              <w:right w:val="single" w:sz="18" w:space="0" w:color="auto"/>
            </w:tcBorders>
            <w:vAlign w:val="center"/>
          </w:tcPr>
          <w:p w:rsidR="00C031FA" w:rsidRPr="00653421" w:rsidRDefault="00C031FA" w:rsidP="00BA1576">
            <w:pPr>
              <w:spacing w:before="30" w:after="30"/>
              <w:jc w:val="center"/>
              <w:rPr>
                <w:rFonts w:cs="Tahoma"/>
                <w:sz w:val="20"/>
              </w:rPr>
            </w:pPr>
          </w:p>
        </w:tc>
        <w:tc>
          <w:tcPr>
            <w:tcW w:w="360" w:type="dxa"/>
            <w:vMerge/>
            <w:tcBorders>
              <w:left w:val="single" w:sz="18" w:space="0" w:color="auto"/>
              <w:bottom w:val="single" w:sz="4" w:space="0" w:color="auto"/>
            </w:tcBorders>
            <w:vAlign w:val="center"/>
          </w:tcPr>
          <w:p w:rsidR="00C031FA" w:rsidRPr="00653421" w:rsidRDefault="00C031FA" w:rsidP="00BA1576">
            <w:pPr>
              <w:spacing w:before="30" w:after="30"/>
              <w:jc w:val="center"/>
              <w:rPr>
                <w:rFonts w:cs="Tahoma"/>
                <w:sz w:val="20"/>
              </w:rPr>
            </w:pPr>
          </w:p>
        </w:tc>
        <w:tc>
          <w:tcPr>
            <w:tcW w:w="360" w:type="dxa"/>
            <w:tcBorders>
              <w:bottom w:val="single" w:sz="4" w:space="0" w:color="auto"/>
            </w:tcBorders>
            <w:vAlign w:val="center"/>
          </w:tcPr>
          <w:p w:rsidR="00C031FA" w:rsidRPr="00653421" w:rsidRDefault="00C031FA" w:rsidP="00BA1576">
            <w:pPr>
              <w:pStyle w:val="TableHeadingsGreen"/>
              <w:spacing w:before="30" w:after="30"/>
              <w:rPr>
                <w:rFonts w:ascii="Tahoma" w:hAnsi="Tahoma" w:cs="Tahoma"/>
                <w:sz w:val="9"/>
              </w:rPr>
            </w:pPr>
            <w:r w:rsidRPr="00653421">
              <w:rPr>
                <w:rFonts w:ascii="Tahoma" w:hAnsi="Tahoma" w:cs="Tahoma"/>
                <w:sz w:val="9"/>
              </w:rPr>
              <w:t>3An</w:t>
            </w:r>
          </w:p>
        </w:tc>
        <w:tc>
          <w:tcPr>
            <w:tcW w:w="360" w:type="dxa"/>
            <w:tcBorders>
              <w:bottom w:val="single" w:sz="4" w:space="0" w:color="auto"/>
            </w:tcBorders>
            <w:vAlign w:val="center"/>
          </w:tcPr>
          <w:p w:rsidR="00C031FA" w:rsidRPr="00653421" w:rsidRDefault="00C031FA" w:rsidP="00BA1576">
            <w:pPr>
              <w:pStyle w:val="TableHeadingsGreen"/>
              <w:spacing w:before="30" w:after="30"/>
              <w:rPr>
                <w:rFonts w:ascii="Tahoma" w:hAnsi="Tahoma" w:cs="Tahoma"/>
                <w:sz w:val="9"/>
              </w:rPr>
            </w:pPr>
            <w:r w:rsidRPr="00653421">
              <w:rPr>
                <w:rFonts w:ascii="Tahoma" w:hAnsi="Tahoma" w:cs="Tahoma"/>
                <w:sz w:val="9"/>
              </w:rPr>
              <w:t>2An</w:t>
            </w:r>
          </w:p>
        </w:tc>
        <w:tc>
          <w:tcPr>
            <w:tcW w:w="360" w:type="dxa"/>
            <w:tcBorders>
              <w:bottom w:val="single" w:sz="4" w:space="0" w:color="auto"/>
            </w:tcBorders>
            <w:vAlign w:val="center"/>
          </w:tcPr>
          <w:p w:rsidR="00C031FA" w:rsidRPr="00653421" w:rsidRDefault="00C031FA" w:rsidP="00BA1576">
            <w:pPr>
              <w:pStyle w:val="TableHeadingsGreen"/>
              <w:spacing w:before="30" w:after="30"/>
              <w:rPr>
                <w:rFonts w:ascii="Tahoma" w:hAnsi="Tahoma" w:cs="Tahoma"/>
                <w:sz w:val="9"/>
              </w:rPr>
            </w:pPr>
            <w:r w:rsidRPr="00653421">
              <w:rPr>
                <w:rFonts w:ascii="Tahoma" w:hAnsi="Tahoma" w:cs="Tahoma"/>
                <w:sz w:val="9"/>
              </w:rPr>
              <w:t>1An</w:t>
            </w:r>
          </w:p>
        </w:tc>
        <w:tc>
          <w:tcPr>
            <w:tcW w:w="360" w:type="dxa"/>
            <w:tcBorders>
              <w:bottom w:val="single" w:sz="4" w:space="0" w:color="auto"/>
            </w:tcBorders>
            <w:vAlign w:val="center"/>
          </w:tcPr>
          <w:p w:rsidR="00C031FA" w:rsidRPr="00653421" w:rsidRDefault="00C031FA" w:rsidP="00BA1576">
            <w:pPr>
              <w:pStyle w:val="TableHeadingsBlue"/>
              <w:spacing w:before="30" w:after="30"/>
              <w:rPr>
                <w:rFonts w:ascii="Tahoma" w:hAnsi="Tahoma" w:cs="Tahoma"/>
                <w:sz w:val="9"/>
              </w:rPr>
            </w:pPr>
            <w:r w:rsidRPr="00653421">
              <w:rPr>
                <w:rFonts w:ascii="Tahoma" w:hAnsi="Tahoma" w:cs="Tahoma"/>
                <w:sz w:val="9"/>
              </w:rPr>
              <w:t>3An</w:t>
            </w:r>
          </w:p>
        </w:tc>
        <w:tc>
          <w:tcPr>
            <w:tcW w:w="450" w:type="dxa"/>
            <w:tcBorders>
              <w:bottom w:val="single" w:sz="4" w:space="0" w:color="auto"/>
            </w:tcBorders>
            <w:vAlign w:val="center"/>
          </w:tcPr>
          <w:p w:rsidR="00C031FA" w:rsidRPr="00653421" w:rsidRDefault="00C031FA" w:rsidP="00BA1576">
            <w:pPr>
              <w:pStyle w:val="TableHeadingsBlue"/>
              <w:spacing w:before="30" w:after="30"/>
              <w:rPr>
                <w:rFonts w:ascii="Tahoma" w:hAnsi="Tahoma" w:cs="Tahoma"/>
                <w:sz w:val="9"/>
              </w:rPr>
            </w:pPr>
            <w:r w:rsidRPr="00653421">
              <w:rPr>
                <w:rFonts w:ascii="Tahoma" w:hAnsi="Tahoma" w:cs="Tahoma"/>
                <w:sz w:val="9"/>
              </w:rPr>
              <w:t>2An</w:t>
            </w:r>
          </w:p>
        </w:tc>
        <w:tc>
          <w:tcPr>
            <w:tcW w:w="360" w:type="dxa"/>
            <w:tcBorders>
              <w:bottom w:val="single" w:sz="4" w:space="0" w:color="auto"/>
              <w:right w:val="single" w:sz="18" w:space="0" w:color="auto"/>
            </w:tcBorders>
            <w:vAlign w:val="center"/>
          </w:tcPr>
          <w:p w:rsidR="00C031FA" w:rsidRPr="00653421" w:rsidRDefault="00C031FA" w:rsidP="00BA1576">
            <w:pPr>
              <w:pStyle w:val="TableHeadingsBlue"/>
              <w:spacing w:before="30" w:after="30"/>
              <w:rPr>
                <w:rFonts w:ascii="Tahoma" w:hAnsi="Tahoma" w:cs="Tahoma"/>
                <w:sz w:val="9"/>
              </w:rPr>
            </w:pPr>
            <w:r w:rsidRPr="00653421">
              <w:rPr>
                <w:rFonts w:ascii="Tahoma" w:hAnsi="Tahoma" w:cs="Tahoma"/>
                <w:sz w:val="9"/>
              </w:rPr>
              <w:t>1An</w:t>
            </w:r>
          </w:p>
        </w:tc>
        <w:tc>
          <w:tcPr>
            <w:tcW w:w="360" w:type="dxa"/>
            <w:tcBorders>
              <w:left w:val="single" w:sz="18" w:space="0" w:color="auto"/>
              <w:bottom w:val="single" w:sz="4" w:space="0" w:color="auto"/>
            </w:tcBorders>
            <w:vAlign w:val="center"/>
          </w:tcPr>
          <w:p w:rsidR="00C031FA" w:rsidRPr="00653421" w:rsidRDefault="00C031FA" w:rsidP="00BA1576">
            <w:pPr>
              <w:spacing w:before="30" w:after="30"/>
              <w:jc w:val="center"/>
              <w:rPr>
                <w:rFonts w:cs="Tahoma"/>
                <w:sz w:val="20"/>
              </w:rPr>
            </w:pPr>
          </w:p>
        </w:tc>
        <w:tc>
          <w:tcPr>
            <w:tcW w:w="450" w:type="dxa"/>
            <w:tcBorders>
              <w:bottom w:val="single" w:sz="4" w:space="0" w:color="auto"/>
            </w:tcBorders>
            <w:vAlign w:val="center"/>
          </w:tcPr>
          <w:p w:rsidR="00C031FA" w:rsidRPr="00653421" w:rsidRDefault="00C031FA" w:rsidP="00BA1576">
            <w:pPr>
              <w:pStyle w:val="TableHeadingsGreen"/>
              <w:spacing w:before="30" w:after="30"/>
              <w:rPr>
                <w:rFonts w:ascii="Tahoma" w:hAnsi="Tahoma" w:cs="Tahoma"/>
                <w:sz w:val="9"/>
              </w:rPr>
            </w:pPr>
            <w:r w:rsidRPr="00653421">
              <w:rPr>
                <w:rFonts w:ascii="Tahoma" w:hAnsi="Tahoma" w:cs="Tahoma"/>
                <w:sz w:val="9"/>
              </w:rPr>
              <w:t>P</w:t>
            </w:r>
          </w:p>
        </w:tc>
        <w:tc>
          <w:tcPr>
            <w:tcW w:w="360" w:type="dxa"/>
            <w:vMerge/>
            <w:tcBorders>
              <w:bottom w:val="single" w:sz="4" w:space="0" w:color="auto"/>
              <w:right w:val="single" w:sz="18" w:space="0" w:color="auto"/>
            </w:tcBorders>
            <w:vAlign w:val="center"/>
          </w:tcPr>
          <w:p w:rsidR="00C031FA" w:rsidRPr="00653421" w:rsidRDefault="00C031FA" w:rsidP="00BA1576">
            <w:pPr>
              <w:spacing w:before="30" w:after="30"/>
              <w:jc w:val="center"/>
              <w:rPr>
                <w:rFonts w:cs="Tahoma"/>
                <w:sz w:val="20"/>
              </w:rPr>
            </w:pPr>
          </w:p>
        </w:tc>
        <w:tc>
          <w:tcPr>
            <w:tcW w:w="630" w:type="dxa"/>
            <w:vMerge/>
            <w:tcBorders>
              <w:left w:val="single" w:sz="18" w:space="0" w:color="auto"/>
              <w:bottom w:val="single" w:sz="4" w:space="0" w:color="auto"/>
            </w:tcBorders>
            <w:vAlign w:val="center"/>
          </w:tcPr>
          <w:p w:rsidR="00C031FA" w:rsidRPr="00653421" w:rsidRDefault="00C031FA" w:rsidP="00BA1576">
            <w:pPr>
              <w:spacing w:before="30" w:after="30"/>
              <w:jc w:val="center"/>
              <w:rPr>
                <w:rFonts w:cs="Tahoma"/>
                <w:sz w:val="20"/>
              </w:rPr>
            </w:pPr>
          </w:p>
        </w:tc>
        <w:tc>
          <w:tcPr>
            <w:tcW w:w="540" w:type="dxa"/>
            <w:vMerge/>
            <w:tcBorders>
              <w:bottom w:val="single" w:sz="4" w:space="0" w:color="auto"/>
              <w:right w:val="single" w:sz="18" w:space="0" w:color="auto"/>
            </w:tcBorders>
            <w:vAlign w:val="center"/>
          </w:tcPr>
          <w:p w:rsidR="00C031FA" w:rsidRPr="00653421" w:rsidRDefault="00C031FA" w:rsidP="00BA1576">
            <w:pPr>
              <w:spacing w:before="30" w:after="30"/>
              <w:jc w:val="center"/>
              <w:rPr>
                <w:rFonts w:cs="Tahoma"/>
                <w:sz w:val="20"/>
              </w:rPr>
            </w:pPr>
          </w:p>
        </w:tc>
        <w:tc>
          <w:tcPr>
            <w:tcW w:w="540" w:type="dxa"/>
            <w:vMerge/>
            <w:tcBorders>
              <w:left w:val="single" w:sz="18" w:space="0" w:color="auto"/>
              <w:bottom w:val="single" w:sz="4" w:space="0" w:color="auto"/>
              <w:right w:val="single" w:sz="18" w:space="0" w:color="auto"/>
            </w:tcBorders>
            <w:vAlign w:val="center"/>
          </w:tcPr>
          <w:p w:rsidR="00C031FA" w:rsidRPr="00653421" w:rsidRDefault="00C031FA" w:rsidP="00BA1576">
            <w:pPr>
              <w:spacing w:before="30" w:after="30"/>
              <w:jc w:val="center"/>
              <w:rPr>
                <w:rFonts w:cs="Tahoma"/>
                <w:sz w:val="20"/>
              </w:rPr>
            </w:pPr>
          </w:p>
        </w:tc>
        <w:tc>
          <w:tcPr>
            <w:tcW w:w="720" w:type="dxa"/>
            <w:vMerge/>
            <w:tcBorders>
              <w:bottom w:val="single" w:sz="4" w:space="0" w:color="auto"/>
            </w:tcBorders>
            <w:vAlign w:val="center"/>
          </w:tcPr>
          <w:p w:rsidR="00C031FA" w:rsidRPr="00653421" w:rsidRDefault="00C031FA" w:rsidP="00BA1576">
            <w:pPr>
              <w:spacing w:before="30" w:after="30"/>
              <w:jc w:val="center"/>
              <w:rPr>
                <w:rFonts w:cs="Tahoma"/>
                <w:sz w:val="20"/>
              </w:rPr>
            </w:pPr>
          </w:p>
        </w:tc>
        <w:tc>
          <w:tcPr>
            <w:tcW w:w="540" w:type="dxa"/>
            <w:vMerge/>
            <w:tcBorders>
              <w:bottom w:val="single" w:sz="4" w:space="0" w:color="auto"/>
            </w:tcBorders>
            <w:vAlign w:val="center"/>
          </w:tcPr>
          <w:p w:rsidR="00C031FA" w:rsidRPr="00653421" w:rsidRDefault="00C031FA" w:rsidP="00BA1576">
            <w:pPr>
              <w:spacing w:before="30" w:after="30"/>
              <w:jc w:val="center"/>
              <w:rPr>
                <w:rFonts w:cs="Tahoma"/>
                <w:sz w:val="20"/>
              </w:rPr>
            </w:pPr>
          </w:p>
        </w:tc>
      </w:tr>
      <w:tr w:rsidR="00EF228F" w:rsidRPr="00653421" w:rsidTr="00BA1576">
        <w:trPr>
          <w:trHeight w:val="145"/>
        </w:trPr>
        <w:tc>
          <w:tcPr>
            <w:tcW w:w="2734" w:type="dxa"/>
            <w:gridSpan w:val="2"/>
            <w:tcBorders>
              <w:bottom w:val="single" w:sz="4" w:space="0" w:color="auto"/>
            </w:tcBorders>
            <w:shd w:val="clear" w:color="auto" w:fill="auto"/>
            <w:vAlign w:val="center"/>
          </w:tcPr>
          <w:p w:rsidR="00DC5AE8" w:rsidRPr="00734B50" w:rsidRDefault="00DC5AE8" w:rsidP="007E466C">
            <w:pPr>
              <w:pStyle w:val="ProductNames"/>
              <w:spacing w:before="0" w:after="0"/>
              <w:rPr>
                <w:rFonts w:ascii="Tahoma" w:hAnsi="Tahoma" w:cs="Tahoma"/>
                <w:sz w:val="14"/>
                <w:lang w:val="pt-BR"/>
              </w:rPr>
            </w:pPr>
            <w:bookmarkStart w:id="145" w:name="_Toc353470561"/>
            <w:r w:rsidRPr="00734B50">
              <w:rPr>
                <w:rFonts w:ascii="Tahoma" w:hAnsi="Tahoma" w:cs="Tahoma"/>
                <w:sz w:val="14"/>
                <w:lang w:val="pt-BR"/>
              </w:rPr>
              <w:t>Bing Maps Consumer Controlado por Assinatura Mensal de Ativos</w:t>
            </w:r>
            <w:bookmarkEnd w:id="145"/>
          </w:p>
        </w:tc>
        <w:tc>
          <w:tcPr>
            <w:tcW w:w="360" w:type="dxa"/>
            <w:tcBorders>
              <w:bottom w:val="single" w:sz="4" w:space="0" w:color="auto"/>
            </w:tcBorders>
            <w:shd w:val="clear" w:color="auto" w:fill="auto"/>
            <w:vAlign w:val="center"/>
          </w:tcPr>
          <w:p w:rsidR="00DC5AE8" w:rsidRPr="00653421" w:rsidRDefault="0033195D" w:rsidP="00BA1576">
            <w:pPr>
              <w:spacing w:before="30" w:after="30"/>
              <w:jc w:val="center"/>
              <w:rPr>
                <w:rFonts w:ascii="Trebuchet MS" w:hAnsi="Trebuchet MS"/>
                <w:b/>
                <w:sz w:val="13"/>
                <w:szCs w:val="13"/>
              </w:rPr>
            </w:pPr>
            <w:hyperlink w:anchor="_31_Complemento_de" w:history="1">
              <w:r w:rsidR="0095542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DC5AE8" w:rsidRPr="00653421" w:rsidRDefault="00DC5AE8" w:rsidP="00BA1576">
            <w:pPr>
              <w:spacing w:before="30" w:after="30"/>
              <w:jc w:val="center"/>
              <w:rPr>
                <w:rFonts w:cs="Tahoma"/>
                <w:sz w:val="13"/>
              </w:rPr>
            </w:pPr>
            <w:r w:rsidRPr="00653421">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653421" w:rsidRDefault="00DC5AE8"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DC5AE8" w:rsidRPr="00653421" w:rsidRDefault="00DC5AE8" w:rsidP="00BA1576">
            <w:pPr>
              <w:spacing w:before="30" w:after="30"/>
              <w:jc w:val="center"/>
              <w:rPr>
                <w:rFonts w:cs="Tahoma"/>
                <w:sz w:val="13"/>
              </w:rPr>
            </w:pPr>
            <w:r w:rsidRPr="00653421">
              <w:rPr>
                <w:rFonts w:cs="Tahoma"/>
                <w:sz w:val="13"/>
              </w:rPr>
              <w:t>1 ponto</w:t>
            </w:r>
          </w:p>
        </w:tc>
        <w:tc>
          <w:tcPr>
            <w:tcW w:w="360" w:type="dxa"/>
            <w:tcBorders>
              <w:left w:val="single" w:sz="18" w:space="0" w:color="auto"/>
              <w:bottom w:val="single" w:sz="4" w:space="0" w:color="auto"/>
            </w:tcBorders>
            <w:shd w:val="clear" w:color="auto" w:fill="auto"/>
            <w:vAlign w:val="center"/>
          </w:tcPr>
          <w:p w:rsidR="00DC5AE8" w:rsidRPr="00653421" w:rsidRDefault="00DC5AE8" w:rsidP="00BA1576">
            <w:pPr>
              <w:spacing w:before="30" w:after="30"/>
              <w:jc w:val="center"/>
              <w:rPr>
                <w:rFonts w:cs="Tahoma"/>
                <w:sz w:val="13"/>
              </w:rPr>
            </w:pPr>
            <w:r w:rsidRPr="00653421">
              <w:rPr>
                <w:rFonts w:cs="Tahoma"/>
                <w:sz w:val="13"/>
              </w:rPr>
              <w:t>1</w:t>
            </w:r>
          </w:p>
        </w:tc>
        <w:tc>
          <w:tcPr>
            <w:tcW w:w="450" w:type="dxa"/>
            <w:tcBorders>
              <w:bottom w:val="single" w:sz="4" w:space="0" w:color="auto"/>
            </w:tcBorders>
            <w:shd w:val="clear" w:color="auto" w:fill="auto"/>
            <w:vAlign w:val="center"/>
          </w:tcPr>
          <w:p w:rsidR="00DC5AE8" w:rsidRPr="00653421" w:rsidRDefault="00DC5AE8"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DC5AE8" w:rsidRPr="00653421" w:rsidRDefault="00DC5AE8"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DC5AE8" w:rsidRPr="00653421" w:rsidRDefault="00DC5AE8"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auto"/>
            <w:vAlign w:val="center"/>
          </w:tcPr>
          <w:p w:rsidR="00DC5AE8" w:rsidRPr="00653421" w:rsidRDefault="00DC5AE8" w:rsidP="00BA1576">
            <w:pPr>
              <w:spacing w:before="30" w:after="30"/>
              <w:jc w:val="center"/>
              <w:rPr>
                <w:rFonts w:cs="Tahoma"/>
                <w:sz w:val="13"/>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DC5AE8" w:rsidRPr="00653421" w:rsidRDefault="00DC5AE8" w:rsidP="00BA1576">
            <w:pPr>
              <w:spacing w:before="30" w:after="30"/>
              <w:jc w:val="center"/>
              <w:rPr>
                <w:rFonts w:cs="Tahoma"/>
                <w:sz w:val="13"/>
              </w:rPr>
            </w:pPr>
            <w:r w:rsidRPr="00653421">
              <w:rPr>
                <w:rFonts w:cs="Tahoma"/>
                <w:sz w:val="13"/>
              </w:rPr>
              <w:t>P</w:t>
            </w:r>
          </w:p>
        </w:tc>
        <w:tc>
          <w:tcPr>
            <w:tcW w:w="720" w:type="dxa"/>
            <w:tcBorders>
              <w:bottom w:val="single" w:sz="4" w:space="0" w:color="auto"/>
            </w:tcBorders>
            <w:shd w:val="clear" w:color="auto" w:fill="auto"/>
            <w:vAlign w:val="center"/>
          </w:tcPr>
          <w:p w:rsidR="00DC5AE8" w:rsidRPr="00653421" w:rsidRDefault="00DC5AE8" w:rsidP="00BA1576">
            <w:pPr>
              <w:spacing w:before="30" w:after="30"/>
              <w:jc w:val="center"/>
              <w:rPr>
                <w:rFonts w:cs="Tahoma"/>
                <w:sz w:val="13"/>
              </w:rPr>
            </w:pPr>
          </w:p>
        </w:tc>
        <w:tc>
          <w:tcPr>
            <w:tcW w:w="540" w:type="dxa"/>
            <w:tcBorders>
              <w:bottom w:val="single" w:sz="4" w:space="0" w:color="auto"/>
            </w:tcBorders>
            <w:shd w:val="clear" w:color="auto" w:fill="auto"/>
            <w:vAlign w:val="center"/>
          </w:tcPr>
          <w:p w:rsidR="00DC5AE8" w:rsidRPr="00653421" w:rsidRDefault="00DC5AE8" w:rsidP="00BA1576">
            <w:pPr>
              <w:spacing w:before="30" w:after="30"/>
              <w:jc w:val="center"/>
              <w:rPr>
                <w:rFonts w:cs="Tahoma"/>
                <w:sz w:val="13"/>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1A63C6">
            <w:pPr>
              <w:pStyle w:val="ProductNames"/>
              <w:spacing w:before="0" w:after="0"/>
              <w:rPr>
                <w:rFonts w:ascii="Tahoma" w:hAnsi="Tahoma" w:cs="Tahoma"/>
                <w:sz w:val="14"/>
                <w:lang w:val="pt-BR"/>
              </w:rPr>
            </w:pPr>
            <w:bookmarkStart w:id="146" w:name="_Toc353470562"/>
            <w:r w:rsidRPr="00734B50">
              <w:rPr>
                <w:rFonts w:ascii="Tahoma" w:hAnsi="Tahoma" w:cs="Tahoma"/>
                <w:sz w:val="14"/>
                <w:lang w:val="pt-BR"/>
              </w:rPr>
              <w:t>Bing Maps para Assinatura Mensal de Tarifa por Plataforma Enterprise</w:t>
            </w:r>
            <w:bookmarkEnd w:id="146"/>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50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50</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1A63C6">
            <w:pPr>
              <w:pStyle w:val="ProductNames"/>
              <w:spacing w:before="0" w:after="0"/>
              <w:rPr>
                <w:rFonts w:ascii="Tahoma" w:hAnsi="Tahoma" w:cs="Tahoma"/>
                <w:sz w:val="14"/>
                <w:lang w:val="pt-BR"/>
              </w:rPr>
            </w:pPr>
            <w:bookmarkStart w:id="147" w:name="_Toc353470563"/>
            <w:r w:rsidRPr="00734B50">
              <w:rPr>
                <w:rFonts w:ascii="Tahoma" w:hAnsi="Tahoma" w:cs="Tahoma"/>
                <w:sz w:val="14"/>
                <w:lang w:val="pt-BR"/>
              </w:rPr>
              <w:t>Assinatura Mensal de 100 Mil Transações de Uso de Site Público do Bing Maps</w:t>
            </w:r>
            <w:bookmarkEnd w:id="147"/>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50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50</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1A63C6">
            <w:pPr>
              <w:pStyle w:val="ProductNames"/>
              <w:spacing w:before="0" w:after="0"/>
              <w:rPr>
                <w:rFonts w:ascii="Tahoma" w:hAnsi="Tahoma" w:cs="Tahoma"/>
                <w:sz w:val="14"/>
                <w:lang w:val="pt-BR"/>
              </w:rPr>
            </w:pPr>
            <w:bookmarkStart w:id="148" w:name="_Toc353470564"/>
            <w:r w:rsidRPr="00734B50">
              <w:rPr>
                <w:rFonts w:ascii="Tahoma" w:hAnsi="Tahoma" w:cs="Tahoma"/>
                <w:sz w:val="14"/>
                <w:lang w:val="pt-BR"/>
              </w:rPr>
              <w:t>Assinatura Mensal de 100 Mil Transações de Uso de Site Público do Bing Maps</w:t>
            </w:r>
            <w:bookmarkEnd w:id="148"/>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125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125</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1A63C6">
            <w:pPr>
              <w:pStyle w:val="ProductNames"/>
              <w:spacing w:before="0" w:after="0"/>
              <w:rPr>
                <w:rFonts w:ascii="Tahoma" w:hAnsi="Tahoma" w:cs="Tahoma"/>
                <w:sz w:val="14"/>
                <w:lang w:val="pt-BR"/>
              </w:rPr>
            </w:pPr>
            <w:bookmarkStart w:id="149" w:name="_Toc353470565"/>
            <w:r w:rsidRPr="00734B50">
              <w:rPr>
                <w:rFonts w:ascii="Tahoma" w:hAnsi="Tahoma" w:cs="Tahoma"/>
                <w:sz w:val="14"/>
                <w:lang w:val="pt-BR"/>
              </w:rPr>
              <w:t>Assinatura Mensal de 100 Mil Transações de Uso de Site Público do Bing Maps</w:t>
            </w:r>
            <w:bookmarkEnd w:id="149"/>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1A63C6">
            <w:pPr>
              <w:pStyle w:val="ProductNames"/>
              <w:spacing w:before="0" w:after="0"/>
              <w:rPr>
                <w:rFonts w:ascii="Tahoma" w:hAnsi="Tahoma" w:cs="Tahoma"/>
                <w:sz w:val="14"/>
                <w:lang w:val="pt-BR"/>
              </w:rPr>
            </w:pPr>
            <w:bookmarkStart w:id="150" w:name="_Toc353470566"/>
            <w:r w:rsidRPr="00734B50">
              <w:rPr>
                <w:rFonts w:ascii="Tahoma" w:hAnsi="Tahoma" w:cs="Tahoma"/>
                <w:sz w:val="14"/>
                <w:lang w:val="pt-BR"/>
              </w:rPr>
              <w:t>Assinatura Mensal de 100 Mil Transações de Uso de Site Público do Bing Maps</w:t>
            </w:r>
            <w:bookmarkEnd w:id="150"/>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E76271">
            <w:pPr>
              <w:pStyle w:val="ProductNames"/>
              <w:spacing w:before="0" w:after="0"/>
              <w:rPr>
                <w:rFonts w:ascii="Tahoma" w:hAnsi="Tahoma" w:cs="Tahoma"/>
                <w:sz w:val="14"/>
                <w:lang w:val="pt-BR"/>
              </w:rPr>
            </w:pPr>
            <w:bookmarkStart w:id="151" w:name="_Toc353470567"/>
            <w:r w:rsidRPr="00734B50">
              <w:rPr>
                <w:rFonts w:ascii="Tahoma" w:hAnsi="Tahoma" w:cs="Tahoma"/>
                <w:sz w:val="14"/>
                <w:lang w:val="pt-BR"/>
              </w:rPr>
              <w:t>Assinatura Mensal de 2,5 Milhões de Transações de Uso de Site Público do Bing</w:t>
            </w:r>
            <w:r w:rsidR="00E76271" w:rsidRPr="00734B50">
              <w:rPr>
                <w:rFonts w:ascii="Tahoma" w:hAnsi="Tahoma" w:cs="Tahoma"/>
                <w:sz w:val="14"/>
                <w:lang w:val="pt-BR"/>
              </w:rPr>
              <w:t> </w:t>
            </w:r>
            <w:r w:rsidRPr="00734B50">
              <w:rPr>
                <w:rFonts w:ascii="Tahoma" w:hAnsi="Tahoma" w:cs="Tahoma"/>
                <w:sz w:val="14"/>
                <w:lang w:val="pt-BR"/>
              </w:rPr>
              <w:t>Maps</w:t>
            </w:r>
            <w:bookmarkEnd w:id="151"/>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E76271">
            <w:pPr>
              <w:pStyle w:val="ProductNames"/>
              <w:spacing w:before="0" w:after="0"/>
              <w:rPr>
                <w:rFonts w:ascii="Tahoma" w:hAnsi="Tahoma" w:cs="Tahoma"/>
                <w:sz w:val="14"/>
                <w:lang w:val="pt-BR"/>
              </w:rPr>
            </w:pPr>
            <w:bookmarkStart w:id="152" w:name="_Toc353470568"/>
            <w:r w:rsidRPr="00734B50">
              <w:rPr>
                <w:rFonts w:ascii="Tahoma" w:hAnsi="Tahoma" w:cs="Tahoma"/>
                <w:sz w:val="14"/>
                <w:lang w:val="pt-BR"/>
              </w:rPr>
              <w:t>Assinatura Mensal de 4,2 Milhões Transações de Uso de Site Público do</w:t>
            </w:r>
            <w:r w:rsidR="00E76271" w:rsidRPr="00734B50">
              <w:rPr>
                <w:rFonts w:ascii="Tahoma" w:hAnsi="Tahoma" w:cs="Tahoma"/>
                <w:sz w:val="14"/>
                <w:lang w:val="pt-BR"/>
              </w:rPr>
              <w:t> </w:t>
            </w:r>
            <w:r w:rsidRPr="00734B50">
              <w:rPr>
                <w:rFonts w:ascii="Tahoma" w:hAnsi="Tahoma" w:cs="Tahoma"/>
                <w:sz w:val="14"/>
                <w:lang w:val="pt-BR"/>
              </w:rPr>
              <w:t>Bing</w:t>
            </w:r>
            <w:r w:rsidR="00E76271" w:rsidRPr="00734B50">
              <w:rPr>
                <w:rFonts w:ascii="Tahoma" w:hAnsi="Tahoma" w:cs="Tahoma"/>
                <w:sz w:val="14"/>
                <w:lang w:val="pt-BR"/>
              </w:rPr>
              <w:t> </w:t>
            </w:r>
            <w:r w:rsidRPr="00734B50">
              <w:rPr>
                <w:rFonts w:ascii="Tahoma" w:hAnsi="Tahoma" w:cs="Tahoma"/>
                <w:sz w:val="14"/>
                <w:lang w:val="pt-BR"/>
              </w:rPr>
              <w:t>Maps</w:t>
            </w:r>
            <w:bookmarkEnd w:id="152"/>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E76271">
            <w:pPr>
              <w:pStyle w:val="ProductNames"/>
              <w:spacing w:before="0" w:after="0"/>
              <w:rPr>
                <w:rFonts w:ascii="Tahoma" w:hAnsi="Tahoma" w:cs="Tahoma"/>
                <w:sz w:val="14"/>
                <w:lang w:val="pt-BR"/>
              </w:rPr>
            </w:pPr>
            <w:bookmarkStart w:id="153" w:name="_Toc353470569"/>
            <w:r w:rsidRPr="00734B50">
              <w:rPr>
                <w:rFonts w:ascii="Tahoma" w:hAnsi="Tahoma" w:cs="Tahoma"/>
                <w:sz w:val="14"/>
                <w:lang w:val="pt-BR"/>
              </w:rPr>
              <w:t>Assinatura Mensal de 8,4 Milhões de Transações de Uso de Site Público do</w:t>
            </w:r>
            <w:r w:rsidR="00E76271" w:rsidRPr="00734B50">
              <w:rPr>
                <w:rFonts w:ascii="Tahoma" w:hAnsi="Tahoma" w:cs="Tahoma"/>
                <w:sz w:val="14"/>
                <w:lang w:val="pt-BR"/>
              </w:rPr>
              <w:t> </w:t>
            </w:r>
            <w:r w:rsidRPr="00734B50">
              <w:rPr>
                <w:rFonts w:ascii="Tahoma" w:hAnsi="Tahoma" w:cs="Tahoma"/>
                <w:sz w:val="14"/>
                <w:lang w:val="pt-BR"/>
              </w:rPr>
              <w:t>Bing</w:t>
            </w:r>
            <w:r w:rsidR="00E76271" w:rsidRPr="00734B50">
              <w:rPr>
                <w:rFonts w:ascii="Tahoma" w:hAnsi="Tahoma" w:cs="Tahoma"/>
                <w:sz w:val="14"/>
                <w:lang w:val="pt-BR"/>
              </w:rPr>
              <w:t> </w:t>
            </w:r>
            <w:r w:rsidRPr="00734B50">
              <w:rPr>
                <w:rFonts w:ascii="Tahoma" w:hAnsi="Tahoma" w:cs="Tahoma"/>
                <w:sz w:val="14"/>
                <w:lang w:val="pt-BR"/>
              </w:rPr>
              <w:t>Maps</w:t>
            </w:r>
            <w:bookmarkEnd w:id="153"/>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EF228F"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E76271">
            <w:pPr>
              <w:pStyle w:val="ProductNames"/>
              <w:spacing w:before="0" w:after="0"/>
              <w:rPr>
                <w:rFonts w:ascii="Tahoma" w:hAnsi="Tahoma" w:cs="Tahoma"/>
                <w:sz w:val="14"/>
                <w:lang w:val="pt-BR"/>
              </w:rPr>
            </w:pPr>
            <w:bookmarkStart w:id="154" w:name="_Toc353470570"/>
            <w:r w:rsidRPr="00734B50">
              <w:rPr>
                <w:rFonts w:ascii="Tahoma" w:hAnsi="Tahoma" w:cs="Tahoma"/>
                <w:sz w:val="14"/>
                <w:lang w:val="pt-BR"/>
              </w:rPr>
              <w:t>Assinatura Mensal de Transações Ilimitadas de Uso de Site Público do</w:t>
            </w:r>
            <w:r w:rsidR="00E76271" w:rsidRPr="00734B50">
              <w:rPr>
                <w:rFonts w:ascii="Tahoma" w:hAnsi="Tahoma" w:cs="Tahoma"/>
                <w:sz w:val="14"/>
                <w:lang w:val="pt-BR"/>
              </w:rPr>
              <w:t> </w:t>
            </w:r>
            <w:r w:rsidRPr="00734B50">
              <w:rPr>
                <w:rFonts w:ascii="Tahoma" w:hAnsi="Tahoma" w:cs="Tahoma"/>
                <w:sz w:val="14"/>
                <w:lang w:val="pt-BR"/>
              </w:rPr>
              <w:t>Bing</w:t>
            </w:r>
            <w:r w:rsidR="00E76271" w:rsidRPr="00734B50">
              <w:rPr>
                <w:rFonts w:ascii="Tahoma" w:hAnsi="Tahoma" w:cs="Tahoma"/>
                <w:sz w:val="14"/>
                <w:lang w:val="pt-BR"/>
              </w:rPr>
              <w:t> </w:t>
            </w:r>
            <w:r w:rsidRPr="00734B50">
              <w:rPr>
                <w:rFonts w:ascii="Tahoma" w:hAnsi="Tahoma" w:cs="Tahoma"/>
                <w:sz w:val="14"/>
                <w:lang w:val="pt-BR"/>
              </w:rPr>
              <w:t>Maps</w:t>
            </w:r>
            <w:bookmarkEnd w:id="154"/>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b/>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1A63C6">
            <w:pPr>
              <w:pStyle w:val="ProductNames"/>
              <w:spacing w:before="0" w:after="0"/>
              <w:rPr>
                <w:rFonts w:ascii="Tahoma" w:hAnsi="Tahoma" w:cs="Tahoma"/>
                <w:sz w:val="14"/>
                <w:lang w:val="pt-BR"/>
              </w:rPr>
            </w:pPr>
            <w:bookmarkStart w:id="155" w:name="_Toc353470571"/>
            <w:r w:rsidRPr="00734B50">
              <w:rPr>
                <w:rFonts w:ascii="Tahoma" w:hAnsi="Tahoma" w:cs="Tahoma"/>
                <w:sz w:val="14"/>
                <w:lang w:val="pt-BR"/>
              </w:rPr>
              <w:t>Assinatura Mensal de 100 Mil Transações de Uso de Site Interno do Bing Maps</w:t>
            </w:r>
            <w:bookmarkEnd w:id="155"/>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125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125</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1A63C6"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1A63C6">
            <w:pPr>
              <w:pStyle w:val="ProductNames"/>
              <w:spacing w:before="0" w:after="0"/>
              <w:rPr>
                <w:rFonts w:ascii="Tahoma" w:hAnsi="Tahoma" w:cs="Tahoma"/>
                <w:sz w:val="14"/>
                <w:lang w:val="pt-BR"/>
              </w:rPr>
            </w:pPr>
            <w:bookmarkStart w:id="156" w:name="_Toc353470572"/>
            <w:r w:rsidRPr="00734B50">
              <w:rPr>
                <w:rFonts w:ascii="Tahoma" w:hAnsi="Tahoma" w:cs="Tahoma"/>
                <w:sz w:val="14"/>
                <w:lang w:val="pt-BR"/>
              </w:rPr>
              <w:t>Assinatura Mensal de 100 Mil Transações de Uso de Site Interno do Bing Maps</w:t>
            </w:r>
            <w:bookmarkEnd w:id="156"/>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cs="Tahoma"/>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2B6B82">
            <w:pPr>
              <w:pStyle w:val="ProductNames"/>
              <w:keepNext/>
              <w:spacing w:beforeLines="20" w:before="48" w:afterLines="20" w:after="48"/>
              <w:rPr>
                <w:rFonts w:ascii="Tahoma" w:hAnsi="Tahoma" w:cs="Tahoma"/>
                <w:sz w:val="14"/>
                <w:lang w:val="pt-BR"/>
              </w:rPr>
            </w:pPr>
            <w:bookmarkStart w:id="157" w:name="_Toc353470573"/>
            <w:r w:rsidRPr="00734B50">
              <w:rPr>
                <w:rFonts w:ascii="Tahoma" w:hAnsi="Tahoma" w:cs="Tahoma"/>
                <w:sz w:val="14"/>
                <w:lang w:val="pt-BR"/>
              </w:rPr>
              <w:lastRenderedPageBreak/>
              <w:t>Assinatura Mensal de 100 Mil Transações de Uso de Site Interno do Bing Maps</w:t>
            </w:r>
            <w:bookmarkEnd w:id="157"/>
          </w:p>
        </w:tc>
        <w:tc>
          <w:tcPr>
            <w:tcW w:w="360" w:type="dxa"/>
            <w:tcBorders>
              <w:bottom w:val="single" w:sz="4" w:space="0" w:color="auto"/>
            </w:tcBorders>
            <w:shd w:val="clear" w:color="auto" w:fill="auto"/>
            <w:vAlign w:val="center"/>
          </w:tcPr>
          <w:p w:rsidR="001A63C6" w:rsidRPr="00653421" w:rsidRDefault="0033195D" w:rsidP="00BA1576">
            <w:pPr>
              <w:keepNext/>
              <w:keepLines/>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keepNext/>
              <w:keepLines/>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540" w:type="dxa"/>
            <w:tcBorders>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9D23E3">
            <w:pPr>
              <w:pStyle w:val="ProductNames"/>
              <w:spacing w:beforeLines="20" w:before="48" w:afterLines="20" w:after="48"/>
              <w:rPr>
                <w:rFonts w:ascii="Tahoma" w:hAnsi="Tahoma" w:cs="Tahoma"/>
                <w:sz w:val="14"/>
                <w:lang w:val="pt-BR"/>
              </w:rPr>
            </w:pPr>
            <w:bookmarkStart w:id="158" w:name="_Toc353470574"/>
            <w:r w:rsidRPr="00734B50">
              <w:rPr>
                <w:rFonts w:ascii="Tahoma" w:hAnsi="Tahoma" w:cs="Tahoma"/>
                <w:sz w:val="14"/>
                <w:lang w:val="pt-BR"/>
              </w:rPr>
              <w:t>Assinatura Mensal de 1,5 Milhões de Transações de Uso de Site Interno do</w:t>
            </w:r>
            <w:r w:rsidR="009D23E3" w:rsidRPr="00734B50">
              <w:rPr>
                <w:rFonts w:ascii="Tahoma" w:hAnsi="Tahoma" w:cs="Tahoma"/>
                <w:sz w:val="14"/>
                <w:lang w:val="pt-BR"/>
              </w:rPr>
              <w:t> </w:t>
            </w:r>
            <w:r w:rsidRPr="00734B50">
              <w:rPr>
                <w:rFonts w:ascii="Tahoma" w:hAnsi="Tahoma" w:cs="Tahoma"/>
                <w:sz w:val="14"/>
                <w:lang w:val="pt-BR"/>
              </w:rPr>
              <w:t>Bing</w:t>
            </w:r>
            <w:r w:rsidR="009D23E3" w:rsidRPr="00734B50">
              <w:rPr>
                <w:rFonts w:ascii="Tahoma" w:hAnsi="Tahoma" w:cs="Tahoma"/>
                <w:sz w:val="14"/>
                <w:lang w:val="pt-BR"/>
              </w:rPr>
              <w:t> </w:t>
            </w:r>
            <w:r w:rsidRPr="00734B50">
              <w:rPr>
                <w:rFonts w:ascii="Tahoma" w:hAnsi="Tahoma" w:cs="Tahoma"/>
                <w:sz w:val="14"/>
                <w:lang w:val="pt-BR"/>
              </w:rPr>
              <w:t>Maps</w:t>
            </w:r>
            <w:bookmarkEnd w:id="158"/>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9D23E3">
            <w:pPr>
              <w:pStyle w:val="ProductNames"/>
              <w:keepNext/>
              <w:spacing w:beforeLines="20" w:before="48" w:afterLines="20" w:after="48"/>
              <w:rPr>
                <w:rFonts w:ascii="Tahoma" w:hAnsi="Tahoma" w:cs="Tahoma"/>
                <w:sz w:val="14"/>
                <w:lang w:val="pt-BR"/>
              </w:rPr>
            </w:pPr>
            <w:bookmarkStart w:id="159" w:name="_Toc353470575"/>
            <w:r w:rsidRPr="00734B50">
              <w:rPr>
                <w:rFonts w:ascii="Tahoma" w:hAnsi="Tahoma" w:cs="Tahoma"/>
                <w:sz w:val="14"/>
                <w:lang w:val="pt-BR"/>
              </w:rPr>
              <w:t>Assinatura Mensal de 2,1 Milhões de Transações de Uso de Site Interno do</w:t>
            </w:r>
            <w:r w:rsidR="009D23E3" w:rsidRPr="00734B50">
              <w:rPr>
                <w:rFonts w:ascii="Tahoma" w:hAnsi="Tahoma" w:cs="Tahoma"/>
                <w:sz w:val="14"/>
                <w:lang w:val="pt-BR"/>
              </w:rPr>
              <w:t> </w:t>
            </w:r>
            <w:r w:rsidRPr="00734B50">
              <w:rPr>
                <w:rFonts w:ascii="Tahoma" w:hAnsi="Tahoma" w:cs="Tahoma"/>
                <w:sz w:val="14"/>
                <w:lang w:val="pt-BR"/>
              </w:rPr>
              <w:t>Bing</w:t>
            </w:r>
            <w:r w:rsidR="00E05054" w:rsidRPr="00734B50">
              <w:rPr>
                <w:rFonts w:ascii="Tahoma" w:hAnsi="Tahoma" w:cs="Tahoma"/>
                <w:sz w:val="14"/>
                <w:lang w:val="pt-BR"/>
              </w:rPr>
              <w:t> </w:t>
            </w:r>
            <w:r w:rsidRPr="00734B50">
              <w:rPr>
                <w:rFonts w:ascii="Tahoma" w:hAnsi="Tahoma" w:cs="Tahoma"/>
                <w:sz w:val="14"/>
                <w:lang w:val="pt-BR"/>
              </w:rPr>
              <w:t>Maps</w:t>
            </w:r>
            <w:bookmarkEnd w:id="159"/>
          </w:p>
        </w:tc>
        <w:tc>
          <w:tcPr>
            <w:tcW w:w="360" w:type="dxa"/>
            <w:tcBorders>
              <w:bottom w:val="single" w:sz="4" w:space="0" w:color="auto"/>
            </w:tcBorders>
            <w:shd w:val="clear" w:color="auto" w:fill="auto"/>
            <w:vAlign w:val="center"/>
          </w:tcPr>
          <w:p w:rsidR="001A63C6" w:rsidRPr="00653421" w:rsidRDefault="0033195D" w:rsidP="00BA1576">
            <w:pPr>
              <w:keepNext/>
              <w:keepLines/>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keepNext/>
              <w:keepLines/>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3"/>
              </w:rPr>
            </w:pPr>
          </w:p>
        </w:tc>
        <w:tc>
          <w:tcPr>
            <w:tcW w:w="540" w:type="dxa"/>
            <w:tcBorders>
              <w:bottom w:val="single" w:sz="4" w:space="0" w:color="auto"/>
            </w:tcBorders>
            <w:shd w:val="clear" w:color="auto" w:fill="auto"/>
            <w:vAlign w:val="center"/>
          </w:tcPr>
          <w:p w:rsidR="001A63C6" w:rsidRPr="00653421" w:rsidRDefault="001A63C6" w:rsidP="00BA1576">
            <w:pPr>
              <w:keepNext/>
              <w:keepLines/>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E05054">
            <w:pPr>
              <w:pStyle w:val="ProductNames"/>
              <w:spacing w:beforeLines="20" w:before="48" w:afterLines="20" w:after="48"/>
              <w:rPr>
                <w:rFonts w:ascii="Tahoma" w:hAnsi="Tahoma" w:cs="Tahoma"/>
                <w:sz w:val="14"/>
                <w:lang w:val="pt-BR"/>
              </w:rPr>
            </w:pPr>
            <w:bookmarkStart w:id="160" w:name="_Toc353470576"/>
            <w:r w:rsidRPr="00734B50">
              <w:rPr>
                <w:rFonts w:ascii="Tahoma" w:hAnsi="Tahoma" w:cs="Tahoma"/>
                <w:sz w:val="14"/>
                <w:lang w:val="pt-BR"/>
              </w:rPr>
              <w:t>Assinatura Mensal de Transações Ilimitadas de Uso de Site Interno do</w:t>
            </w:r>
            <w:r w:rsidR="00E05054" w:rsidRPr="00734B50">
              <w:rPr>
                <w:rFonts w:ascii="Tahoma" w:hAnsi="Tahoma" w:cs="Tahoma"/>
                <w:sz w:val="14"/>
                <w:lang w:val="pt-BR"/>
              </w:rPr>
              <w:t> </w:t>
            </w:r>
            <w:r w:rsidRPr="00734B50">
              <w:rPr>
                <w:rFonts w:ascii="Tahoma" w:hAnsi="Tahoma" w:cs="Tahoma"/>
                <w:sz w:val="14"/>
                <w:lang w:val="pt-BR"/>
              </w:rPr>
              <w:t>Bing</w:t>
            </w:r>
            <w:r w:rsidR="00E05054" w:rsidRPr="00734B50">
              <w:rPr>
                <w:rFonts w:ascii="Tahoma" w:hAnsi="Tahoma" w:cs="Tahoma"/>
                <w:sz w:val="14"/>
                <w:lang w:val="pt-BR"/>
              </w:rPr>
              <w:t> </w:t>
            </w:r>
            <w:r w:rsidRPr="00734B50">
              <w:rPr>
                <w:rFonts w:ascii="Tahoma" w:hAnsi="Tahoma" w:cs="Tahoma"/>
                <w:sz w:val="14"/>
                <w:lang w:val="pt-BR"/>
              </w:rPr>
              <w:t>Maps</w:t>
            </w:r>
            <w:bookmarkEnd w:id="160"/>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9D23E3">
            <w:pPr>
              <w:pStyle w:val="ProductNames"/>
              <w:spacing w:beforeLines="20" w:before="48" w:afterLines="20" w:after="48"/>
              <w:rPr>
                <w:rFonts w:ascii="Tahoma" w:hAnsi="Tahoma" w:cs="Tahoma"/>
                <w:sz w:val="14"/>
                <w:lang w:val="pt-BR"/>
              </w:rPr>
            </w:pPr>
            <w:bookmarkStart w:id="161" w:name="_Toc353470577"/>
            <w:r w:rsidRPr="00734B50">
              <w:rPr>
                <w:rFonts w:ascii="Tahoma" w:hAnsi="Tahoma" w:cs="Tahoma"/>
                <w:sz w:val="14"/>
                <w:lang w:val="pt-BR"/>
              </w:rPr>
              <w:t>Bing Maps por Assinatura Mensal de</w:t>
            </w:r>
            <w:r w:rsidR="009D23E3" w:rsidRPr="00734B50">
              <w:rPr>
                <w:rFonts w:ascii="Tahoma" w:hAnsi="Tahoma" w:cs="Tahoma"/>
                <w:sz w:val="14"/>
                <w:lang w:val="pt-BR"/>
              </w:rPr>
              <w:t> </w:t>
            </w:r>
            <w:r w:rsidRPr="00734B50">
              <w:rPr>
                <w:rFonts w:ascii="Tahoma" w:hAnsi="Tahoma" w:cs="Tahoma"/>
                <w:sz w:val="14"/>
                <w:lang w:val="pt-BR"/>
              </w:rPr>
              <w:t>Usuários Conhecidos</w:t>
            </w:r>
            <w:bookmarkEnd w:id="161"/>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EF36CE">
            <w:pPr>
              <w:pStyle w:val="ProductNames"/>
              <w:spacing w:beforeLines="20" w:before="48" w:afterLines="20" w:after="48"/>
              <w:rPr>
                <w:rFonts w:ascii="Tahoma" w:hAnsi="Tahoma" w:cs="Tahoma"/>
                <w:sz w:val="14"/>
                <w:lang w:val="pt-BR"/>
              </w:rPr>
            </w:pPr>
            <w:bookmarkStart w:id="162" w:name="_Toc353470578"/>
            <w:r w:rsidRPr="00734B50">
              <w:rPr>
                <w:rFonts w:ascii="Tahoma" w:hAnsi="Tahoma" w:cs="Tahoma"/>
                <w:sz w:val="14"/>
                <w:lang w:val="pt-BR"/>
              </w:rPr>
              <w:t>Bing Maps por Assinatura Mensal de Pacote de 5 Mil Usuários Conhecidos</w:t>
            </w:r>
            <w:bookmarkEnd w:id="162"/>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200</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EF36CE">
            <w:pPr>
              <w:pStyle w:val="ProductNames"/>
              <w:spacing w:beforeLines="20" w:before="48" w:afterLines="20" w:after="48"/>
              <w:rPr>
                <w:rFonts w:ascii="Tahoma" w:hAnsi="Tahoma" w:cs="Tahoma"/>
                <w:sz w:val="14"/>
                <w:lang w:val="pt-BR"/>
              </w:rPr>
            </w:pPr>
            <w:bookmarkStart w:id="163" w:name="_Toc353470579"/>
            <w:r w:rsidRPr="00734B50">
              <w:rPr>
                <w:rFonts w:ascii="Tahoma" w:hAnsi="Tahoma" w:cs="Tahoma"/>
                <w:sz w:val="14"/>
                <w:lang w:val="pt-BR"/>
              </w:rPr>
              <w:t>Bing Maps Light Conhecido por Assinatura Mensal de Usuários</w:t>
            </w:r>
            <w:bookmarkEnd w:id="163"/>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EF36CE">
            <w:pPr>
              <w:pStyle w:val="ProductNames"/>
              <w:spacing w:beforeLines="20" w:before="48" w:afterLines="20" w:after="48"/>
              <w:rPr>
                <w:rFonts w:ascii="Tahoma" w:hAnsi="Tahoma" w:cs="Tahoma"/>
                <w:sz w:val="14"/>
                <w:lang w:val="pt-BR"/>
              </w:rPr>
            </w:pPr>
            <w:bookmarkStart w:id="164" w:name="_Toc353470580"/>
            <w:r w:rsidRPr="00734B50">
              <w:rPr>
                <w:rFonts w:ascii="Tahoma" w:hAnsi="Tahoma" w:cs="Tahoma"/>
                <w:sz w:val="14"/>
                <w:lang w:val="pt-BR"/>
              </w:rPr>
              <w:t>Bing Maps Light Conhecido por Assinatura Mensal de Pacote de 5 Mil Usuários</w:t>
            </w:r>
            <w:bookmarkEnd w:id="164"/>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125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125</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EF36CE">
            <w:pPr>
              <w:pStyle w:val="ProductNames"/>
              <w:spacing w:beforeLines="20" w:before="48" w:afterLines="20" w:after="48"/>
              <w:rPr>
                <w:rFonts w:ascii="Tahoma" w:hAnsi="Tahoma" w:cs="Tahoma"/>
                <w:sz w:val="14"/>
                <w:lang w:val="pt-BR"/>
              </w:rPr>
            </w:pPr>
            <w:bookmarkStart w:id="165" w:name="_Toc353470581"/>
            <w:r w:rsidRPr="00734B50">
              <w:rPr>
                <w:rFonts w:ascii="Tahoma" w:hAnsi="Tahoma" w:cs="Tahoma"/>
                <w:sz w:val="14"/>
                <w:lang w:val="pt-BR"/>
              </w:rPr>
              <w:t>Assinatura Mensal de Tarifa por Plataforma de Gerenciamento de Ativos Móveis do Bing Maps</w:t>
            </w:r>
            <w:bookmarkEnd w:id="165"/>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50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50</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EF36CE">
            <w:pPr>
              <w:pStyle w:val="ProductNames"/>
              <w:spacing w:beforeLines="20" w:before="48" w:afterLines="20" w:after="48"/>
              <w:rPr>
                <w:rFonts w:ascii="Tahoma" w:hAnsi="Tahoma" w:cs="Tahoma"/>
                <w:sz w:val="14"/>
                <w:lang w:val="pt-BR"/>
              </w:rPr>
            </w:pPr>
            <w:bookmarkStart w:id="166" w:name="_Toc353470582"/>
            <w:r w:rsidRPr="00734B50">
              <w:rPr>
                <w:rFonts w:ascii="Tahoma" w:hAnsi="Tahoma" w:cs="Tahoma"/>
                <w:sz w:val="14"/>
                <w:lang w:val="pt-BR"/>
              </w:rPr>
              <w:t>Gerenciamento de Ativos Móveis do Bing Maps (América do Norte) com roteamento por Assinatura Mensal de Ativos</w:t>
            </w:r>
            <w:bookmarkEnd w:id="166"/>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1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1</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EF36CE">
            <w:pPr>
              <w:pStyle w:val="ProductNames"/>
              <w:spacing w:beforeLines="20" w:before="48" w:afterLines="20" w:after="48"/>
              <w:rPr>
                <w:rFonts w:ascii="Tahoma" w:hAnsi="Tahoma" w:cs="Tahoma"/>
                <w:sz w:val="14"/>
                <w:lang w:val="pt-BR"/>
              </w:rPr>
            </w:pPr>
            <w:bookmarkStart w:id="167" w:name="_Toc353470583"/>
            <w:r w:rsidRPr="00734B50">
              <w:rPr>
                <w:rFonts w:ascii="Tahoma" w:hAnsi="Tahoma" w:cs="Tahoma"/>
                <w:sz w:val="14"/>
                <w:lang w:val="pt-BR"/>
              </w:rPr>
              <w:t>Gerenciamento de Ativos Móveis do Bing Maps (América do Norte) sem roteamento por Assinatura Mensal de Ativos</w:t>
            </w:r>
            <w:bookmarkEnd w:id="167"/>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9D23E3">
            <w:pPr>
              <w:pStyle w:val="ProductNames"/>
              <w:spacing w:beforeLines="20" w:before="48" w:afterLines="20" w:after="48"/>
              <w:rPr>
                <w:rFonts w:ascii="Tahoma" w:hAnsi="Tahoma" w:cs="Tahoma"/>
                <w:sz w:val="14"/>
                <w:lang w:val="pt-BR"/>
              </w:rPr>
            </w:pPr>
            <w:bookmarkStart w:id="168" w:name="_Toc353470584"/>
            <w:r w:rsidRPr="00734B50">
              <w:rPr>
                <w:rFonts w:ascii="Tahoma" w:hAnsi="Tahoma" w:cs="Tahoma"/>
                <w:sz w:val="14"/>
                <w:lang w:val="pt-BR"/>
              </w:rPr>
              <w:t>Gerenciamento de Ativos Móveis do Bing</w:t>
            </w:r>
            <w:r w:rsidR="009D23E3" w:rsidRPr="00734B50">
              <w:rPr>
                <w:rFonts w:ascii="Tahoma" w:hAnsi="Tahoma" w:cs="Tahoma"/>
                <w:sz w:val="14"/>
                <w:lang w:val="pt-BR"/>
              </w:rPr>
              <w:t> </w:t>
            </w:r>
            <w:r w:rsidRPr="00734B50">
              <w:rPr>
                <w:rFonts w:ascii="Tahoma" w:hAnsi="Tahoma" w:cs="Tahoma"/>
                <w:sz w:val="14"/>
                <w:lang w:val="pt-BR"/>
              </w:rPr>
              <w:t>Maps (Europa) com roteamento por</w:t>
            </w:r>
            <w:r w:rsidR="009D23E3" w:rsidRPr="00734B50">
              <w:rPr>
                <w:rFonts w:ascii="Tahoma" w:hAnsi="Tahoma" w:cs="Tahoma"/>
                <w:sz w:val="14"/>
                <w:lang w:val="pt-BR"/>
              </w:rPr>
              <w:t> </w:t>
            </w:r>
            <w:r w:rsidRPr="00734B50">
              <w:rPr>
                <w:rFonts w:ascii="Tahoma" w:hAnsi="Tahoma" w:cs="Tahoma"/>
                <w:sz w:val="14"/>
                <w:lang w:val="pt-BR"/>
              </w:rPr>
              <w:t>Assinatura Mensal de Ativos</w:t>
            </w:r>
            <w:bookmarkEnd w:id="168"/>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1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4"/>
              </w:rPr>
              <w:t>1</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9D23E3">
            <w:pPr>
              <w:pStyle w:val="ProductNames"/>
              <w:spacing w:beforeLines="20" w:before="48" w:afterLines="20" w:after="48"/>
              <w:rPr>
                <w:rFonts w:ascii="Tahoma" w:hAnsi="Tahoma" w:cs="Tahoma"/>
                <w:sz w:val="14"/>
                <w:lang w:val="pt-BR"/>
              </w:rPr>
            </w:pPr>
            <w:bookmarkStart w:id="169" w:name="_Toc353470585"/>
            <w:r w:rsidRPr="00734B50">
              <w:rPr>
                <w:rFonts w:ascii="Tahoma" w:hAnsi="Tahoma" w:cs="Tahoma"/>
                <w:sz w:val="14"/>
                <w:lang w:val="pt-BR"/>
              </w:rPr>
              <w:t>Gerenciamento de Ativos Móveis do Bing</w:t>
            </w:r>
            <w:r w:rsidR="009D23E3" w:rsidRPr="00734B50">
              <w:rPr>
                <w:rFonts w:ascii="Tahoma" w:hAnsi="Tahoma" w:cs="Tahoma"/>
                <w:sz w:val="14"/>
                <w:lang w:val="pt-BR"/>
              </w:rPr>
              <w:t> </w:t>
            </w:r>
            <w:r w:rsidRPr="00734B50">
              <w:rPr>
                <w:rFonts w:ascii="Tahoma" w:hAnsi="Tahoma" w:cs="Tahoma"/>
                <w:sz w:val="14"/>
                <w:lang w:val="pt-BR"/>
              </w:rPr>
              <w:t>Maps (Europa) sem roteamento por</w:t>
            </w:r>
            <w:r w:rsidR="009D23E3" w:rsidRPr="00734B50">
              <w:rPr>
                <w:rFonts w:ascii="Tahoma" w:hAnsi="Tahoma" w:cs="Tahoma"/>
                <w:sz w:val="14"/>
                <w:lang w:val="pt-BR"/>
              </w:rPr>
              <w:t> </w:t>
            </w:r>
            <w:r w:rsidRPr="00734B50">
              <w:rPr>
                <w:rFonts w:ascii="Tahoma" w:hAnsi="Tahoma" w:cs="Tahoma"/>
                <w:sz w:val="14"/>
                <w:lang w:val="pt-BR"/>
              </w:rPr>
              <w:t>Assinatura Mensal de Ativos</w:t>
            </w:r>
            <w:bookmarkEnd w:id="169"/>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Fonts w:ascii="Trebuchet MS" w:hAnsi="Trebuchet MS"/>
                <w:b/>
                <w:sz w:val="13"/>
                <w:szCs w:val="13"/>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D15BAA" w:rsidRPr="00653421" w:rsidRDefault="00D15BAA" w:rsidP="00BA1576">
            <w:pPr>
              <w:spacing w:before="30" w:after="30"/>
              <w:jc w:val="center"/>
              <w:rPr>
                <w:rFonts w:cs="Tahoma"/>
                <w:sz w:val="14"/>
              </w:rPr>
            </w:pPr>
            <w:r w:rsidRPr="006534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4"/>
              </w:rPr>
              <w:t>1</w:t>
            </w: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4"/>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EF36CE">
            <w:pPr>
              <w:pStyle w:val="ProductNames"/>
              <w:spacing w:beforeLines="20" w:before="48" w:afterLines="20" w:after="48"/>
              <w:rPr>
                <w:rFonts w:ascii="Tahoma" w:hAnsi="Tahoma"/>
                <w:sz w:val="14"/>
              </w:rPr>
            </w:pPr>
            <w:bookmarkStart w:id="170" w:name="_Toc336337910"/>
            <w:bookmarkStart w:id="171" w:name="_Toc353470586"/>
            <w:r w:rsidRPr="00653421">
              <w:rPr>
                <w:rFonts w:ascii="Tahoma" w:hAnsi="Tahoma" w:cs="Tahoma"/>
                <w:sz w:val="14"/>
              </w:rPr>
              <w:t>CAL do Bing Maps Server</w:t>
            </w:r>
            <w:bookmarkEnd w:id="170"/>
            <w:bookmarkEnd w:id="171"/>
          </w:p>
        </w:tc>
        <w:tc>
          <w:tcPr>
            <w:tcW w:w="360" w:type="dxa"/>
            <w:tcBorders>
              <w:bottom w:val="single" w:sz="4" w:space="0" w:color="auto"/>
            </w:tcBorders>
            <w:shd w:val="clear" w:color="auto" w:fill="FABF8F"/>
            <w:vAlign w:val="center"/>
          </w:tcPr>
          <w:p w:rsidR="001A63C6" w:rsidRPr="00653421" w:rsidRDefault="0033195D" w:rsidP="00BA1576">
            <w:pPr>
              <w:spacing w:before="30" w:after="30"/>
              <w:jc w:val="center"/>
              <w:rPr>
                <w:rStyle w:val="EndnoteReference"/>
                <w:b w:val="0"/>
                <w:sz w:val="13"/>
                <w:szCs w:val="13"/>
                <w:u w:val="single"/>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1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1</w:t>
            </w: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A</w:t>
            </w: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r>
      <w:tr w:rsidR="002B6B82"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9D23E3">
            <w:pPr>
              <w:pStyle w:val="Heading3"/>
              <w:spacing w:beforeLines="20" w:before="48" w:afterLines="20" w:after="48"/>
              <w:rPr>
                <w:rFonts w:ascii="Tahoma" w:hAnsi="Tahoma" w:cs="Tahoma"/>
                <w:b w:val="0"/>
                <w:sz w:val="16"/>
                <w:lang w:val="pt-BR"/>
              </w:rPr>
            </w:pPr>
            <w:bookmarkStart w:id="172" w:name="_Toc315288746"/>
            <w:bookmarkStart w:id="173" w:name="_Toc336337912"/>
            <w:bookmarkStart w:id="174" w:name="_Toc353470587"/>
            <w:r w:rsidRPr="00734B50">
              <w:rPr>
                <w:rFonts w:ascii="Tahoma" w:hAnsi="Tahoma" w:cs="Tahoma"/>
                <w:b w:val="0"/>
                <w:sz w:val="14"/>
                <w:lang w:val="pt-BR"/>
              </w:rPr>
              <w:t>CAL do Bing Maps Server com Pacote de</w:t>
            </w:r>
            <w:r w:rsidR="009D23E3" w:rsidRPr="00734B50">
              <w:rPr>
                <w:rFonts w:ascii="Tahoma" w:hAnsi="Tahoma" w:cs="Tahoma"/>
                <w:b w:val="0"/>
                <w:sz w:val="14"/>
                <w:lang w:val="pt-BR"/>
              </w:rPr>
              <w:t> </w:t>
            </w:r>
            <w:r w:rsidRPr="00734B50">
              <w:rPr>
                <w:rFonts w:ascii="Tahoma" w:hAnsi="Tahoma" w:cs="Tahoma"/>
                <w:b w:val="0"/>
                <w:sz w:val="14"/>
                <w:lang w:val="pt-BR"/>
              </w:rPr>
              <w:t>Conteúdo Aprimorado</w:t>
            </w:r>
            <w:bookmarkEnd w:id="172"/>
            <w:bookmarkEnd w:id="173"/>
            <w:bookmarkEnd w:id="174"/>
          </w:p>
        </w:tc>
        <w:tc>
          <w:tcPr>
            <w:tcW w:w="360" w:type="dxa"/>
            <w:tcBorders>
              <w:bottom w:val="single" w:sz="4" w:space="0" w:color="auto"/>
            </w:tcBorders>
            <w:shd w:val="clear" w:color="auto" w:fill="auto"/>
            <w:vAlign w:val="center"/>
          </w:tcPr>
          <w:p w:rsidR="001A63C6" w:rsidRPr="00653421" w:rsidRDefault="0033195D" w:rsidP="00BA1576">
            <w:pPr>
              <w:spacing w:before="30" w:after="30"/>
              <w:jc w:val="center"/>
              <w:rPr>
                <w:rStyle w:val="EndnoteReference"/>
                <w:b w:val="0"/>
                <w:sz w:val="13"/>
                <w:szCs w:val="13"/>
                <w:u w:val="single"/>
              </w:rPr>
            </w:pPr>
            <w:hyperlink w:anchor="_31_Complemento_de" w:history="1">
              <w:r w:rsidR="00D36C78" w:rsidRPr="00653421">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27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27</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A</w:t>
            </w: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r>
      <w:tr w:rsidR="002B6B82"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EF36CE">
            <w:pPr>
              <w:pStyle w:val="ProductNames"/>
              <w:spacing w:beforeLines="20" w:before="48" w:afterLines="20" w:after="48"/>
              <w:rPr>
                <w:rFonts w:ascii="Tahoma" w:hAnsi="Tahoma"/>
                <w:sz w:val="14"/>
              </w:rPr>
            </w:pPr>
            <w:bookmarkStart w:id="175" w:name="_Toc315288747"/>
            <w:bookmarkStart w:id="176" w:name="_Toc336337913"/>
            <w:bookmarkStart w:id="177" w:name="_Toc353470588"/>
            <w:r w:rsidRPr="00653421">
              <w:rPr>
                <w:rFonts w:ascii="Tahoma" w:hAnsi="Tahoma"/>
                <w:sz w:val="14"/>
              </w:rPr>
              <w:t>Bing Maps Standard (SL de Usuário)</w:t>
            </w:r>
            <w:bookmarkEnd w:id="175"/>
            <w:bookmarkEnd w:id="176"/>
            <w:bookmarkEnd w:id="177"/>
          </w:p>
        </w:tc>
        <w:tc>
          <w:tcPr>
            <w:tcW w:w="360" w:type="dxa"/>
            <w:tcBorders>
              <w:bottom w:val="single" w:sz="4" w:space="0" w:color="auto"/>
            </w:tcBorders>
            <w:shd w:val="clear" w:color="auto" w:fill="FABF8F"/>
            <w:vAlign w:val="center"/>
          </w:tcPr>
          <w:p w:rsidR="001A63C6" w:rsidRPr="00653421" w:rsidRDefault="001A63C6" w:rsidP="00BA1576">
            <w:pPr>
              <w:spacing w:before="30" w:after="30"/>
              <w:jc w:val="center"/>
              <w:rPr>
                <w:rStyle w:val="EndnoteReference"/>
                <w:sz w:val="13"/>
                <w:szCs w:val="13"/>
                <w:u w:val="single"/>
              </w:rPr>
            </w:pP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1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45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P</w:t>
            </w:r>
          </w:p>
        </w:tc>
        <w:tc>
          <w:tcPr>
            <w:tcW w:w="72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653421" w:rsidRDefault="001A63C6" w:rsidP="00BA1576">
            <w:pPr>
              <w:spacing w:before="30" w:after="30"/>
              <w:jc w:val="center"/>
              <w:rPr>
                <w:rFonts w:cs="Tahoma"/>
                <w:sz w:val="13"/>
              </w:rPr>
            </w:pPr>
            <w:r w:rsidRPr="00653421">
              <w:rPr>
                <w:rFonts w:cs="Tahoma"/>
                <w:sz w:val="13"/>
              </w:rPr>
              <w:t>LO/OV</w:t>
            </w:r>
          </w:p>
        </w:tc>
      </w:tr>
      <w:tr w:rsidR="002B6B82"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EF36CE">
            <w:pPr>
              <w:pStyle w:val="ProductNames"/>
              <w:spacing w:beforeLines="20" w:before="48" w:afterLines="20" w:after="48"/>
              <w:rPr>
                <w:rFonts w:ascii="Tahoma" w:hAnsi="Tahoma"/>
                <w:sz w:val="14"/>
              </w:rPr>
            </w:pPr>
            <w:bookmarkStart w:id="178" w:name="_Toc336337914"/>
            <w:bookmarkStart w:id="179" w:name="_Toc353470589"/>
            <w:r w:rsidRPr="00653421">
              <w:rPr>
                <w:rFonts w:ascii="Tahoma" w:hAnsi="Tahoma"/>
                <w:sz w:val="14"/>
              </w:rPr>
              <w:t>Bing Maps Standard (SL de Serviços)</w:t>
            </w:r>
            <w:bookmarkEnd w:id="178"/>
            <w:bookmarkEnd w:id="179"/>
          </w:p>
        </w:tc>
        <w:tc>
          <w:tcPr>
            <w:tcW w:w="360" w:type="dxa"/>
            <w:tcBorders>
              <w:bottom w:val="single" w:sz="4" w:space="0" w:color="auto"/>
            </w:tcBorders>
            <w:shd w:val="clear" w:color="auto" w:fill="auto"/>
            <w:vAlign w:val="center"/>
          </w:tcPr>
          <w:p w:rsidR="001A63C6" w:rsidRPr="00653421" w:rsidRDefault="001A63C6" w:rsidP="00BA1576">
            <w:pPr>
              <w:spacing w:before="30" w:after="30"/>
              <w:jc w:val="center"/>
              <w:rPr>
                <w:rStyle w:val="EndnoteReference"/>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pPr>
            <w:r w:rsidRPr="00653421">
              <w:rPr>
                <w:rFonts w:cs="Tahoma"/>
                <w:sz w:val="13"/>
              </w:rPr>
              <w:t>75 ponto</w:t>
            </w:r>
          </w:p>
          <w:p w:rsidR="001A63C6" w:rsidRPr="00653421" w:rsidRDefault="001A63C6" w:rsidP="00BA1576">
            <w:pPr>
              <w:spacing w:before="30" w:after="30"/>
              <w:jc w:val="center"/>
              <w:rPr>
                <w:rFonts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45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653421" w:rsidRDefault="001A63C6" w:rsidP="00BA1576">
            <w:pPr>
              <w:spacing w:before="30" w:after="30"/>
              <w:jc w:val="center"/>
              <w:rPr>
                <w:rFonts w:cs="Tahoma"/>
                <w:sz w:val="13"/>
              </w:rPr>
            </w:pPr>
            <w:r w:rsidRPr="00653421">
              <w:rPr>
                <w:rFonts w:cs="Tahoma"/>
                <w:sz w:val="13"/>
              </w:rPr>
              <w:t>LO/OV</w:t>
            </w:r>
          </w:p>
        </w:tc>
      </w:tr>
      <w:tr w:rsidR="00C313DE" w:rsidRPr="00653421" w:rsidTr="00BA1576">
        <w:trPr>
          <w:trHeight w:val="64"/>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180" w:name="_Toc336337919"/>
            <w:bookmarkStart w:id="181" w:name="_Toc353470590"/>
            <w:r w:rsidRPr="00653421">
              <w:rPr>
                <w:rFonts w:ascii="Tahoma" w:hAnsi="Tahoma" w:cs="Tahoma"/>
                <w:sz w:val="14"/>
              </w:rPr>
              <w:t>BizTalk</w:t>
            </w:r>
            <w:r w:rsidRPr="00653421">
              <w:rPr>
                <w:rFonts w:cs="Tahoma"/>
                <w:szCs w:val="18"/>
                <w:vertAlign w:val="superscript"/>
              </w:rPr>
              <w:t>®</w:t>
            </w:r>
            <w:r w:rsidRPr="00653421">
              <w:rPr>
                <w:rFonts w:ascii="Tahoma" w:hAnsi="Tahoma" w:cs="Tahoma"/>
                <w:sz w:val="14"/>
              </w:rPr>
              <w:t xml:space="preserve"> Server 2013 Branch Edition</w:t>
            </w:r>
            <w:bookmarkEnd w:id="180"/>
            <w:bookmarkEnd w:id="181"/>
            <w:r w:rsidRPr="00653421">
              <w:rPr>
                <w:rFonts w:ascii="Tahoma" w:hAnsi="Tahoma" w:cs="Tahoma"/>
                <w:sz w:val="14"/>
              </w:rPr>
              <w:t xml:space="preserve"> </w:t>
            </w:r>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32_BizTalk_Server®" w:history="1">
              <w:r w:rsidR="00955428" w:rsidRPr="00653421">
                <w:rPr>
                  <w:rStyle w:val="Hyperlink"/>
                  <w:rFonts w:cs="Tahoma"/>
                  <w:b/>
                  <w:sz w:val="13"/>
                  <w:szCs w:val="13"/>
                </w:rPr>
                <w:t>32</w:t>
              </w:r>
            </w:hyperlink>
            <w:hyperlink w:anchor="Srv_26_BizTalkServerBranch" w:history="1"/>
          </w:p>
        </w:tc>
        <w:tc>
          <w:tcPr>
            <w:tcW w:w="450" w:type="dxa"/>
            <w:tcBorders>
              <w:bottom w:val="single" w:sz="4" w:space="0" w:color="auto"/>
            </w:tcBorders>
            <w:shd w:val="clear" w:color="auto" w:fill="FABF8F"/>
            <w:vAlign w:val="center"/>
          </w:tcPr>
          <w:p w:rsidR="001A63C6" w:rsidRPr="00653421" w:rsidRDefault="002B327C"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63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A,S,D</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LO/OV</w:t>
            </w:r>
          </w:p>
        </w:tc>
      </w:tr>
      <w:tr w:rsidR="00C313DE"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182" w:name="_Toc336337920"/>
            <w:bookmarkStart w:id="183" w:name="_Toc353470591"/>
            <w:r w:rsidRPr="00653421">
              <w:rPr>
                <w:rFonts w:ascii="Tahoma" w:hAnsi="Tahoma" w:cs="Tahoma"/>
                <w:sz w:val="14"/>
              </w:rPr>
              <w:t>BizTalk</w:t>
            </w:r>
            <w:r w:rsidRPr="00653421">
              <w:rPr>
                <w:rFonts w:cs="Tahoma"/>
                <w:szCs w:val="18"/>
                <w:vertAlign w:val="superscript"/>
              </w:rPr>
              <w:t>®</w:t>
            </w:r>
            <w:r w:rsidRPr="00653421">
              <w:rPr>
                <w:rFonts w:ascii="Tahoma" w:hAnsi="Tahoma" w:cs="Tahoma"/>
                <w:sz w:val="14"/>
              </w:rPr>
              <w:t xml:space="preserve"> Server 2013 Enterprise Edition</w:t>
            </w:r>
            <w:bookmarkEnd w:id="182"/>
            <w:bookmarkEnd w:id="183"/>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33_BizTalk_Server®" w:history="1">
              <w:r w:rsidR="00132E08" w:rsidRPr="00653421">
                <w:rPr>
                  <w:rStyle w:val="Hyperlink"/>
                  <w:rFonts w:cs="Tahoma"/>
                  <w:b/>
                  <w:sz w:val="13"/>
                  <w:szCs w:val="13"/>
                </w:rPr>
                <w:t>33</w:t>
              </w:r>
            </w:hyperlink>
          </w:p>
        </w:tc>
        <w:tc>
          <w:tcPr>
            <w:tcW w:w="450" w:type="dxa"/>
            <w:tcBorders>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400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300</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400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LO/OV</w:t>
            </w:r>
          </w:p>
        </w:tc>
      </w:tr>
      <w:tr w:rsidR="00C313DE" w:rsidRPr="00653421" w:rsidTr="00BA1576">
        <w:trPr>
          <w:trHeight w:val="145"/>
        </w:trPr>
        <w:tc>
          <w:tcPr>
            <w:tcW w:w="2734" w:type="dxa"/>
            <w:gridSpan w:val="2"/>
            <w:tcBorders>
              <w:bottom w:val="single" w:sz="4" w:space="0" w:color="auto"/>
            </w:tcBorders>
            <w:shd w:val="clear" w:color="auto" w:fill="FABF8F"/>
            <w:vAlign w:val="center"/>
          </w:tcPr>
          <w:p w:rsidR="002B327C" w:rsidRPr="00653421" w:rsidRDefault="002B327C" w:rsidP="00EF36CE">
            <w:pPr>
              <w:pStyle w:val="ProductNames"/>
              <w:spacing w:beforeLines="20" w:before="48" w:afterLines="20" w:after="48"/>
              <w:rPr>
                <w:rFonts w:ascii="Tahoma" w:hAnsi="Tahoma" w:cs="Tahoma"/>
                <w:sz w:val="14"/>
              </w:rPr>
            </w:pPr>
            <w:bookmarkStart w:id="184" w:name="_Toc353470592"/>
            <w:r w:rsidRPr="00653421">
              <w:rPr>
                <w:rFonts w:ascii="Tahoma" w:hAnsi="Tahoma" w:cs="Tahoma"/>
                <w:sz w:val="14"/>
              </w:rPr>
              <w:t>BizTalk</w:t>
            </w:r>
            <w:r w:rsidRPr="00653421">
              <w:rPr>
                <w:rFonts w:cs="Tahoma"/>
                <w:szCs w:val="18"/>
                <w:vertAlign w:val="superscript"/>
              </w:rPr>
              <w:t>®</w:t>
            </w:r>
            <w:r w:rsidRPr="00653421">
              <w:rPr>
                <w:rFonts w:ascii="Tahoma" w:hAnsi="Tahoma" w:cs="Tahoma"/>
                <w:sz w:val="14"/>
              </w:rPr>
              <w:t xml:space="preserve"> Server 2013 Branch IDC</w:t>
            </w:r>
            <w:bookmarkEnd w:id="184"/>
          </w:p>
        </w:tc>
        <w:tc>
          <w:tcPr>
            <w:tcW w:w="360" w:type="dxa"/>
            <w:tcBorders>
              <w:bottom w:val="single" w:sz="4" w:space="0" w:color="auto"/>
            </w:tcBorders>
            <w:shd w:val="clear" w:color="auto" w:fill="FABF8F"/>
            <w:vAlign w:val="center"/>
          </w:tcPr>
          <w:p w:rsidR="002B327C" w:rsidRPr="00653421" w:rsidRDefault="002B327C" w:rsidP="00BA1576">
            <w:pPr>
              <w:pStyle w:val="TableText"/>
              <w:widowControl w:val="0"/>
              <w:spacing w:before="30" w:after="30"/>
              <w:rPr>
                <w:sz w:val="13"/>
                <w:szCs w:val="13"/>
              </w:rPr>
            </w:pPr>
          </w:p>
        </w:tc>
        <w:tc>
          <w:tcPr>
            <w:tcW w:w="450" w:type="dxa"/>
            <w:tcBorders>
              <w:bottom w:val="single" w:sz="4" w:space="0" w:color="auto"/>
            </w:tcBorders>
            <w:shd w:val="clear" w:color="auto" w:fill="FABF8F"/>
            <w:vAlign w:val="center"/>
          </w:tcPr>
          <w:p w:rsidR="002B327C" w:rsidRPr="00653421" w:rsidDel="004D199A" w:rsidRDefault="002B327C"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r w:rsidRPr="00653421">
              <w:rPr>
                <w:rFonts w:ascii="Tahoma" w:hAnsi="Tahoma" w:cs="Tahoma"/>
                <w:sz w:val="13"/>
              </w:rPr>
              <w:t>D</w:t>
            </w:r>
          </w:p>
        </w:tc>
        <w:tc>
          <w:tcPr>
            <w:tcW w:w="540" w:type="dxa"/>
            <w:tcBorders>
              <w:left w:val="single" w:sz="18" w:space="0" w:color="auto"/>
              <w:bottom w:val="single" w:sz="4" w:space="0" w:color="auto"/>
              <w:right w:val="single" w:sz="18"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327C" w:rsidRPr="00653421" w:rsidRDefault="002B327C" w:rsidP="00BA1576">
            <w:pPr>
              <w:pStyle w:val="TableText"/>
              <w:widowControl w:val="0"/>
              <w:spacing w:before="30" w:after="30"/>
              <w:rPr>
                <w:rFonts w:ascii="Tahoma" w:hAnsi="Tahoma" w:cs="Tahoma"/>
                <w:color w:val="000000"/>
                <w:sz w:val="13"/>
              </w:rPr>
            </w:pPr>
          </w:p>
        </w:tc>
      </w:tr>
      <w:tr w:rsidR="00C313DE"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185" w:name="_Toc336337922"/>
            <w:bookmarkStart w:id="186" w:name="_Toc353470593"/>
            <w:r w:rsidRPr="00653421">
              <w:rPr>
                <w:rFonts w:ascii="Tahoma" w:hAnsi="Tahoma" w:cs="Tahoma"/>
                <w:sz w:val="14"/>
              </w:rPr>
              <w:t>BizTalk</w:t>
            </w:r>
            <w:r w:rsidRPr="00653421">
              <w:rPr>
                <w:rFonts w:cs="Tahoma"/>
                <w:szCs w:val="18"/>
                <w:vertAlign w:val="superscript"/>
              </w:rPr>
              <w:t>®</w:t>
            </w:r>
            <w:r w:rsidRPr="00653421">
              <w:rPr>
                <w:rFonts w:ascii="Tahoma" w:hAnsi="Tahoma" w:cs="Tahoma"/>
                <w:sz w:val="14"/>
              </w:rPr>
              <w:t xml:space="preserve"> Server 2013 Standard Edition</w:t>
            </w:r>
            <w:bookmarkEnd w:id="185"/>
            <w:bookmarkEnd w:id="186"/>
            <w:r w:rsidRPr="00653421">
              <w:rPr>
                <w:rFonts w:ascii="Tahoma" w:hAnsi="Tahoma" w:cs="Tahoma"/>
                <w:sz w:val="14"/>
              </w:rPr>
              <w:t xml:space="preserve"> </w:t>
            </w:r>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34_BizTalk_Server®" w:history="1">
              <w:r w:rsidR="00132E08" w:rsidRPr="00653421">
                <w:rPr>
                  <w:rStyle w:val="Hyperlink"/>
                  <w:rFonts w:cs="Tahoma"/>
                  <w:b/>
                  <w:sz w:val="13"/>
                  <w:szCs w:val="13"/>
                </w:rPr>
                <w:t>34</w:t>
              </w:r>
            </w:hyperlink>
          </w:p>
        </w:tc>
        <w:tc>
          <w:tcPr>
            <w:tcW w:w="450" w:type="dxa"/>
            <w:tcBorders>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630" w:type="dxa"/>
            <w:tcBorders>
              <w:left w:val="single" w:sz="18" w:space="0" w:color="auto"/>
              <w:bottom w:val="single" w:sz="4" w:space="0" w:color="auto"/>
            </w:tcBorders>
            <w:shd w:val="clear" w:color="auto" w:fill="auto"/>
            <w:vAlign w:val="center"/>
          </w:tcPr>
          <w:p w:rsidR="001A63C6" w:rsidRPr="00653421" w:rsidRDefault="004D199A"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LO/OV</w:t>
            </w:r>
          </w:p>
        </w:tc>
      </w:tr>
      <w:tr w:rsidR="00C313DE" w:rsidRPr="00653421" w:rsidDel="00E7100E" w:rsidTr="00BA1576">
        <w:trPr>
          <w:trHeight w:val="145"/>
        </w:trPr>
        <w:tc>
          <w:tcPr>
            <w:tcW w:w="2734" w:type="dxa"/>
            <w:gridSpan w:val="2"/>
            <w:tcBorders>
              <w:bottom w:val="single" w:sz="4" w:space="0" w:color="auto"/>
            </w:tcBorders>
            <w:shd w:val="clear" w:color="auto" w:fill="FABF8F"/>
            <w:vAlign w:val="center"/>
          </w:tcPr>
          <w:p w:rsidR="002B327C" w:rsidRPr="00653421" w:rsidDel="002B327C" w:rsidRDefault="002B327C" w:rsidP="00EF36CE">
            <w:pPr>
              <w:pStyle w:val="Heading2"/>
              <w:spacing w:beforeLines="20" w:before="48" w:afterLines="20" w:after="48"/>
              <w:ind w:left="0"/>
              <w:rPr>
                <w:rFonts w:ascii="Tahoma" w:hAnsi="Tahoma" w:cs="Tahoma"/>
                <w:b w:val="0"/>
                <w:sz w:val="14"/>
              </w:rPr>
            </w:pPr>
            <w:bookmarkStart w:id="187" w:name="_Toc353470594"/>
            <w:r w:rsidRPr="00653421">
              <w:rPr>
                <w:rFonts w:ascii="Tahoma" w:hAnsi="Tahoma" w:cs="Tahoma"/>
                <w:b w:val="0"/>
                <w:sz w:val="14"/>
              </w:rPr>
              <w:t>BizTalk</w:t>
            </w:r>
            <w:r w:rsidRPr="00653421">
              <w:rPr>
                <w:rFonts w:ascii="Tahoma" w:hAnsi="Tahoma" w:cs="Tahoma"/>
                <w:b w:val="0"/>
                <w:sz w:val="14"/>
                <w:vertAlign w:val="superscript"/>
              </w:rPr>
              <w:t>®</w:t>
            </w:r>
            <w:r w:rsidRPr="00653421">
              <w:rPr>
                <w:rFonts w:ascii="Tahoma" w:hAnsi="Tahoma" w:cs="Tahoma"/>
                <w:b w:val="0"/>
                <w:sz w:val="14"/>
              </w:rPr>
              <w:t xml:space="preserve"> Server 2013 Standard Edition IDC</w:t>
            </w:r>
            <w:bookmarkEnd w:id="187"/>
          </w:p>
        </w:tc>
        <w:tc>
          <w:tcPr>
            <w:tcW w:w="360" w:type="dxa"/>
            <w:tcBorders>
              <w:bottom w:val="single" w:sz="4" w:space="0" w:color="auto"/>
            </w:tcBorders>
            <w:shd w:val="clear" w:color="auto" w:fill="FABF8F"/>
            <w:vAlign w:val="center"/>
          </w:tcPr>
          <w:p w:rsidR="002B327C" w:rsidRPr="00653421" w:rsidDel="00E7100E" w:rsidRDefault="002B327C" w:rsidP="00BA1576">
            <w:pPr>
              <w:spacing w:before="30" w:after="30"/>
              <w:jc w:val="center"/>
              <w:rPr>
                <w:rFonts w:ascii="Trebuchet MS" w:hAnsi="Trebuchet MS"/>
                <w:sz w:val="13"/>
                <w:szCs w:val="13"/>
              </w:rPr>
            </w:pPr>
          </w:p>
        </w:tc>
        <w:tc>
          <w:tcPr>
            <w:tcW w:w="450" w:type="dxa"/>
            <w:tcBorders>
              <w:bottom w:val="single" w:sz="4" w:space="0" w:color="auto"/>
            </w:tcBorders>
            <w:shd w:val="clear" w:color="auto" w:fill="FABF8F"/>
            <w:vAlign w:val="center"/>
          </w:tcPr>
          <w:p w:rsidR="002B327C" w:rsidRPr="00653421" w:rsidDel="00A53269" w:rsidRDefault="002B327C" w:rsidP="00BA1576">
            <w:pPr>
              <w:spacing w:before="30" w:after="30"/>
              <w:jc w:val="center"/>
              <w:rPr>
                <w:rFonts w:cs="Tahoma"/>
                <w:color w:val="000000"/>
                <w:sz w:val="13"/>
                <w:szCs w:val="13"/>
              </w:rPr>
            </w:pPr>
            <w:r w:rsidRPr="00653421">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653421" w:rsidDel="00E7100E" w:rsidRDefault="002B327C" w:rsidP="00BA1576">
            <w:pPr>
              <w:spacing w:before="30" w:after="3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360" w:type="dxa"/>
            <w:tcBorders>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360" w:type="dxa"/>
            <w:tcBorders>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360" w:type="dxa"/>
            <w:tcBorders>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360" w:type="dxa"/>
            <w:tcBorders>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360" w:type="dxa"/>
            <w:tcBorders>
              <w:left w:val="single" w:sz="18" w:space="0" w:color="auto"/>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630" w:type="dxa"/>
            <w:tcBorders>
              <w:left w:val="single" w:sz="18" w:space="0" w:color="auto"/>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540" w:type="dxa"/>
            <w:tcBorders>
              <w:bottom w:val="single" w:sz="4" w:space="0" w:color="auto"/>
              <w:right w:val="single" w:sz="18" w:space="0" w:color="auto"/>
            </w:tcBorders>
            <w:shd w:val="clear" w:color="auto" w:fill="FABF8F"/>
            <w:vAlign w:val="center"/>
          </w:tcPr>
          <w:p w:rsidR="002B327C" w:rsidRPr="00653421" w:rsidDel="00A53269" w:rsidRDefault="002253A3" w:rsidP="00BA1576">
            <w:pPr>
              <w:spacing w:before="30" w:after="30"/>
              <w:jc w:val="center"/>
              <w:rPr>
                <w:rFonts w:cs="Tahoma"/>
                <w:sz w:val="13"/>
                <w:szCs w:val="13"/>
              </w:rPr>
            </w:pPr>
            <w:r w:rsidRPr="00653421">
              <w:rPr>
                <w:rFonts w:cs="Tahoma"/>
                <w:sz w:val="13"/>
                <w:szCs w:val="13"/>
              </w:rPr>
              <w:t>D</w:t>
            </w:r>
          </w:p>
        </w:tc>
        <w:tc>
          <w:tcPr>
            <w:tcW w:w="540" w:type="dxa"/>
            <w:tcBorders>
              <w:left w:val="single" w:sz="18" w:space="0" w:color="auto"/>
              <w:bottom w:val="single" w:sz="4" w:space="0" w:color="auto"/>
              <w:right w:val="single" w:sz="18"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720" w:type="dxa"/>
            <w:tcBorders>
              <w:bottom w:val="single" w:sz="4" w:space="0" w:color="auto"/>
            </w:tcBorders>
            <w:shd w:val="clear" w:color="auto" w:fill="FABF8F"/>
            <w:vAlign w:val="center"/>
          </w:tcPr>
          <w:p w:rsidR="002B327C" w:rsidRPr="00653421" w:rsidDel="00E7100E" w:rsidRDefault="002B327C" w:rsidP="00BA1576">
            <w:pPr>
              <w:spacing w:before="30" w:after="30"/>
              <w:jc w:val="center"/>
              <w:rPr>
                <w:rFonts w:cs="Tahoma"/>
                <w:sz w:val="13"/>
                <w:szCs w:val="13"/>
              </w:rPr>
            </w:pPr>
          </w:p>
        </w:tc>
        <w:tc>
          <w:tcPr>
            <w:tcW w:w="540" w:type="dxa"/>
            <w:tcBorders>
              <w:bottom w:val="single" w:sz="4" w:space="0" w:color="auto"/>
            </w:tcBorders>
            <w:shd w:val="clear" w:color="auto" w:fill="FABF8F"/>
            <w:vAlign w:val="center"/>
          </w:tcPr>
          <w:p w:rsidR="002B327C" w:rsidRPr="00653421" w:rsidDel="00E7100E" w:rsidRDefault="002B327C" w:rsidP="00BA1576">
            <w:pPr>
              <w:spacing w:before="30" w:after="30"/>
              <w:jc w:val="center"/>
              <w:rPr>
                <w:rFonts w:cs="Tahoma"/>
                <w:color w:val="000000"/>
                <w:sz w:val="13"/>
                <w:szCs w:val="13"/>
              </w:rPr>
            </w:pPr>
          </w:p>
        </w:tc>
      </w:tr>
      <w:tr w:rsidR="00C313DE"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Heading2"/>
              <w:spacing w:beforeLines="20" w:before="48" w:afterLines="20" w:after="48"/>
              <w:ind w:left="0"/>
              <w:rPr>
                <w:rFonts w:ascii="Tahoma" w:hAnsi="Tahoma" w:cs="Tahoma"/>
                <w:b w:val="0"/>
                <w:sz w:val="16"/>
                <w:szCs w:val="16"/>
              </w:rPr>
            </w:pPr>
            <w:bookmarkStart w:id="188" w:name="_Toc336337925"/>
            <w:bookmarkStart w:id="189" w:name="_Toc353470595"/>
            <w:r w:rsidRPr="00653421">
              <w:rPr>
                <w:rFonts w:ascii="Tahoma" w:hAnsi="Tahoma" w:cs="Tahoma"/>
                <w:b w:val="0"/>
                <w:sz w:val="14"/>
                <w:szCs w:val="16"/>
              </w:rPr>
              <w:t>Business Intelligence Appliance 2012</w:t>
            </w:r>
            <w:bookmarkEnd w:id="188"/>
            <w:bookmarkEnd w:id="189"/>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color w:val="0000FF"/>
                <w:sz w:val="13"/>
                <w:szCs w:val="13"/>
                <w:u w:val="single"/>
              </w:rPr>
            </w:pPr>
            <w:hyperlink w:anchor="Srv_35BusinessIntellApp2012" w:history="1">
              <w:r w:rsidR="00955428" w:rsidRPr="00653421">
                <w:rPr>
                  <w:rStyle w:val="Hyperlink"/>
                  <w:b/>
                  <w:sz w:val="13"/>
                  <w:szCs w:val="13"/>
                </w:rPr>
                <w:t>3</w:t>
              </w:r>
            </w:hyperlink>
            <w:r w:rsidR="00955428" w:rsidRPr="00653421">
              <w:rPr>
                <w:rStyle w:val="Hyperlink"/>
                <w:b/>
                <w:sz w:val="13"/>
                <w:szCs w:val="13"/>
              </w:rPr>
              <w:t>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313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250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188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63</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C313D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190" w:name="_Toc336337926"/>
            <w:bookmarkStart w:id="191" w:name="_Toc353470596"/>
            <w:r w:rsidRPr="00734B50">
              <w:rPr>
                <w:rFonts w:ascii="Tahoma" w:hAnsi="Tahoma" w:cs="Tahoma"/>
                <w:sz w:val="14"/>
                <w:lang w:val="pt-BR"/>
              </w:rPr>
              <w:t>Bridge do Pacote de CALs Principais para Office 365 (Usuário e Dispositivo)</w:t>
            </w:r>
            <w:bookmarkEnd w:id="190"/>
            <w:bookmarkEnd w:id="191"/>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36_Bridge_do" w:history="1">
              <w:r w:rsidR="00955428" w:rsidRPr="00653421">
                <w:rPr>
                  <w:rStyle w:val="Hyperlink"/>
                  <w:b/>
                  <w:sz w:val="13"/>
                  <w:szCs w:val="13"/>
                </w:rPr>
                <w:t>36</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9D23E3">
            <w:pPr>
              <w:pStyle w:val="ProductNames"/>
              <w:spacing w:beforeLines="20" w:before="48" w:afterLines="20" w:after="48"/>
              <w:rPr>
                <w:rFonts w:ascii="Tahoma" w:hAnsi="Tahoma" w:cs="Tahoma"/>
                <w:sz w:val="14"/>
                <w:lang w:val="pt-BR"/>
              </w:rPr>
            </w:pPr>
            <w:bookmarkStart w:id="192" w:name="_Toc336337927"/>
            <w:bookmarkStart w:id="193" w:name="_Toc353470597"/>
            <w:r w:rsidRPr="00734B50">
              <w:rPr>
                <w:rFonts w:ascii="Tahoma" w:hAnsi="Tahoma" w:cs="Tahoma"/>
                <w:sz w:val="14"/>
                <w:lang w:val="pt-BR"/>
              </w:rPr>
              <w:t>Bridge do Pacote de CALs Principais para Office 365 e Windows</w:t>
            </w:r>
            <w:r w:rsidRPr="00734B50">
              <w:rPr>
                <w:rFonts w:ascii="Tahoma" w:hAnsi="Tahoma" w:cs="Tahoma"/>
                <w:sz w:val="14"/>
                <w:vertAlign w:val="superscript"/>
                <w:lang w:val="pt-BR"/>
              </w:rPr>
              <w:t>®</w:t>
            </w:r>
            <w:r w:rsidRPr="00734B50">
              <w:rPr>
                <w:rFonts w:ascii="Tahoma" w:hAnsi="Tahoma" w:cs="Tahoma"/>
                <w:sz w:val="14"/>
                <w:lang w:val="pt-BR"/>
              </w:rPr>
              <w:t xml:space="preserve"> Intune (Usuário e</w:t>
            </w:r>
            <w:r w:rsidR="009D23E3" w:rsidRPr="00734B50">
              <w:rPr>
                <w:rFonts w:ascii="Tahoma" w:hAnsi="Tahoma" w:cs="Tahoma"/>
                <w:sz w:val="14"/>
                <w:lang w:val="pt-BR"/>
              </w:rPr>
              <w:t> </w:t>
            </w:r>
            <w:r w:rsidRPr="00734B50">
              <w:rPr>
                <w:rFonts w:ascii="Tahoma" w:hAnsi="Tahoma" w:cs="Tahoma"/>
                <w:sz w:val="14"/>
                <w:lang w:val="pt-BR"/>
              </w:rPr>
              <w:t>Dispositivo)</w:t>
            </w:r>
            <w:bookmarkEnd w:id="192"/>
            <w:bookmarkEnd w:id="193"/>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37_Pacote_de" w:history="1">
              <w:r w:rsidR="00955428" w:rsidRPr="00653421">
                <w:rPr>
                  <w:rStyle w:val="Hyperlink"/>
                  <w:b/>
                  <w:sz w:val="13"/>
                  <w:szCs w:val="13"/>
                </w:rPr>
                <w:t>37</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9D23E3">
            <w:pPr>
              <w:pStyle w:val="ProductNames"/>
              <w:keepNext/>
              <w:spacing w:beforeLines="20" w:before="48" w:afterLines="20" w:after="48"/>
              <w:rPr>
                <w:rFonts w:ascii="Tahoma" w:hAnsi="Tahoma" w:cs="Tahoma"/>
                <w:sz w:val="14"/>
                <w:lang w:val="pt-BR"/>
              </w:rPr>
            </w:pPr>
            <w:bookmarkStart w:id="194" w:name="_Toc336337928"/>
            <w:bookmarkStart w:id="195" w:name="_Toc353470598"/>
            <w:r w:rsidRPr="00734B50">
              <w:rPr>
                <w:rFonts w:ascii="Tahoma" w:hAnsi="Tahoma" w:cs="Tahoma"/>
                <w:sz w:val="14"/>
                <w:lang w:val="pt-BR"/>
              </w:rPr>
              <w:lastRenderedPageBreak/>
              <w:t>Bridge do Pacote de CALs Principais para Windows</w:t>
            </w:r>
            <w:r w:rsidRPr="00734B50">
              <w:rPr>
                <w:rFonts w:ascii="Tahoma" w:hAnsi="Tahoma" w:cs="Tahoma"/>
                <w:sz w:val="14"/>
                <w:vertAlign w:val="superscript"/>
                <w:lang w:val="pt-BR"/>
              </w:rPr>
              <w:t>®</w:t>
            </w:r>
            <w:r w:rsidRPr="00734B50">
              <w:rPr>
                <w:rFonts w:ascii="Tahoma" w:hAnsi="Tahoma" w:cs="Tahoma"/>
                <w:sz w:val="14"/>
                <w:lang w:val="pt-BR"/>
              </w:rPr>
              <w:t xml:space="preserve"> Intune (Usuário e Dispositivo)</w:t>
            </w:r>
            <w:bookmarkEnd w:id="194"/>
            <w:bookmarkEnd w:id="195"/>
          </w:p>
        </w:tc>
        <w:tc>
          <w:tcPr>
            <w:tcW w:w="360" w:type="dxa"/>
            <w:tcBorders>
              <w:bottom w:val="single" w:sz="4" w:space="0" w:color="auto"/>
            </w:tcBorders>
            <w:shd w:val="clear" w:color="auto" w:fill="FABF8F"/>
            <w:vAlign w:val="center"/>
          </w:tcPr>
          <w:p w:rsidR="001A63C6" w:rsidRPr="00653421" w:rsidRDefault="0033195D" w:rsidP="00BA1576">
            <w:pPr>
              <w:pStyle w:val="TableText"/>
              <w:keepNext/>
              <w:keepLines/>
              <w:widowControl w:val="0"/>
              <w:spacing w:before="30" w:after="30"/>
              <w:rPr>
                <w:b/>
                <w:color w:val="0000FF"/>
                <w:sz w:val="13"/>
                <w:szCs w:val="13"/>
                <w:u w:val="single"/>
              </w:rPr>
            </w:pPr>
            <w:hyperlink w:anchor="_37_Pacote_de" w:history="1">
              <w:r w:rsidR="00E66C1F" w:rsidRPr="00653421">
                <w:rPr>
                  <w:rStyle w:val="Hyperlink"/>
                  <w:b/>
                  <w:sz w:val="13"/>
                  <w:szCs w:val="13"/>
                </w:rPr>
                <w:t>37</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szCs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196" w:name="_Toc336337929"/>
            <w:bookmarkStart w:id="197" w:name="_Toc353470599"/>
            <w:r w:rsidRPr="00653421">
              <w:rPr>
                <w:rFonts w:ascii="Tahoma" w:hAnsi="Tahoma" w:cs="Tahoma"/>
                <w:sz w:val="14"/>
              </w:rPr>
              <w:t>Core CAL Suite (Usuário e Dispositivo)</w:t>
            </w:r>
            <w:bookmarkEnd w:id="196"/>
            <w:bookmarkEnd w:id="197"/>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color w:val="0000FF"/>
                <w:sz w:val="13"/>
                <w:szCs w:val="13"/>
                <w:u w:val="single"/>
              </w:rPr>
            </w:pPr>
            <w:hyperlink w:anchor="_37_Pacote_de" w:history="1">
              <w:r w:rsidR="00E66C1F" w:rsidRPr="00653421">
                <w:rPr>
                  <w:rStyle w:val="Hyperlink"/>
                  <w:b/>
                  <w:sz w:val="13"/>
                  <w:szCs w:val="13"/>
                </w:rPr>
                <w:t>37</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 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E</w:t>
            </w:r>
            <w:r w:rsidRPr="00653421">
              <w:rPr>
                <w:rFonts w:ascii="Tahoma" w:hAnsi="Tahoma" w:cs="Tahoma"/>
                <w:sz w:val="13"/>
              </w:rPr>
              <w:t>,ST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C313D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fr-FR"/>
              </w:rPr>
            </w:pPr>
            <w:bookmarkStart w:id="198" w:name="_Toc336337930"/>
            <w:bookmarkStart w:id="199" w:name="_Toc353470600"/>
            <w:r w:rsidRPr="00734B50">
              <w:rPr>
                <w:rFonts w:ascii="Tahoma" w:hAnsi="Tahoma" w:cs="Tahoma"/>
                <w:sz w:val="14"/>
                <w:lang w:val="fr-FR"/>
              </w:rPr>
              <w:t>Core Infrastructure Server Suite Standard</w:t>
            </w:r>
            <w:bookmarkEnd w:id="198"/>
            <w:bookmarkEnd w:id="199"/>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color w:val="0000FF"/>
                <w:sz w:val="13"/>
                <w:szCs w:val="13"/>
                <w:u w:val="single"/>
              </w:rPr>
            </w:pPr>
            <w:hyperlink w:anchor="_38_Core_Infrastructure_1" w:history="1">
              <w:r w:rsidR="00955428" w:rsidRPr="00653421">
                <w:rPr>
                  <w:rStyle w:val="Hyperlink"/>
                  <w:b/>
                  <w:sz w:val="13"/>
                  <w:szCs w:val="13"/>
                </w:rPr>
                <w:t>38</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63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C</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r w:rsidR="00C313DE" w:rsidRPr="00653421">
              <w:rPr>
                <w:rFonts w:ascii="Tahoma" w:hAnsi="Tahoma" w:cs="Tahoma"/>
                <w:sz w:val="13"/>
              </w:rPr>
              <w:t xml:space="preserve"> </w:t>
            </w:r>
            <w:r w:rsidRPr="00653421">
              <w:rPr>
                <w:rFonts w:ascii="Tahoma" w:hAnsi="Tahoma" w:cs="Tahoma"/>
                <w:sz w:val="13"/>
              </w:rPr>
              <w:t>OV</w:t>
            </w:r>
          </w:p>
        </w:tc>
      </w:tr>
      <w:tr w:rsidR="00C313D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fr-FR"/>
              </w:rPr>
            </w:pPr>
            <w:bookmarkStart w:id="200" w:name="_Toc336337931"/>
            <w:bookmarkStart w:id="201" w:name="_Toc353470601"/>
            <w:r w:rsidRPr="00734B50">
              <w:rPr>
                <w:rFonts w:ascii="Tahoma" w:hAnsi="Tahoma" w:cs="Tahoma"/>
                <w:sz w:val="14"/>
                <w:lang w:val="fr-FR"/>
              </w:rPr>
              <w:t>Core Infrastructure Server Suite Enterprise</w:t>
            </w:r>
            <w:bookmarkEnd w:id="200"/>
            <w:bookmarkEnd w:id="201"/>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color w:val="0000FF"/>
                <w:sz w:val="13"/>
                <w:szCs w:val="13"/>
                <w:u w:val="single"/>
              </w:rPr>
            </w:pPr>
            <w:hyperlink w:anchor="_38_Core_Infrastructure" w:history="1">
              <w:r w:rsidR="00955428" w:rsidRPr="00653421">
                <w:rPr>
                  <w:rStyle w:val="Hyperlink"/>
                  <w:b/>
                  <w:sz w:val="13"/>
                  <w:szCs w:val="13"/>
                </w:rPr>
                <w:t>39</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fr-FR"/>
              </w:rPr>
            </w:pPr>
            <w:bookmarkStart w:id="202" w:name="_Toc336337932"/>
            <w:bookmarkStart w:id="203" w:name="_Toc353470602"/>
            <w:r w:rsidRPr="00734B50">
              <w:rPr>
                <w:rFonts w:ascii="Tahoma" w:hAnsi="Tahoma" w:cs="Tahoma"/>
                <w:sz w:val="14"/>
                <w:lang w:val="fr-FR"/>
              </w:rPr>
              <w:t>Core Infrastructure Server Suite Datacenter</w:t>
            </w:r>
            <w:bookmarkEnd w:id="202"/>
            <w:bookmarkEnd w:id="203"/>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color w:val="0000FF"/>
                <w:sz w:val="13"/>
                <w:szCs w:val="13"/>
                <w:u w:val="single"/>
              </w:rPr>
            </w:pPr>
            <w:hyperlink w:anchor="_40_Core_Infrastructure" w:history="1">
              <w:r w:rsidR="00132E08" w:rsidRPr="00653421">
                <w:rPr>
                  <w:rStyle w:val="Hyperlink"/>
                  <w:b/>
                  <w:sz w:val="13"/>
                  <w:szCs w:val="13"/>
                </w:rPr>
                <w:t>40</w:t>
              </w:r>
            </w:hyperlink>
            <w:hyperlink w:anchor="_39_Core_Infrastructure"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75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188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113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lang w:eastAsia="ja-JP"/>
              </w:rPr>
            </w:pPr>
            <w:r w:rsidRPr="00653421">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lang w:eastAsia="ja-JP"/>
              </w:rPr>
            </w:pPr>
            <w:r w:rsidRPr="00653421">
              <w:rPr>
                <w:rFonts w:ascii="Tahoma" w:hAnsi="Tahoma" w:cs="Tahoma"/>
                <w:sz w:val="13"/>
                <w:szCs w:val="13"/>
              </w:rPr>
              <w:t>38</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lang w:eastAsia="ja-JP"/>
              </w:rPr>
            </w:pPr>
            <w:r w:rsidRPr="00653421">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lang w:eastAsia="ja-JP"/>
              </w:rPr>
            </w:pPr>
            <w:r w:rsidRPr="00653421">
              <w:rPr>
                <w:rFonts w:ascii="Tahoma" w:hAnsi="Tahoma" w:cs="Tahoma"/>
                <w:sz w:val="13"/>
                <w:szCs w:val="13"/>
              </w:rPr>
              <w:t>150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lang w:eastAsia="ja-JP"/>
              </w:rPr>
            </w:pPr>
            <w:r w:rsidRPr="00653421">
              <w:rPr>
                <w:rFonts w:ascii="Tahoma" w:hAnsi="Tahoma" w:cs="Tahoma"/>
                <w:sz w:val="13"/>
                <w:szCs w:val="13"/>
              </w:rPr>
              <w:t>75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lang w:eastAsia="ja-JP"/>
              </w:rPr>
            </w:pPr>
            <w:r w:rsidRPr="00653421">
              <w:rPr>
                <w:rFonts w:ascii="Tahoma" w:hAnsi="Tahoma" w:cs="Tahoma"/>
                <w:sz w:val="13"/>
                <w:szCs w:val="13"/>
              </w:rPr>
              <w:t>75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C</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r w:rsidR="00C313DE" w:rsidRPr="00653421">
              <w:rPr>
                <w:rFonts w:ascii="Tahoma" w:hAnsi="Tahoma" w:cs="Tahoma"/>
                <w:sz w:val="13"/>
              </w:rPr>
              <w:t xml:space="preserve"> </w:t>
            </w:r>
            <w:r w:rsidRPr="00653421">
              <w:rPr>
                <w:rFonts w:ascii="Tahoma" w:hAnsi="Tahoma" w:cs="Tahoma"/>
                <w:sz w:val="13"/>
              </w:rPr>
              <w:t>OV</w:t>
            </w:r>
          </w:p>
        </w:tc>
      </w:tr>
      <w:tr w:rsidR="00C313DE" w:rsidRPr="00653421" w:rsidTr="00BA1576">
        <w:trPr>
          <w:trHeight w:val="145"/>
        </w:trPr>
        <w:tc>
          <w:tcPr>
            <w:tcW w:w="2734" w:type="dxa"/>
            <w:gridSpan w:val="2"/>
            <w:tcBorders>
              <w:bottom w:val="single" w:sz="4" w:space="0" w:color="auto"/>
            </w:tcBorders>
            <w:shd w:val="clear" w:color="auto" w:fill="auto"/>
            <w:vAlign w:val="center"/>
          </w:tcPr>
          <w:p w:rsidR="0054609D" w:rsidRPr="00653421" w:rsidRDefault="0054609D" w:rsidP="00EF36CE">
            <w:pPr>
              <w:pStyle w:val="ProductNames"/>
              <w:spacing w:beforeLines="20" w:before="48" w:afterLines="20" w:after="48"/>
              <w:rPr>
                <w:rFonts w:ascii="Tahoma" w:hAnsi="Tahoma" w:cs="Tahoma"/>
                <w:color w:val="000000"/>
                <w:sz w:val="14"/>
                <w:szCs w:val="18"/>
              </w:rPr>
            </w:pPr>
            <w:bookmarkStart w:id="204" w:name="_Toc353470603"/>
            <w:r w:rsidRPr="00653421">
              <w:rPr>
                <w:rFonts w:ascii="Tahoma" w:hAnsi="Tahoma" w:cs="Tahoma"/>
                <w:color w:val="000000"/>
                <w:sz w:val="14"/>
                <w:szCs w:val="18"/>
              </w:rPr>
              <w:t>Duet Enterprise 2.0</w:t>
            </w:r>
            <w:bookmarkEnd w:id="204"/>
          </w:p>
        </w:tc>
        <w:tc>
          <w:tcPr>
            <w:tcW w:w="360" w:type="dxa"/>
            <w:tcBorders>
              <w:bottom w:val="single" w:sz="4" w:space="0" w:color="auto"/>
            </w:tcBorders>
            <w:shd w:val="clear" w:color="auto" w:fill="auto"/>
            <w:vAlign w:val="center"/>
          </w:tcPr>
          <w:p w:rsidR="0054609D" w:rsidRPr="00653421" w:rsidDel="00132E08" w:rsidRDefault="0033195D" w:rsidP="00BA1576">
            <w:pPr>
              <w:pStyle w:val="TableText"/>
              <w:widowControl w:val="0"/>
              <w:spacing w:before="30" w:after="30"/>
              <w:rPr>
                <w:b/>
                <w:sz w:val="13"/>
                <w:szCs w:val="13"/>
              </w:rPr>
            </w:pPr>
            <w:hyperlink w:anchor="_41_Duet_Enterprise_1" w:history="1">
              <w:r w:rsidR="00955428" w:rsidRPr="00653421">
                <w:rPr>
                  <w:rStyle w:val="Hyperlink"/>
                  <w:b/>
                  <w:sz w:val="13"/>
                  <w:szCs w:val="13"/>
                </w:rPr>
                <w:t>41</w:t>
              </w:r>
            </w:hyperlink>
          </w:p>
        </w:tc>
        <w:tc>
          <w:tcPr>
            <w:tcW w:w="450" w:type="dxa"/>
            <w:tcBorders>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4609D" w:rsidRPr="00653421" w:rsidRDefault="0054609D"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szCs w:val="18"/>
              </w:rPr>
            </w:pPr>
            <w:bookmarkStart w:id="205" w:name="_Toc336337935"/>
            <w:bookmarkStart w:id="206" w:name="_Toc353470604"/>
            <w:r w:rsidRPr="00653421">
              <w:rPr>
                <w:rFonts w:ascii="Tahoma" w:hAnsi="Tahoma" w:cs="Tahoma"/>
                <w:color w:val="000000"/>
                <w:sz w:val="14"/>
                <w:szCs w:val="18"/>
              </w:rPr>
              <w:t>Dynamics CRM Online Extra Storage</w:t>
            </w:r>
            <w:bookmarkEnd w:id="205"/>
            <w:bookmarkEnd w:id="206"/>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color w:val="0000FF"/>
                <w:sz w:val="13"/>
                <w:szCs w:val="13"/>
                <w:u w:val="single"/>
              </w:rPr>
            </w:pPr>
            <w:hyperlink w:anchor="_42_Dynamics_CRM" w:history="1">
              <w:r w:rsidR="00955428" w:rsidRPr="00653421">
                <w:rPr>
                  <w:rStyle w:val="Hyperlink"/>
                  <w:b/>
                  <w:sz w:val="13"/>
                  <w:szCs w:val="13"/>
                </w:rPr>
                <w:t>42</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szCs w:val="18"/>
                <w:lang w:val="pt-BR"/>
              </w:rPr>
            </w:pPr>
            <w:bookmarkStart w:id="207" w:name="_Toc336337936"/>
            <w:bookmarkStart w:id="208" w:name="_Toc353470605"/>
            <w:r w:rsidRPr="00734B50">
              <w:rPr>
                <w:rFonts w:ascii="Tahoma" w:hAnsi="Tahoma" w:cs="Tahoma"/>
                <w:color w:val="000000"/>
                <w:sz w:val="14"/>
                <w:szCs w:val="18"/>
                <w:lang w:val="pt-BR"/>
              </w:rPr>
              <w:t>Dynamics CRM Online por Usuário</w:t>
            </w:r>
            <w:bookmarkEnd w:id="207"/>
            <w:bookmarkEnd w:id="208"/>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rFonts w:cs="Tahoma"/>
                <w:color w:val="0000FF"/>
                <w:sz w:val="13"/>
                <w:szCs w:val="13"/>
                <w:u w:val="single"/>
              </w:rPr>
            </w:pPr>
            <w:hyperlink w:anchor="_40_Dynamics_CRM" w:history="1">
              <w:r w:rsidR="00955428" w:rsidRPr="00653421">
                <w:rPr>
                  <w:rStyle w:val="Hyperlink"/>
                  <w:b/>
                  <w:sz w:val="13"/>
                  <w:szCs w:val="13"/>
                </w:rPr>
                <w:t>42</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szCs w:val="18"/>
              </w:rPr>
            </w:pPr>
            <w:bookmarkStart w:id="209" w:name="_Toc336337937"/>
            <w:bookmarkStart w:id="210" w:name="_Toc353470606"/>
            <w:r w:rsidRPr="00653421">
              <w:rPr>
                <w:rFonts w:ascii="Tahoma" w:hAnsi="Tahoma" w:cs="Tahoma"/>
                <w:color w:val="000000"/>
                <w:sz w:val="14"/>
                <w:szCs w:val="18"/>
              </w:rPr>
              <w:t>Dynamics CRM Online para SA</w:t>
            </w:r>
            <w:bookmarkEnd w:id="209"/>
            <w:bookmarkEnd w:id="210"/>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color w:val="0000FF"/>
                <w:sz w:val="13"/>
                <w:szCs w:val="13"/>
                <w:u w:val="single"/>
              </w:rPr>
            </w:pPr>
            <w:hyperlink w:anchor="_40_Dynamics_CRM" w:history="1">
              <w:r w:rsidR="00955428" w:rsidRPr="00653421">
                <w:rPr>
                  <w:rStyle w:val="Hyperlink"/>
                  <w:b/>
                  <w:sz w:val="13"/>
                  <w:szCs w:val="13"/>
                </w:rPr>
                <w:t>42</w:t>
              </w:r>
            </w:hyperlink>
            <w:hyperlink w:anchor="_40_Dynamics_CRM"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211" w:name="_Toc336337942"/>
            <w:bookmarkStart w:id="212" w:name="_Toc353470607"/>
            <w:r w:rsidRPr="00734B50">
              <w:rPr>
                <w:rFonts w:ascii="Tahoma" w:hAnsi="Tahoma" w:cs="Tahoma"/>
                <w:sz w:val="14"/>
                <w:lang w:val="pt-BR"/>
              </w:rPr>
              <w:t>Bridge do Pacote de CALs Empresariais para Office 365 (Usuário e Dispositivo)</w:t>
            </w:r>
            <w:bookmarkEnd w:id="211"/>
            <w:bookmarkEnd w:id="212"/>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43_Bridge_do" w:history="1">
              <w:r w:rsidR="00955428" w:rsidRPr="00653421">
                <w:rPr>
                  <w:rStyle w:val="Hyperlink"/>
                  <w:b/>
                  <w:sz w:val="13"/>
                  <w:szCs w:val="13"/>
                </w:rPr>
                <w:t>43</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213" w:name="_Toc336337943"/>
            <w:bookmarkStart w:id="214" w:name="_Toc353470608"/>
            <w:r w:rsidRPr="00734B50">
              <w:rPr>
                <w:rFonts w:ascii="Tahoma" w:hAnsi="Tahoma" w:cs="Tahoma"/>
                <w:sz w:val="14"/>
                <w:lang w:val="pt-BR"/>
              </w:rPr>
              <w:t>Bridge do Pacote de CALs Empresariais para Office 365 e Windows</w:t>
            </w:r>
            <w:r w:rsidRPr="00734B50">
              <w:rPr>
                <w:rFonts w:ascii="Tahoma" w:hAnsi="Tahoma" w:cs="Tahoma"/>
                <w:sz w:val="14"/>
                <w:vertAlign w:val="superscript"/>
                <w:lang w:val="pt-BR"/>
              </w:rPr>
              <w:t>®</w:t>
            </w:r>
            <w:r w:rsidRPr="00734B50">
              <w:rPr>
                <w:rFonts w:ascii="Tahoma" w:hAnsi="Tahoma" w:cs="Tahoma"/>
                <w:sz w:val="14"/>
                <w:lang w:val="pt-BR"/>
              </w:rPr>
              <w:t xml:space="preserve"> Intune (Usuário e Dispositivo)</w:t>
            </w:r>
            <w:bookmarkEnd w:id="213"/>
            <w:bookmarkEnd w:id="214"/>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41_Enterprise_CAL" w:history="1">
              <w:r w:rsidR="00955428" w:rsidRPr="00653421">
                <w:rPr>
                  <w:rStyle w:val="Hyperlink"/>
                  <w:b/>
                  <w:sz w:val="13"/>
                  <w:szCs w:val="13"/>
                </w:rPr>
                <w:t>43</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278"/>
        </w:trPr>
        <w:tc>
          <w:tcPr>
            <w:tcW w:w="2734" w:type="dxa"/>
            <w:gridSpan w:val="2"/>
            <w:tcBorders>
              <w:bottom w:val="single" w:sz="4" w:space="0" w:color="auto"/>
            </w:tcBorders>
            <w:shd w:val="clear" w:color="auto" w:fill="auto"/>
            <w:vAlign w:val="center"/>
          </w:tcPr>
          <w:p w:rsidR="001A63C6" w:rsidRPr="00734B50" w:rsidRDefault="001A63C6" w:rsidP="00C313DE">
            <w:pPr>
              <w:pStyle w:val="ProductNames"/>
              <w:spacing w:beforeLines="20" w:before="48" w:afterLines="20" w:after="48"/>
              <w:rPr>
                <w:rFonts w:ascii="Tahoma" w:hAnsi="Tahoma" w:cs="Tahoma"/>
                <w:sz w:val="14"/>
                <w:lang w:val="pt-BR"/>
              </w:rPr>
            </w:pPr>
            <w:bookmarkStart w:id="215" w:name="_Toc336337944"/>
            <w:bookmarkStart w:id="216" w:name="_Toc353470609"/>
            <w:r w:rsidRPr="00734B50">
              <w:rPr>
                <w:rFonts w:ascii="Tahoma" w:hAnsi="Tahoma" w:cs="Tahoma"/>
                <w:sz w:val="14"/>
                <w:lang w:val="pt-BR"/>
              </w:rPr>
              <w:t>Bridge do Pacote de CALs Empresariais para Windows</w:t>
            </w:r>
            <w:r w:rsidRPr="00734B50">
              <w:rPr>
                <w:rFonts w:ascii="Tahoma" w:hAnsi="Tahoma" w:cs="Tahoma"/>
                <w:sz w:val="14"/>
                <w:vertAlign w:val="superscript"/>
                <w:lang w:val="pt-BR"/>
              </w:rPr>
              <w:t>®</w:t>
            </w:r>
            <w:r w:rsidRPr="00734B50">
              <w:rPr>
                <w:rFonts w:ascii="Tahoma" w:hAnsi="Tahoma" w:cs="Tahoma"/>
                <w:sz w:val="14"/>
                <w:lang w:val="pt-BR"/>
              </w:rPr>
              <w:t xml:space="preserve"> Intune (Usuário e</w:t>
            </w:r>
            <w:r w:rsidR="00C313DE" w:rsidRPr="00734B50">
              <w:rPr>
                <w:rFonts w:ascii="Tahoma" w:hAnsi="Tahoma" w:cs="Tahoma"/>
                <w:sz w:val="14"/>
                <w:lang w:val="pt-BR"/>
              </w:rPr>
              <w:t> </w:t>
            </w:r>
            <w:r w:rsidRPr="00734B50">
              <w:rPr>
                <w:rFonts w:ascii="Tahoma" w:hAnsi="Tahoma" w:cs="Tahoma"/>
                <w:sz w:val="14"/>
                <w:lang w:val="pt-BR"/>
              </w:rPr>
              <w:t>Dispositivo)</w:t>
            </w:r>
            <w:bookmarkEnd w:id="215"/>
            <w:bookmarkEnd w:id="216"/>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41_Enterprise_CAL" w:history="1">
              <w:r w:rsidR="00955428" w:rsidRPr="00653421">
                <w:rPr>
                  <w:rStyle w:val="Hyperlink"/>
                  <w:b/>
                  <w:sz w:val="13"/>
                  <w:szCs w:val="13"/>
                </w:rPr>
                <w:t>43</w:t>
              </w:r>
            </w:hyperlink>
            <w:hyperlink w:anchor="Srv_45EntCALBridgeWinIntune"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9D23E3">
            <w:pPr>
              <w:pStyle w:val="ProductNames"/>
              <w:spacing w:beforeLines="20" w:before="48" w:afterLines="20" w:after="48"/>
              <w:rPr>
                <w:rFonts w:ascii="Tahoma" w:hAnsi="Tahoma" w:cs="Tahoma"/>
                <w:sz w:val="14"/>
                <w:lang w:val="pt-BR"/>
              </w:rPr>
            </w:pPr>
            <w:bookmarkStart w:id="217" w:name="_Toc336337945"/>
            <w:bookmarkStart w:id="218" w:name="_Toc353470610"/>
            <w:r w:rsidRPr="00734B50">
              <w:rPr>
                <w:rFonts w:ascii="Tahoma" w:hAnsi="Tahoma" w:cs="Tahoma"/>
                <w:sz w:val="14"/>
                <w:lang w:val="pt-BR"/>
              </w:rPr>
              <w:t>Pacote de CALs Empresariais (Usuário</w:t>
            </w:r>
            <w:r w:rsidR="009D23E3" w:rsidRPr="00734B50">
              <w:rPr>
                <w:rFonts w:ascii="Tahoma" w:hAnsi="Tahoma" w:cs="Tahoma"/>
                <w:sz w:val="14"/>
                <w:lang w:val="pt-BR"/>
              </w:rPr>
              <w:t> </w:t>
            </w:r>
            <w:r w:rsidRPr="00734B50">
              <w:rPr>
                <w:rFonts w:ascii="Tahoma" w:hAnsi="Tahoma" w:cs="Tahoma"/>
                <w:sz w:val="14"/>
                <w:lang w:val="pt-BR"/>
              </w:rPr>
              <w:t>e</w:t>
            </w:r>
            <w:r w:rsidR="009D23E3" w:rsidRPr="00734B50">
              <w:rPr>
                <w:rFonts w:ascii="Tahoma" w:hAnsi="Tahoma" w:cs="Tahoma"/>
                <w:sz w:val="14"/>
                <w:lang w:val="pt-BR"/>
              </w:rPr>
              <w:t> </w:t>
            </w:r>
            <w:r w:rsidRPr="00734B50">
              <w:rPr>
                <w:rFonts w:ascii="Tahoma" w:hAnsi="Tahoma" w:cs="Tahoma"/>
                <w:sz w:val="14"/>
                <w:lang w:val="pt-BR"/>
              </w:rPr>
              <w:t>Dispositivo)</w:t>
            </w:r>
            <w:bookmarkEnd w:id="217"/>
            <w:bookmarkEnd w:id="218"/>
            <w:r w:rsidRPr="00734B50">
              <w:rPr>
                <w:rFonts w:ascii="Tahoma" w:hAnsi="Tahoma" w:cs="Tahoma"/>
                <w:sz w:val="14"/>
                <w:lang w:val="pt-BR"/>
              </w:rPr>
              <w:t xml:space="preserve"> </w:t>
            </w:r>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color w:val="0000FF"/>
                <w:sz w:val="13"/>
                <w:szCs w:val="13"/>
                <w:u w:val="single"/>
              </w:rPr>
            </w:pPr>
            <w:hyperlink w:anchor="_44_Pacotes_CAL" w:history="1">
              <w:r w:rsidR="00955428" w:rsidRPr="00653421">
                <w:rPr>
                  <w:rStyle w:val="Hyperlink"/>
                  <w:b/>
                  <w:sz w:val="13"/>
                  <w:szCs w:val="13"/>
                </w:rPr>
                <w:t>44</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bCs/>
                <w:color w:val="000000"/>
                <w:sz w:val="13"/>
              </w:rPr>
              <w:t>13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bCs/>
                <w:color w:val="000000"/>
                <w:sz w:val="13"/>
              </w:rPr>
              <w:t>10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bCs/>
                <w:color w:val="000000"/>
                <w:sz w:val="13"/>
              </w:rPr>
              <w:t>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color w:val="000000"/>
                <w:sz w:val="13"/>
              </w:rPr>
              <w:t>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 E</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 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1A63C6">
            <w:pPr>
              <w:pStyle w:val="ProductNames"/>
              <w:rPr>
                <w:rFonts w:ascii="Tahoma" w:hAnsi="Tahoma" w:cs="Tahoma"/>
                <w:sz w:val="14"/>
                <w:lang w:val="pt-BR"/>
              </w:rPr>
            </w:pPr>
            <w:bookmarkStart w:id="219" w:name="_Toc353470611"/>
            <w:r w:rsidRPr="00734B50">
              <w:rPr>
                <w:rFonts w:ascii="Tahoma" w:hAnsi="Tahoma" w:cs="Tahoma"/>
                <w:sz w:val="14"/>
                <w:lang w:val="pt-BR"/>
              </w:rPr>
              <w:t>CAL Empresarial do Exchange com Serviços 2013</w:t>
            </w:r>
            <w:bookmarkEnd w:id="219"/>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b/>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r w:rsidRPr="00653421">
              <w:rPr>
                <w:rFonts w:ascii="Tahoma" w:hAnsi="Tahoma" w:cs="Tahoma"/>
                <w:bCs/>
                <w:color w:val="000000"/>
                <w:sz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r w:rsidRPr="00653421">
              <w:rPr>
                <w:rFonts w:ascii="Tahoma" w:hAnsi="Tahoma" w:cs="Tahoma"/>
                <w:bCs/>
                <w:color w:val="000000"/>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r w:rsidRPr="00653421">
              <w:rPr>
                <w:rFonts w:ascii="Tahoma" w:hAnsi="Tahoma" w:cs="Tahoma"/>
                <w:bCs/>
                <w:color w:val="000000"/>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r w:rsidRPr="00653421">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bCs/>
                <w:color w:val="000000"/>
                <w:sz w:val="13"/>
              </w:rPr>
            </w:pPr>
            <w:r w:rsidRPr="00653421">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1A63C6">
            <w:pPr>
              <w:pStyle w:val="Heading2"/>
              <w:ind w:left="0"/>
              <w:rPr>
                <w:rFonts w:ascii="Tahoma" w:hAnsi="Tahoma" w:cs="Tahoma"/>
                <w:b w:val="0"/>
                <w:sz w:val="14"/>
                <w:lang w:val="pt-BR"/>
              </w:rPr>
            </w:pPr>
            <w:bookmarkStart w:id="220" w:name="_Toc353470612"/>
            <w:r w:rsidRPr="00734B50">
              <w:rPr>
                <w:rFonts w:ascii="Tahoma" w:hAnsi="Tahoma" w:cs="Tahoma"/>
                <w:b w:val="0"/>
                <w:sz w:val="14"/>
                <w:lang w:val="pt-BR"/>
              </w:rPr>
              <w:t>CAL Empresarial do Exchange sem Serviços 2013</w:t>
            </w:r>
            <w:bookmarkEnd w:id="220"/>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b/>
                <w:color w:val="0000FF"/>
                <w:sz w:val="13"/>
                <w:szCs w:val="13"/>
                <w:u w:val="single"/>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C313DE"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1A63C6">
            <w:pPr>
              <w:pStyle w:val="Heading2"/>
              <w:ind w:left="0"/>
              <w:rPr>
                <w:rFonts w:ascii="Tahoma" w:hAnsi="Tahoma" w:cs="Tahoma"/>
                <w:b w:val="0"/>
                <w:sz w:val="14"/>
                <w:lang w:val="pt-BR"/>
              </w:rPr>
            </w:pPr>
            <w:bookmarkStart w:id="221" w:name="_Toc336337946"/>
            <w:bookmarkStart w:id="222" w:name="_Toc353470613"/>
            <w:r w:rsidRPr="00734B50">
              <w:rPr>
                <w:rFonts w:ascii="Tahoma" w:hAnsi="Tahoma" w:cs="Tahoma"/>
                <w:b w:val="0"/>
                <w:sz w:val="14"/>
                <w:lang w:val="pt-BR"/>
              </w:rPr>
              <w:t>Exchange Online Archiving</w:t>
            </w:r>
            <w:bookmarkEnd w:id="221"/>
            <w:r w:rsidRPr="00734B50">
              <w:rPr>
                <w:rFonts w:ascii="Tahoma" w:hAnsi="Tahoma" w:cs="Tahoma"/>
                <w:b w:val="0"/>
                <w:sz w:val="14"/>
                <w:lang w:val="pt-BR"/>
              </w:rPr>
              <w:t xml:space="preserve"> para Exchange Server (SL de Usuário)</w:t>
            </w:r>
            <w:bookmarkEnd w:id="222"/>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45_Arquivamento_do" w:history="1">
              <w:r w:rsidR="00955428" w:rsidRPr="00653421">
                <w:rPr>
                  <w:rStyle w:val="Hyperlink"/>
                  <w:b/>
                  <w:sz w:val="13"/>
                  <w:szCs w:val="13"/>
                </w:rPr>
                <w:t>45</w:t>
              </w:r>
            </w:hyperlink>
          </w:p>
        </w:tc>
        <w:tc>
          <w:tcPr>
            <w:tcW w:w="450" w:type="dxa"/>
            <w:tcBorders>
              <w:bottom w:val="single" w:sz="4" w:space="0" w:color="auto"/>
            </w:tcBorders>
            <w:shd w:val="clear" w:color="auto" w:fill="auto"/>
            <w:vAlign w:val="center"/>
          </w:tcPr>
          <w:p w:rsidR="001A63C6" w:rsidRPr="00653421" w:rsidDel="00876599"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2B6B82"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D66F68">
            <w:pPr>
              <w:pStyle w:val="Heading3"/>
              <w:rPr>
                <w:rFonts w:ascii="Tahoma" w:hAnsi="Tahoma" w:cs="Tahoma"/>
                <w:b w:val="0"/>
                <w:lang w:val="pt-BR"/>
              </w:rPr>
            </w:pPr>
            <w:bookmarkStart w:id="223" w:name="_Toc336337947"/>
            <w:bookmarkStart w:id="224" w:name="_Toc353470614"/>
            <w:r w:rsidRPr="00734B50">
              <w:rPr>
                <w:rFonts w:ascii="Tahoma" w:hAnsi="Tahoma" w:cs="Tahoma"/>
                <w:b w:val="0"/>
                <w:sz w:val="14"/>
                <w:lang w:val="pt-BR"/>
              </w:rPr>
              <w:t>Servidor A (SL de Usuário)</w:t>
            </w:r>
            <w:bookmarkEnd w:id="223"/>
            <w:bookmarkEnd w:id="224"/>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b/>
                <w:color w:val="000000"/>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ST (Somente EES)</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2B6B82"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ProductNames"/>
              <w:rPr>
                <w:rFonts w:ascii="Tahoma" w:hAnsi="Tahoma" w:cs="Tahoma"/>
                <w:sz w:val="14"/>
              </w:rPr>
            </w:pPr>
            <w:bookmarkStart w:id="225" w:name="_Toc336337948"/>
            <w:bookmarkStart w:id="226" w:name="_Toc353470615"/>
            <w:r w:rsidRPr="00653421">
              <w:rPr>
                <w:rFonts w:ascii="Tahoma" w:hAnsi="Tahoma" w:cs="Tahoma"/>
                <w:sz w:val="14"/>
              </w:rPr>
              <w:t>Exchange Hosted Archive (SL de Usuário)</w:t>
            </w:r>
            <w:bookmarkEnd w:id="225"/>
            <w:bookmarkEnd w:id="226"/>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00"/>
                <w:sz w:val="13"/>
                <w:szCs w:val="13"/>
                <w:u w:val="single"/>
              </w:rPr>
            </w:pPr>
            <w:hyperlink w:anchor="_45_Exchange_Hosted" w:history="1">
              <w:r w:rsidR="00955428" w:rsidRPr="00653421">
                <w:rPr>
                  <w:rStyle w:val="Hyperlink"/>
                  <w:b/>
                  <w:sz w:val="13"/>
                  <w:szCs w:val="13"/>
                </w:rPr>
                <w:t>46</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2B6B82"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1A63C6">
            <w:pPr>
              <w:pStyle w:val="ProductNames"/>
              <w:rPr>
                <w:rFonts w:ascii="Tahoma" w:hAnsi="Tahoma" w:cs="Tahoma"/>
                <w:sz w:val="14"/>
              </w:rPr>
            </w:pPr>
            <w:bookmarkStart w:id="227" w:name="_Toc336337949"/>
            <w:bookmarkStart w:id="228" w:name="_Toc353470616"/>
            <w:r w:rsidRPr="00653421">
              <w:rPr>
                <w:rFonts w:ascii="Tahoma" w:hAnsi="Tahoma" w:cs="Tahoma"/>
                <w:sz w:val="14"/>
              </w:rPr>
              <w:t>Exchange Hosted Archive Extra Storage (SL de Usuário)</w:t>
            </w:r>
            <w:bookmarkEnd w:id="227"/>
            <w:bookmarkEnd w:id="228"/>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00"/>
                <w:sz w:val="13"/>
                <w:szCs w:val="13"/>
                <w:u w:val="single"/>
              </w:rPr>
            </w:pPr>
            <w:hyperlink w:anchor="_45_Exchange_Hosted" w:history="1">
              <w:r w:rsidR="00955428" w:rsidRPr="00653421">
                <w:rPr>
                  <w:rStyle w:val="Hyperlink"/>
                  <w:b/>
                  <w:sz w:val="13"/>
                  <w:szCs w:val="13"/>
                </w:rPr>
                <w:t>46</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2B6B82"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9D23E3">
            <w:pPr>
              <w:pStyle w:val="ProductNames"/>
              <w:rPr>
                <w:rFonts w:ascii="Tahoma" w:hAnsi="Tahoma" w:cs="Tahoma"/>
                <w:sz w:val="14"/>
                <w:lang w:val="da-DK"/>
              </w:rPr>
            </w:pPr>
            <w:bookmarkStart w:id="229" w:name="_Toc336337950"/>
            <w:bookmarkStart w:id="230" w:name="_Toc353470617"/>
            <w:r w:rsidRPr="00734B50">
              <w:rPr>
                <w:rFonts w:ascii="Tahoma" w:hAnsi="Tahoma" w:cs="Tahoma"/>
                <w:sz w:val="14"/>
                <w:lang w:val="da-DK"/>
              </w:rPr>
              <w:t>Exchange Hosted Encryption (SL</w:t>
            </w:r>
            <w:r w:rsidR="009D23E3" w:rsidRPr="00734B50">
              <w:rPr>
                <w:rFonts w:ascii="Tahoma" w:hAnsi="Tahoma" w:cs="Tahoma"/>
                <w:sz w:val="14"/>
                <w:lang w:val="da-DK"/>
              </w:rPr>
              <w:t> </w:t>
            </w:r>
            <w:r w:rsidRPr="00734B50">
              <w:rPr>
                <w:rFonts w:ascii="Tahoma" w:hAnsi="Tahoma" w:cs="Tahoma"/>
                <w:sz w:val="14"/>
                <w:lang w:val="da-DK"/>
              </w:rPr>
              <w:t>de</w:t>
            </w:r>
            <w:r w:rsidR="009D23E3" w:rsidRPr="00734B50">
              <w:rPr>
                <w:rFonts w:ascii="Tahoma" w:hAnsi="Tahoma" w:cs="Tahoma"/>
                <w:sz w:val="14"/>
                <w:lang w:val="da-DK"/>
              </w:rPr>
              <w:t> </w:t>
            </w:r>
            <w:r w:rsidRPr="00734B50">
              <w:rPr>
                <w:rFonts w:ascii="Tahoma" w:hAnsi="Tahoma" w:cs="Tahoma"/>
                <w:sz w:val="14"/>
                <w:lang w:val="da-DK"/>
              </w:rPr>
              <w:t>Usuário)</w:t>
            </w:r>
            <w:bookmarkEnd w:id="229"/>
            <w:bookmarkEnd w:id="230"/>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color w:val="000000"/>
                <w:sz w:val="13"/>
                <w:szCs w:val="13"/>
                <w:u w:val="single"/>
              </w:rPr>
            </w:pPr>
            <w:hyperlink w:anchor="_47_Exchange_Hosted" w:history="1">
              <w:r w:rsidR="00955428" w:rsidRPr="00653421">
                <w:rPr>
                  <w:rStyle w:val="Hyperlink"/>
                  <w:b/>
                  <w:sz w:val="13"/>
                  <w:szCs w:val="13"/>
                </w:rPr>
                <w:t>47</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BA1576">
            <w:pPr>
              <w:pStyle w:val="Heading2"/>
              <w:ind w:left="0"/>
              <w:rPr>
                <w:rFonts w:ascii="Tahoma" w:hAnsi="Tahoma" w:cs="Tahoma"/>
                <w:b w:val="0"/>
                <w:sz w:val="14"/>
              </w:rPr>
            </w:pPr>
            <w:bookmarkStart w:id="231" w:name="_Toc353470618"/>
            <w:r w:rsidRPr="00653421">
              <w:rPr>
                <w:rFonts w:ascii="Tahoma" w:hAnsi="Tahoma" w:cs="Tahoma"/>
                <w:b w:val="0"/>
                <w:sz w:val="14"/>
              </w:rPr>
              <w:t>Exchange Online Archiving para Exchange</w:t>
            </w:r>
            <w:r w:rsidR="00BA1576" w:rsidRPr="00653421">
              <w:rPr>
                <w:rFonts w:ascii="Tahoma" w:hAnsi="Tahoma" w:cs="Tahoma"/>
                <w:b w:val="0"/>
                <w:sz w:val="14"/>
              </w:rPr>
              <w:t> </w:t>
            </w:r>
            <w:r w:rsidRPr="00653421">
              <w:rPr>
                <w:rFonts w:ascii="Tahoma" w:hAnsi="Tahoma" w:cs="Tahoma"/>
                <w:b w:val="0"/>
                <w:sz w:val="14"/>
              </w:rPr>
              <w:t>Online A</w:t>
            </w:r>
            <w:bookmarkEnd w:id="231"/>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ST (Somente EES</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9D23E3">
            <w:pPr>
              <w:pStyle w:val="Heading2"/>
              <w:ind w:left="0"/>
              <w:rPr>
                <w:rFonts w:ascii="Tahoma" w:hAnsi="Tahoma" w:cs="Tahoma"/>
                <w:b w:val="0"/>
                <w:sz w:val="14"/>
              </w:rPr>
            </w:pPr>
            <w:bookmarkStart w:id="232" w:name="_Toc353470619"/>
            <w:r w:rsidRPr="00653421">
              <w:rPr>
                <w:rFonts w:ascii="Tahoma" w:hAnsi="Tahoma" w:cs="Tahoma"/>
                <w:b w:val="0"/>
                <w:sz w:val="14"/>
              </w:rPr>
              <w:t>Exchange Online Archiving para Exchange</w:t>
            </w:r>
            <w:r w:rsidR="009D23E3" w:rsidRPr="00653421">
              <w:rPr>
                <w:rFonts w:ascii="Tahoma" w:hAnsi="Tahoma" w:cs="Tahoma"/>
                <w:b w:val="0"/>
                <w:sz w:val="14"/>
              </w:rPr>
              <w:t> </w:t>
            </w:r>
            <w:r w:rsidRPr="00653421">
              <w:rPr>
                <w:rFonts w:ascii="Tahoma" w:hAnsi="Tahoma" w:cs="Tahoma"/>
                <w:b w:val="0"/>
                <w:sz w:val="14"/>
              </w:rPr>
              <w:t>Online</w:t>
            </w:r>
            <w:bookmarkEnd w:id="232"/>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9D23E3">
            <w:pPr>
              <w:pStyle w:val="Heading2"/>
              <w:ind w:left="0"/>
              <w:rPr>
                <w:rFonts w:ascii="Tahoma" w:hAnsi="Tahoma" w:cs="Tahoma"/>
                <w:b w:val="0"/>
                <w:sz w:val="14"/>
                <w:lang w:val="pt-BR"/>
              </w:rPr>
            </w:pPr>
            <w:bookmarkStart w:id="233" w:name="_Toc336337951"/>
            <w:bookmarkStart w:id="234" w:name="_Toc353470620"/>
            <w:r w:rsidRPr="00734B50">
              <w:rPr>
                <w:rFonts w:ascii="Tahoma" w:hAnsi="Tahoma" w:cs="Tahoma"/>
                <w:b w:val="0"/>
                <w:sz w:val="14"/>
                <w:lang w:val="pt-BR"/>
              </w:rPr>
              <w:t>Quiosque do Exchange Online (SL</w:t>
            </w:r>
            <w:r w:rsidR="009D23E3" w:rsidRPr="00734B50">
              <w:rPr>
                <w:rFonts w:ascii="Tahoma" w:hAnsi="Tahoma" w:cs="Tahoma"/>
                <w:b w:val="0"/>
                <w:sz w:val="14"/>
                <w:lang w:val="pt-BR"/>
              </w:rPr>
              <w:t> </w:t>
            </w:r>
            <w:r w:rsidRPr="00734B50">
              <w:rPr>
                <w:rFonts w:ascii="Tahoma" w:hAnsi="Tahoma" w:cs="Tahoma"/>
                <w:b w:val="0"/>
                <w:sz w:val="14"/>
                <w:lang w:val="pt-BR"/>
              </w:rPr>
              <w:t>de</w:t>
            </w:r>
            <w:r w:rsidR="009D23E3" w:rsidRPr="00734B50">
              <w:rPr>
                <w:rFonts w:ascii="Tahoma" w:hAnsi="Tahoma" w:cs="Tahoma"/>
                <w:b w:val="0"/>
                <w:sz w:val="14"/>
                <w:lang w:val="pt-BR"/>
              </w:rPr>
              <w:t> </w:t>
            </w:r>
            <w:r w:rsidRPr="00734B50">
              <w:rPr>
                <w:rFonts w:ascii="Tahoma" w:hAnsi="Tahoma" w:cs="Tahoma"/>
                <w:b w:val="0"/>
                <w:sz w:val="14"/>
                <w:lang w:val="pt-BR"/>
              </w:rPr>
              <w:t>Usuário)</w:t>
            </w:r>
            <w:bookmarkEnd w:id="233"/>
            <w:bookmarkEnd w:id="234"/>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rFonts w:cs="Tahoma"/>
                <w:color w:val="000000"/>
                <w:sz w:val="13"/>
                <w:szCs w:val="13"/>
                <w:u w:val="single"/>
              </w:rPr>
            </w:pPr>
            <w:hyperlink w:anchor="_48_Quiosque_do" w:history="1">
              <w:r w:rsidR="00955428" w:rsidRPr="00653421">
                <w:rPr>
                  <w:rStyle w:val="Hyperlink"/>
                  <w:b/>
                  <w:sz w:val="13"/>
                  <w:szCs w:val="13"/>
                </w:rPr>
                <w:t>48</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395"/>
        </w:trPr>
        <w:tc>
          <w:tcPr>
            <w:tcW w:w="2734" w:type="dxa"/>
            <w:gridSpan w:val="2"/>
            <w:tcBorders>
              <w:bottom w:val="single" w:sz="4" w:space="0" w:color="auto"/>
            </w:tcBorders>
            <w:shd w:val="clear" w:color="auto" w:fill="FABF8F"/>
            <w:vAlign w:val="center"/>
          </w:tcPr>
          <w:p w:rsidR="001A63C6" w:rsidRPr="00734B50" w:rsidRDefault="001A63C6" w:rsidP="00D66F68">
            <w:pPr>
              <w:pStyle w:val="Heading2"/>
              <w:ind w:left="0"/>
              <w:rPr>
                <w:rFonts w:ascii="Tahoma" w:hAnsi="Tahoma" w:cs="Tahoma"/>
                <w:b w:val="0"/>
                <w:sz w:val="14"/>
                <w:lang w:val="pt-BR"/>
              </w:rPr>
            </w:pPr>
            <w:bookmarkStart w:id="235" w:name="_Toc336337952"/>
            <w:bookmarkStart w:id="236" w:name="_Toc353470621"/>
            <w:r w:rsidRPr="00734B50">
              <w:rPr>
                <w:rFonts w:ascii="Tahoma" w:hAnsi="Tahoma" w:cs="Tahoma"/>
                <w:b w:val="0"/>
                <w:sz w:val="14"/>
                <w:lang w:val="pt-BR"/>
              </w:rPr>
              <w:t>Exchange Online Plano 1 (SL de Usuário)</w:t>
            </w:r>
            <w:bookmarkEnd w:id="235"/>
            <w:bookmarkEnd w:id="236"/>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color w:val="0000FF"/>
                <w:sz w:val="13"/>
                <w:szCs w:val="13"/>
                <w:u w:val="single"/>
              </w:rPr>
            </w:pPr>
            <w:hyperlink w:anchor="_48_Exchange_Online" w:history="1">
              <w:r w:rsidR="00955428" w:rsidRPr="00653421">
                <w:rPr>
                  <w:rStyle w:val="Hyperlink"/>
                  <w:b/>
                  <w:sz w:val="13"/>
                  <w:szCs w:val="13"/>
                </w:rPr>
                <w:t>49</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1A63C6">
            <w:pPr>
              <w:pStyle w:val="Heading2"/>
              <w:ind w:left="0"/>
              <w:rPr>
                <w:rFonts w:ascii="Tahoma" w:hAnsi="Tahoma" w:cs="Tahoma"/>
                <w:b w:val="0"/>
                <w:sz w:val="14"/>
                <w:lang w:val="pt-BR"/>
              </w:rPr>
            </w:pPr>
            <w:bookmarkStart w:id="237" w:name="_Toc336337953"/>
            <w:bookmarkStart w:id="238" w:name="_Toc353470622"/>
            <w:r w:rsidRPr="00734B50">
              <w:rPr>
                <w:rFonts w:ascii="Tahoma" w:hAnsi="Tahoma" w:cs="Tahoma"/>
                <w:b w:val="0"/>
                <w:sz w:val="14"/>
                <w:lang w:val="pt-BR"/>
              </w:rPr>
              <w:t>Exchange Online Plano 2 (SL de Usuário)</w:t>
            </w:r>
            <w:bookmarkEnd w:id="237"/>
            <w:bookmarkEnd w:id="238"/>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color w:val="000000"/>
                <w:sz w:val="13"/>
                <w:szCs w:val="13"/>
                <w:u w:val="single"/>
              </w:rPr>
            </w:pPr>
            <w:hyperlink w:anchor="_50_Exchange_Online" w:history="1">
              <w:r w:rsidR="002E59B1" w:rsidRPr="00653421">
                <w:rPr>
                  <w:rStyle w:val="Hyperlink"/>
                  <w:b/>
                  <w:sz w:val="13"/>
                  <w:szCs w:val="13"/>
                </w:rPr>
                <w:t>50</w:t>
              </w:r>
            </w:hyperlink>
            <w:hyperlink w:anchor="_49_Exchange_Online"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9D23E3">
            <w:pPr>
              <w:pStyle w:val="Heading3"/>
              <w:rPr>
                <w:rFonts w:ascii="Tahoma" w:hAnsi="Tahoma" w:cs="Tahoma"/>
                <w:b w:val="0"/>
                <w:sz w:val="14"/>
                <w:lang w:val="pt-BR"/>
              </w:rPr>
            </w:pPr>
            <w:bookmarkStart w:id="239" w:name="_Toc336337954"/>
            <w:bookmarkStart w:id="240" w:name="_Toc353470623"/>
            <w:r w:rsidRPr="00734B50">
              <w:rPr>
                <w:rFonts w:ascii="Tahoma" w:hAnsi="Tahoma" w:cs="Tahoma"/>
                <w:b w:val="0"/>
                <w:sz w:val="14"/>
                <w:lang w:val="pt-BR"/>
              </w:rPr>
              <w:t>Exchange Online Plan</w:t>
            </w:r>
            <w:r w:rsidR="00395AC3" w:rsidRPr="00734B50">
              <w:rPr>
                <w:rFonts w:ascii="Tahoma" w:hAnsi="Tahoma" w:cs="Tahoma"/>
                <w:b w:val="0"/>
                <w:sz w:val="14"/>
                <w:lang w:val="pt-BR"/>
              </w:rPr>
              <w:t>o</w:t>
            </w:r>
            <w:r w:rsidRPr="00734B50">
              <w:rPr>
                <w:rFonts w:ascii="Tahoma" w:hAnsi="Tahoma" w:cs="Tahoma"/>
                <w:b w:val="0"/>
                <w:sz w:val="14"/>
                <w:lang w:val="pt-BR"/>
              </w:rPr>
              <w:t xml:space="preserve"> 1A para Alunos (SL</w:t>
            </w:r>
            <w:r w:rsidR="009D23E3" w:rsidRPr="00734B50">
              <w:rPr>
                <w:rFonts w:ascii="Tahoma" w:hAnsi="Tahoma" w:cs="Tahoma"/>
                <w:b w:val="0"/>
                <w:sz w:val="14"/>
                <w:lang w:val="pt-BR"/>
              </w:rPr>
              <w:t> </w:t>
            </w:r>
            <w:r w:rsidRPr="00734B50">
              <w:rPr>
                <w:rFonts w:ascii="Tahoma" w:hAnsi="Tahoma" w:cs="Tahoma"/>
                <w:b w:val="0"/>
                <w:sz w:val="14"/>
                <w:lang w:val="pt-BR"/>
              </w:rPr>
              <w:t>do Usuário)</w:t>
            </w:r>
            <w:bookmarkEnd w:id="239"/>
            <w:bookmarkEnd w:id="240"/>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b/>
                <w:color w:val="000000"/>
                <w:sz w:val="13"/>
                <w:szCs w:val="13"/>
                <w:u w:val="single"/>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(somente EES)</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1A63C6">
            <w:pPr>
              <w:pStyle w:val="Heading3"/>
              <w:rPr>
                <w:rFonts w:ascii="Tahoma" w:hAnsi="Tahoma" w:cs="Tahoma"/>
                <w:b w:val="0"/>
                <w:sz w:val="14"/>
                <w:lang w:val="pt-BR"/>
              </w:rPr>
            </w:pPr>
            <w:bookmarkStart w:id="241" w:name="_Toc336337955"/>
            <w:bookmarkStart w:id="242" w:name="_Toc353470624"/>
            <w:r w:rsidRPr="00734B50">
              <w:rPr>
                <w:rFonts w:ascii="Tahoma" w:hAnsi="Tahoma" w:cs="Tahoma"/>
                <w:b w:val="0"/>
                <w:sz w:val="14"/>
                <w:lang w:val="pt-BR"/>
              </w:rPr>
              <w:t xml:space="preserve">Exchange Online Plano 2A </w:t>
            </w:r>
            <w:r w:rsidR="00395AC3" w:rsidRPr="00734B50">
              <w:rPr>
                <w:rFonts w:ascii="Tahoma" w:hAnsi="Tahoma" w:cs="Tahoma"/>
                <w:b w:val="0"/>
                <w:sz w:val="14"/>
                <w:lang w:val="pt-BR"/>
              </w:rPr>
              <w:br/>
            </w:r>
            <w:r w:rsidRPr="00734B50">
              <w:rPr>
                <w:rFonts w:ascii="Tahoma" w:hAnsi="Tahoma" w:cs="Tahoma"/>
                <w:b w:val="0"/>
                <w:sz w:val="14"/>
                <w:lang w:val="pt-BR"/>
              </w:rPr>
              <w:t>(SL de Usuário)</w:t>
            </w:r>
            <w:bookmarkEnd w:id="241"/>
            <w:bookmarkEnd w:id="242"/>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b/>
                <w:color w:val="000000"/>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(somente EES)</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9D23E3">
            <w:pPr>
              <w:pStyle w:val="ProductNames"/>
              <w:rPr>
                <w:rFonts w:ascii="Tahoma" w:hAnsi="Tahoma" w:cs="Tahoma"/>
                <w:sz w:val="14"/>
              </w:rPr>
            </w:pPr>
            <w:bookmarkStart w:id="243" w:name="_Toc353470625"/>
            <w:r w:rsidRPr="00653421">
              <w:rPr>
                <w:rFonts w:ascii="Tahoma" w:hAnsi="Tahoma" w:cs="Tahoma"/>
                <w:sz w:val="14"/>
              </w:rPr>
              <w:t>Exchange Online Protection (SL</w:t>
            </w:r>
            <w:r w:rsidR="009D23E3" w:rsidRPr="00653421">
              <w:rPr>
                <w:rFonts w:ascii="Tahoma" w:hAnsi="Tahoma" w:cs="Tahoma"/>
                <w:sz w:val="14"/>
              </w:rPr>
              <w:t> </w:t>
            </w:r>
            <w:r w:rsidRPr="00653421">
              <w:rPr>
                <w:rFonts w:ascii="Tahoma" w:hAnsi="Tahoma" w:cs="Tahoma"/>
                <w:sz w:val="14"/>
              </w:rPr>
              <w:t>de</w:t>
            </w:r>
            <w:r w:rsidR="009D23E3" w:rsidRPr="00653421">
              <w:rPr>
                <w:rFonts w:ascii="Tahoma" w:hAnsi="Tahoma" w:cs="Tahoma"/>
                <w:sz w:val="14"/>
              </w:rPr>
              <w:t> </w:t>
            </w:r>
            <w:r w:rsidRPr="00653421">
              <w:rPr>
                <w:rFonts w:ascii="Tahoma" w:hAnsi="Tahoma" w:cs="Tahoma"/>
                <w:sz w:val="14"/>
              </w:rPr>
              <w:t>Usuário)</w:t>
            </w:r>
            <w:bookmarkEnd w:id="243"/>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pPr>
            <w:hyperlink w:anchor="_51_Exchange_Online" w:history="1">
              <w:r w:rsidR="00955428" w:rsidRPr="00653421">
                <w:rPr>
                  <w:rStyle w:val="Hyperlink"/>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9D23E3">
            <w:pPr>
              <w:pStyle w:val="ProductNames"/>
              <w:keepNext/>
              <w:rPr>
                <w:rFonts w:ascii="Tahoma" w:hAnsi="Tahoma" w:cs="Tahoma"/>
                <w:sz w:val="14"/>
              </w:rPr>
            </w:pPr>
            <w:bookmarkStart w:id="244" w:name="_Toc336337958"/>
            <w:bookmarkStart w:id="245" w:name="_Toc353470626"/>
            <w:r w:rsidRPr="00653421">
              <w:rPr>
                <w:rFonts w:ascii="Tahoma" w:hAnsi="Tahoma" w:cs="Tahoma"/>
                <w:sz w:val="14"/>
              </w:rPr>
              <w:t>Exchange Server Enterprise</w:t>
            </w:r>
            <w:bookmarkEnd w:id="244"/>
            <w:r w:rsidRPr="00653421">
              <w:rPr>
                <w:rFonts w:ascii="Tahoma" w:hAnsi="Tahoma" w:cs="Tahoma"/>
                <w:sz w:val="14"/>
              </w:rPr>
              <w:t xml:space="preserve"> 2013</w:t>
            </w:r>
            <w:bookmarkEnd w:id="245"/>
          </w:p>
        </w:tc>
        <w:tc>
          <w:tcPr>
            <w:tcW w:w="360" w:type="dxa"/>
            <w:tcBorders>
              <w:bottom w:val="single" w:sz="4" w:space="0" w:color="auto"/>
            </w:tcBorders>
            <w:shd w:val="clear" w:color="auto" w:fill="auto"/>
            <w:vAlign w:val="center"/>
          </w:tcPr>
          <w:p w:rsidR="001A63C6" w:rsidRPr="00653421" w:rsidRDefault="0033195D" w:rsidP="00BA1576">
            <w:pPr>
              <w:pStyle w:val="TableText"/>
              <w:keepNext/>
              <w:keepLines/>
              <w:widowControl w:val="0"/>
              <w:spacing w:before="30" w:after="30"/>
              <w:rPr>
                <w:b/>
                <w:color w:val="0000FF"/>
                <w:sz w:val="13"/>
                <w:szCs w:val="13"/>
                <w:u w:val="single"/>
              </w:rPr>
            </w:pPr>
            <w:hyperlink w:anchor="_52_Exchange_Server" w:history="1">
              <w:r w:rsidR="00955428" w:rsidRPr="00653421">
                <w:rPr>
                  <w:rStyle w:val="Hyperlink"/>
                  <w:b/>
                  <w:sz w:val="13"/>
                  <w:szCs w:val="13"/>
                </w:rPr>
                <w:t>52</w:t>
              </w:r>
            </w:hyperlink>
            <w:hyperlink w:anchor="_49_Exchange_Server" w:history="1"/>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ProductNames"/>
              <w:rPr>
                <w:rFonts w:ascii="Tahoma" w:hAnsi="Tahoma" w:cs="Tahoma"/>
                <w:sz w:val="14"/>
              </w:rPr>
            </w:pPr>
            <w:bookmarkStart w:id="246" w:name="_Toc336337959"/>
            <w:bookmarkStart w:id="247" w:name="_Toc353470627"/>
            <w:r w:rsidRPr="00653421">
              <w:rPr>
                <w:rFonts w:ascii="Tahoma" w:hAnsi="Tahoma" w:cs="Tahoma"/>
                <w:sz w:val="14"/>
              </w:rPr>
              <w:t>Exchange Server Standard</w:t>
            </w:r>
            <w:bookmarkEnd w:id="246"/>
            <w:r w:rsidRPr="00653421">
              <w:rPr>
                <w:rFonts w:ascii="Tahoma" w:hAnsi="Tahoma" w:cs="Tahoma"/>
                <w:sz w:val="14"/>
              </w:rPr>
              <w:t xml:space="preserve"> 2013</w:t>
            </w:r>
            <w:bookmarkEnd w:id="247"/>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52_Exchange_Server" w:history="1">
              <w:r w:rsidR="00D36C78" w:rsidRPr="00653421">
                <w:rPr>
                  <w:rStyle w:val="Hyperlink"/>
                  <w:b/>
                  <w:sz w:val="13"/>
                  <w:szCs w:val="13"/>
                </w:rPr>
                <w:t>52</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95190D">
            <w:pPr>
              <w:pStyle w:val="ProductNames"/>
              <w:keepNext/>
              <w:rPr>
                <w:rFonts w:ascii="Tahoma" w:hAnsi="Tahoma" w:cs="Tahoma"/>
                <w:sz w:val="14"/>
              </w:rPr>
            </w:pPr>
            <w:bookmarkStart w:id="248" w:name="_Toc336337960"/>
            <w:bookmarkStart w:id="249" w:name="_Toc353470628"/>
            <w:r w:rsidRPr="00653421">
              <w:rPr>
                <w:rFonts w:ascii="Tahoma" w:hAnsi="Tahoma" w:cs="Tahoma"/>
                <w:sz w:val="14"/>
              </w:rPr>
              <w:lastRenderedPageBreak/>
              <w:t>Exchange Server 2007 Standard for Small</w:t>
            </w:r>
            <w:r w:rsidR="00CE72EE" w:rsidRPr="00653421">
              <w:rPr>
                <w:rFonts w:ascii="Tahoma" w:hAnsi="Tahoma" w:cs="Tahoma"/>
                <w:sz w:val="14"/>
              </w:rPr>
              <w:t> </w:t>
            </w:r>
            <w:r w:rsidRPr="00653421">
              <w:rPr>
                <w:rFonts w:ascii="Tahoma" w:hAnsi="Tahoma" w:cs="Tahoma"/>
                <w:sz w:val="14"/>
              </w:rPr>
              <w:t>Business</w:t>
            </w:r>
            <w:bookmarkEnd w:id="248"/>
            <w:bookmarkEnd w:id="249"/>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10</w:t>
            </w: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20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10</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CE72EE">
            <w:pPr>
              <w:pStyle w:val="ProductNames"/>
              <w:rPr>
                <w:rFonts w:ascii="Tahoma" w:hAnsi="Tahoma" w:cs="Tahoma"/>
                <w:sz w:val="14"/>
              </w:rPr>
            </w:pPr>
            <w:bookmarkStart w:id="250" w:name="_Toc336337961"/>
            <w:bookmarkStart w:id="251" w:name="_Toc353470629"/>
            <w:r w:rsidRPr="00653421">
              <w:rPr>
                <w:rFonts w:ascii="Tahoma" w:hAnsi="Tahoma" w:cs="Tahoma"/>
                <w:sz w:val="14"/>
              </w:rPr>
              <w:t>CAL do Exchange Server 2007 Standard for</w:t>
            </w:r>
            <w:r w:rsidR="00CE72EE" w:rsidRPr="00653421">
              <w:rPr>
                <w:rFonts w:ascii="Tahoma" w:hAnsi="Tahoma" w:cs="Tahoma"/>
                <w:sz w:val="14"/>
              </w:rPr>
              <w:t> </w:t>
            </w:r>
            <w:r w:rsidRPr="00653421">
              <w:rPr>
                <w:rFonts w:ascii="Tahoma" w:hAnsi="Tahoma" w:cs="Tahoma"/>
                <w:sz w:val="14"/>
              </w:rPr>
              <w:t>Small Business</w:t>
            </w:r>
            <w:bookmarkEnd w:id="250"/>
            <w:bookmarkEnd w:id="251"/>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746FF7"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1A63C6">
            <w:pPr>
              <w:pStyle w:val="ProductNames"/>
              <w:rPr>
                <w:rFonts w:ascii="Tahoma" w:hAnsi="Tahoma" w:cs="Tahoma"/>
                <w:sz w:val="14"/>
                <w:lang w:val="pt-BR"/>
              </w:rPr>
            </w:pPr>
            <w:bookmarkStart w:id="252" w:name="_Toc336337963"/>
            <w:bookmarkStart w:id="253" w:name="_Toc353470630"/>
            <w:r w:rsidRPr="00734B50">
              <w:rPr>
                <w:rFonts w:ascii="Tahoma" w:hAnsi="Tahoma" w:cs="Tahoma"/>
                <w:sz w:val="14"/>
                <w:lang w:val="pt-BR"/>
              </w:rPr>
              <w:t>CAL do Exchange Server 2010 Standard (Dispositivo e Usuário)</w:t>
            </w:r>
            <w:bookmarkEnd w:id="252"/>
            <w:bookmarkEnd w:id="253"/>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color w:val="0000FF"/>
                <w:sz w:val="13"/>
                <w:szCs w:val="13"/>
                <w:u w:val="single"/>
              </w:rPr>
            </w:pPr>
            <w:hyperlink w:anchor="_53_CAL_Padrão" w:history="1">
              <w:r w:rsidR="00955428" w:rsidRPr="00E66C1F">
                <w:rPr>
                  <w:rStyle w:val="Hyperlink"/>
                  <w:b/>
                  <w:sz w:val="13"/>
                  <w:szCs w:val="13"/>
                </w:rPr>
                <w:t>53</w:t>
              </w:r>
            </w:hyperlink>
            <w:hyperlink w:anchor="_50_Exchange_Server"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Del="00515A83" w:rsidTr="00BA1576">
        <w:trPr>
          <w:trHeight w:val="145"/>
        </w:trPr>
        <w:tc>
          <w:tcPr>
            <w:tcW w:w="2734" w:type="dxa"/>
            <w:gridSpan w:val="2"/>
            <w:tcBorders>
              <w:bottom w:val="single" w:sz="4" w:space="0" w:color="auto"/>
            </w:tcBorders>
            <w:shd w:val="clear" w:color="auto" w:fill="FABF8F"/>
          </w:tcPr>
          <w:p w:rsidR="001A63C6" w:rsidRPr="00653421" w:rsidDel="00515A83" w:rsidRDefault="001A63C6" w:rsidP="001A63C6">
            <w:pPr>
              <w:pStyle w:val="ProductNames"/>
              <w:rPr>
                <w:rFonts w:ascii="Tahoma" w:hAnsi="Tahoma" w:cs="Tahoma"/>
                <w:sz w:val="14"/>
              </w:rPr>
            </w:pPr>
            <w:bookmarkStart w:id="254" w:name="_Toc336337965"/>
            <w:bookmarkStart w:id="255" w:name="_Toc353470631"/>
            <w:r w:rsidRPr="00653421">
              <w:rPr>
                <w:rFonts w:ascii="Tahoma" w:hAnsi="Tahoma" w:cs="Tahoma"/>
                <w:sz w:val="14"/>
              </w:rPr>
              <w:t>Forefront Endpoint Protection</w:t>
            </w:r>
            <w:bookmarkEnd w:id="254"/>
            <w:bookmarkEnd w:id="255"/>
          </w:p>
        </w:tc>
        <w:tc>
          <w:tcPr>
            <w:tcW w:w="360" w:type="dxa"/>
            <w:tcBorders>
              <w:bottom w:val="single" w:sz="4" w:space="0" w:color="auto"/>
            </w:tcBorders>
            <w:shd w:val="clear" w:color="auto" w:fill="FABF8F"/>
            <w:vAlign w:val="center"/>
          </w:tcPr>
          <w:p w:rsidR="001A63C6" w:rsidRPr="00653421" w:rsidDel="00515A83" w:rsidRDefault="0033195D" w:rsidP="00BA1576">
            <w:pPr>
              <w:pStyle w:val="TableText"/>
              <w:widowControl w:val="0"/>
              <w:spacing w:before="30" w:after="30"/>
              <w:rPr>
                <w:rStyle w:val="EndnoteReference"/>
                <w:color w:val="000000"/>
                <w:sz w:val="13"/>
                <w:szCs w:val="13"/>
                <w:u w:val="single"/>
              </w:rPr>
            </w:pPr>
            <w:hyperlink w:anchor="_54_Forefront_Endpoint" w:history="1">
              <w:r w:rsidR="00955428" w:rsidRPr="00E66C1F">
                <w:rPr>
                  <w:rStyle w:val="Hyperlink"/>
                  <w:b/>
                  <w:sz w:val="13"/>
                  <w:szCs w:val="13"/>
                </w:rPr>
                <w:t>54</w:t>
              </w:r>
            </w:hyperlink>
          </w:p>
        </w:tc>
        <w:tc>
          <w:tcPr>
            <w:tcW w:w="450" w:type="dxa"/>
            <w:tcBorders>
              <w:bottom w:val="single" w:sz="4"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Del="00515A83"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1A63C6">
            <w:pPr>
              <w:pStyle w:val="ProductNames"/>
              <w:rPr>
                <w:rFonts w:ascii="Tahoma" w:hAnsi="Tahoma" w:cs="Tahoma"/>
                <w:sz w:val="14"/>
                <w:lang w:val="pt-BR"/>
              </w:rPr>
            </w:pPr>
            <w:bookmarkStart w:id="256" w:name="_Toc336337966"/>
            <w:bookmarkStart w:id="257" w:name="_Toc353470632"/>
            <w:r w:rsidRPr="00734B50">
              <w:rPr>
                <w:rFonts w:ascii="Tahoma" w:hAnsi="Tahoma" w:cs="Tahoma"/>
                <w:sz w:val="14"/>
                <w:lang w:val="pt-BR"/>
              </w:rPr>
              <w:t>CAL do Forefront Identity Manager 2010 R2 (Somente usuário)</w:t>
            </w:r>
            <w:bookmarkEnd w:id="256"/>
            <w:bookmarkEnd w:id="257"/>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color w:val="0000FF"/>
                <w:sz w:val="13"/>
                <w:szCs w:val="13"/>
                <w:u w:val="single"/>
              </w:rPr>
            </w:pPr>
            <w:hyperlink w:anchor="_54_Forefront_Identity" w:history="1">
              <w:r w:rsidR="00955428" w:rsidRPr="00E66C1F">
                <w:rPr>
                  <w:rStyle w:val="Hyperlink"/>
                  <w:b/>
                  <w:sz w:val="13"/>
                  <w:szCs w:val="13"/>
                </w:rPr>
                <w:t>55</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ProductNames"/>
              <w:rPr>
                <w:rFonts w:ascii="Tahoma" w:hAnsi="Tahoma" w:cs="Tahoma"/>
                <w:sz w:val="14"/>
              </w:rPr>
            </w:pPr>
            <w:bookmarkStart w:id="258" w:name="_Toc336337967"/>
            <w:bookmarkStart w:id="259" w:name="_Toc353470633"/>
            <w:r w:rsidRPr="00653421">
              <w:rPr>
                <w:rFonts w:ascii="Tahoma" w:hAnsi="Tahoma" w:cs="Tahoma"/>
                <w:sz w:val="14"/>
              </w:rPr>
              <w:t>Forefront Identity Manager 2010 R2 External Connector</w:t>
            </w:r>
            <w:bookmarkEnd w:id="258"/>
            <w:bookmarkEnd w:id="259"/>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color w:val="000000"/>
                <w:sz w:val="13"/>
                <w:szCs w:val="13"/>
                <w:u w:val="single"/>
              </w:rPr>
            </w:pPr>
            <w:hyperlink w:anchor="_54_Forefront_Identity" w:history="1">
              <w:r w:rsidR="00E66C1F" w:rsidRPr="00E66C1F">
                <w:rPr>
                  <w:rStyle w:val="Hyperlink"/>
                  <w:b/>
                  <w:sz w:val="13"/>
                  <w:szCs w:val="13"/>
                </w:rPr>
                <w:t>55</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313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250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188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63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250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1A63C6">
            <w:pPr>
              <w:pStyle w:val="ProductNames"/>
              <w:rPr>
                <w:rFonts w:ascii="Tahoma" w:hAnsi="Tahoma" w:cs="Tahoma"/>
                <w:sz w:val="14"/>
              </w:rPr>
            </w:pPr>
            <w:bookmarkStart w:id="260" w:name="_Toc336337968"/>
            <w:bookmarkStart w:id="261" w:name="_Toc353470634"/>
            <w:r w:rsidRPr="00653421">
              <w:rPr>
                <w:rFonts w:ascii="Tahoma" w:hAnsi="Tahoma" w:cs="Tahoma"/>
                <w:sz w:val="14"/>
              </w:rPr>
              <w:t>Forefront Identity Manager 2010 R2 Server</w:t>
            </w:r>
            <w:bookmarkEnd w:id="260"/>
            <w:bookmarkEnd w:id="261"/>
            <w:r w:rsidRPr="00653421">
              <w:rPr>
                <w:rFonts w:ascii="Tahoma" w:hAnsi="Tahoma" w:cs="Tahoma"/>
                <w:sz w:val="14"/>
              </w:rPr>
              <w:t xml:space="preserve"> </w:t>
            </w:r>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color w:val="000000"/>
                <w:sz w:val="13"/>
                <w:szCs w:val="13"/>
                <w:u w:val="single"/>
              </w:rPr>
            </w:pPr>
            <w:hyperlink w:anchor="_54_Forefront_Identity" w:history="1">
              <w:r w:rsidR="00E66C1F" w:rsidRPr="00E66C1F">
                <w:rPr>
                  <w:rStyle w:val="Hyperlink"/>
                  <w:b/>
                  <w:sz w:val="13"/>
                  <w:szCs w:val="13"/>
                </w:rPr>
                <w:t>55</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313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250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188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63</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250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szCs w:val="13"/>
              </w:rPr>
              <w:t>125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Heading2"/>
              <w:ind w:left="0"/>
              <w:rPr>
                <w:rFonts w:ascii="Tahoma" w:hAnsi="Tahoma" w:cs="Tahoma"/>
                <w:b w:val="0"/>
              </w:rPr>
            </w:pPr>
            <w:bookmarkStart w:id="262" w:name="_Toc336337969"/>
            <w:bookmarkStart w:id="263" w:name="_Toc353470635"/>
            <w:r w:rsidRPr="00653421">
              <w:rPr>
                <w:rFonts w:ascii="Tahoma" w:hAnsi="Tahoma" w:cs="Tahoma"/>
                <w:b w:val="0"/>
                <w:sz w:val="14"/>
              </w:rPr>
              <w:t>Forefront Identity Manager 2010 R2 – Windows Live Edition</w:t>
            </w:r>
            <w:bookmarkEnd w:id="262"/>
            <w:bookmarkEnd w:id="263"/>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56_Forefront_Identity" w:history="1">
              <w:r w:rsidR="00955428" w:rsidRPr="00E66C1F">
                <w:rPr>
                  <w:rStyle w:val="Hyperlink"/>
                  <w:b/>
                  <w:sz w:val="13"/>
                  <w:szCs w:val="13"/>
                </w:rPr>
                <w:t>56</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25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63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38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13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25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szCs w:val="13"/>
              </w:rPr>
            </w:pPr>
            <w:r w:rsidRPr="00653421">
              <w:rPr>
                <w:rFonts w:ascii="Tahoma" w:hAnsi="Tahoma" w:cs="Tahoma"/>
                <w:sz w:val="13"/>
                <w:szCs w:val="13"/>
              </w:rPr>
              <w:t>25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1A63C6">
            <w:pPr>
              <w:pStyle w:val="ProductNames"/>
              <w:rPr>
                <w:rFonts w:ascii="Tahoma" w:hAnsi="Tahoma" w:cs="Tahoma"/>
                <w:sz w:val="14"/>
              </w:rPr>
            </w:pPr>
            <w:bookmarkStart w:id="264" w:name="_Toc336337971"/>
            <w:bookmarkStart w:id="265" w:name="_Toc353470636"/>
            <w:r w:rsidRPr="00653421">
              <w:rPr>
                <w:rFonts w:ascii="Tahoma" w:hAnsi="Tahoma" w:cs="Tahoma"/>
                <w:sz w:val="14"/>
              </w:rPr>
              <w:t>Forefront Protection 2010 for Exchange Server (SL de Dispositivo e Usuário)</w:t>
            </w:r>
            <w:bookmarkEnd w:id="264"/>
            <w:bookmarkEnd w:id="265"/>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00"/>
                <w:sz w:val="13"/>
                <w:szCs w:val="13"/>
                <w:u w:val="single"/>
              </w:rPr>
            </w:pPr>
            <w:hyperlink w:anchor="_54_Forefront_Protection" w:history="1">
              <w:r w:rsidR="00955428" w:rsidRPr="00E66C1F">
                <w:rPr>
                  <w:rStyle w:val="Hyperlink"/>
                  <w:b/>
                  <w:sz w:val="13"/>
                  <w:szCs w:val="13"/>
                </w:rPr>
                <w:t>57</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CE72EE">
            <w:pPr>
              <w:pStyle w:val="ProductNames"/>
              <w:rPr>
                <w:rFonts w:ascii="Tahoma" w:hAnsi="Tahoma" w:cs="Tahoma"/>
                <w:sz w:val="14"/>
              </w:rPr>
            </w:pPr>
            <w:bookmarkStart w:id="266" w:name="_Toc336337973"/>
            <w:bookmarkStart w:id="267" w:name="_Toc353470637"/>
            <w:r w:rsidRPr="00653421">
              <w:rPr>
                <w:rFonts w:ascii="Tahoma" w:hAnsi="Tahoma" w:cs="Tahoma"/>
                <w:sz w:val="14"/>
              </w:rPr>
              <w:t>Forefront Protection Suite (SL</w:t>
            </w:r>
            <w:r w:rsidR="00CE72EE" w:rsidRPr="00653421">
              <w:rPr>
                <w:rFonts w:ascii="Tahoma" w:hAnsi="Tahoma" w:cs="Tahoma"/>
                <w:sz w:val="14"/>
              </w:rPr>
              <w:t> </w:t>
            </w:r>
            <w:r w:rsidRPr="00653421">
              <w:rPr>
                <w:rFonts w:ascii="Tahoma" w:hAnsi="Tahoma" w:cs="Tahoma"/>
                <w:sz w:val="14"/>
              </w:rPr>
              <w:t>de</w:t>
            </w:r>
            <w:r w:rsidR="00CE72EE" w:rsidRPr="00653421">
              <w:rPr>
                <w:rFonts w:ascii="Tahoma" w:hAnsi="Tahoma" w:cs="Tahoma"/>
                <w:sz w:val="14"/>
              </w:rPr>
              <w:t> </w:t>
            </w:r>
            <w:r w:rsidRPr="00653421">
              <w:rPr>
                <w:rFonts w:ascii="Tahoma" w:hAnsi="Tahoma" w:cs="Tahoma"/>
                <w:sz w:val="14"/>
              </w:rPr>
              <w:t>Dispositivo e Usuário)</w:t>
            </w:r>
            <w:bookmarkEnd w:id="266"/>
            <w:bookmarkEnd w:id="267"/>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color w:val="0000FF"/>
                <w:sz w:val="13"/>
                <w:szCs w:val="13"/>
                <w:u w:val="single"/>
              </w:rPr>
            </w:pPr>
            <w:hyperlink w:anchor="_58_Forefront_Protection" w:history="1">
              <w:r w:rsidR="00955428" w:rsidRPr="00CE5223">
                <w:rPr>
                  <w:rStyle w:val="Hyperlink"/>
                  <w:b/>
                  <w:sz w:val="13"/>
                  <w:szCs w:val="13"/>
                </w:rPr>
                <w:t>58</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CE72EE">
            <w:pPr>
              <w:pStyle w:val="ProductNames"/>
              <w:rPr>
                <w:rFonts w:ascii="Tahoma" w:hAnsi="Tahoma" w:cs="Tahoma"/>
                <w:sz w:val="14"/>
              </w:rPr>
            </w:pPr>
            <w:bookmarkStart w:id="268" w:name="_Toc336337974"/>
            <w:bookmarkStart w:id="269" w:name="_Toc353470638"/>
            <w:r w:rsidRPr="00653421">
              <w:rPr>
                <w:rFonts w:ascii="Tahoma" w:hAnsi="Tahoma" w:cs="Tahoma"/>
                <w:sz w:val="14"/>
              </w:rPr>
              <w:t>Forefront Security for Office Communications Server (SL</w:t>
            </w:r>
            <w:r w:rsidR="00CE72EE" w:rsidRPr="00653421">
              <w:rPr>
                <w:rFonts w:ascii="Tahoma" w:hAnsi="Tahoma" w:cs="Tahoma"/>
                <w:sz w:val="14"/>
              </w:rPr>
              <w:t> </w:t>
            </w:r>
            <w:r w:rsidRPr="00653421">
              <w:rPr>
                <w:rFonts w:ascii="Tahoma" w:hAnsi="Tahoma" w:cs="Tahoma"/>
                <w:sz w:val="14"/>
              </w:rPr>
              <w:t>de</w:t>
            </w:r>
            <w:r w:rsidR="00CE72EE" w:rsidRPr="00653421">
              <w:rPr>
                <w:rFonts w:ascii="Tahoma" w:hAnsi="Tahoma" w:cs="Tahoma"/>
                <w:sz w:val="14"/>
              </w:rPr>
              <w:t> </w:t>
            </w:r>
            <w:r w:rsidRPr="00653421">
              <w:rPr>
                <w:rFonts w:ascii="Tahoma" w:hAnsi="Tahoma" w:cs="Tahoma"/>
                <w:sz w:val="14"/>
              </w:rPr>
              <w:t>Dispositivo</w:t>
            </w:r>
            <w:r w:rsidR="00CE72EE" w:rsidRPr="00653421">
              <w:rPr>
                <w:rFonts w:ascii="Tahoma" w:hAnsi="Tahoma" w:cs="Tahoma"/>
                <w:sz w:val="14"/>
              </w:rPr>
              <w:t> </w:t>
            </w:r>
            <w:r w:rsidRPr="00653421">
              <w:rPr>
                <w:rFonts w:ascii="Tahoma" w:hAnsi="Tahoma" w:cs="Tahoma"/>
                <w:sz w:val="14"/>
              </w:rPr>
              <w:t>e Usuário)</w:t>
            </w:r>
            <w:bookmarkEnd w:id="268"/>
            <w:bookmarkEnd w:id="269"/>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rFonts w:cs="Tahoma"/>
                <w:color w:val="000000"/>
                <w:sz w:val="13"/>
                <w:szCs w:val="13"/>
                <w:u w:val="single"/>
              </w:rPr>
            </w:pPr>
            <w:hyperlink w:anchor="_54_Forefront_Protection" w:history="1">
              <w:r w:rsidR="00955428" w:rsidRPr="00653421">
                <w:rPr>
                  <w:rStyle w:val="Hyperlink"/>
                  <w:b/>
                  <w:sz w:val="13"/>
                  <w:szCs w:val="13"/>
                </w:rPr>
                <w:t>5</w:t>
              </w:r>
            </w:hyperlink>
            <w:r w:rsidR="00955428" w:rsidRPr="00653421">
              <w:rPr>
                <w:rStyle w:val="Hyperlink"/>
                <w:b/>
                <w:sz w:val="13"/>
                <w:szCs w:val="13"/>
              </w:rPr>
              <w:t>9</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ProductNames"/>
              <w:rPr>
                <w:rFonts w:ascii="Tahoma" w:hAnsi="Tahoma" w:cs="Tahoma"/>
                <w:sz w:val="14"/>
              </w:rPr>
            </w:pPr>
            <w:bookmarkStart w:id="270" w:name="_Toc336337976"/>
            <w:bookmarkStart w:id="271" w:name="_Toc353470639"/>
            <w:r w:rsidRPr="00653421">
              <w:rPr>
                <w:rFonts w:ascii="Tahoma" w:hAnsi="Tahoma" w:cs="Tahoma"/>
                <w:sz w:val="14"/>
              </w:rPr>
              <w:t>Forefront Protection 2010 for SharePoint (SL de Dispositivo e Usuário)</w:t>
            </w:r>
            <w:bookmarkEnd w:id="270"/>
            <w:bookmarkEnd w:id="271"/>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color w:val="000000"/>
                <w:sz w:val="13"/>
                <w:szCs w:val="13"/>
                <w:u w:val="single"/>
              </w:rPr>
            </w:pPr>
            <w:hyperlink w:anchor="_57_Forefront_Protection" w:history="1">
              <w:r w:rsidR="00955428" w:rsidRPr="00CE5223">
                <w:rPr>
                  <w:rStyle w:val="Hyperlink"/>
                  <w:b/>
                  <w:sz w:val="13"/>
                  <w:szCs w:val="13"/>
                </w:rPr>
                <w:t>57</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1A63C6">
            <w:pPr>
              <w:pStyle w:val="ProductNames"/>
              <w:rPr>
                <w:rFonts w:ascii="Tahoma" w:hAnsi="Tahoma" w:cs="Tahoma"/>
                <w:sz w:val="14"/>
              </w:rPr>
            </w:pPr>
            <w:bookmarkStart w:id="272" w:name="_Toc336337977"/>
            <w:bookmarkStart w:id="273" w:name="_Toc353470640"/>
            <w:r w:rsidRPr="00653421">
              <w:rPr>
                <w:rFonts w:ascii="Tahoma" w:hAnsi="Tahoma" w:cs="Tahoma"/>
                <w:sz w:val="14"/>
              </w:rPr>
              <w:t>Forefront Protection 2010 for SharePoint for Internet Sites (SL Complementar)</w:t>
            </w:r>
            <w:bookmarkEnd w:id="272"/>
            <w:bookmarkEnd w:id="273"/>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color w:val="000000"/>
                <w:sz w:val="13"/>
                <w:szCs w:val="13"/>
                <w:u w:val="single"/>
              </w:rPr>
            </w:pPr>
            <w:hyperlink w:anchor="_54_Forefront_Protection" w:history="1">
              <w:r w:rsidR="00955428" w:rsidRPr="00CE5223">
                <w:rPr>
                  <w:rStyle w:val="Hyperlink"/>
                  <w:b/>
                  <w:sz w:val="13"/>
                  <w:szCs w:val="13"/>
                </w:rPr>
                <w:t>57</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OV</w:t>
            </w:r>
          </w:p>
        </w:tc>
      </w:tr>
      <w:tr w:rsidR="00EF228F"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ProductNames"/>
              <w:rPr>
                <w:rFonts w:ascii="Tahoma" w:hAnsi="Tahoma" w:cs="Tahoma"/>
                <w:sz w:val="14"/>
              </w:rPr>
            </w:pPr>
            <w:bookmarkStart w:id="274" w:name="_Toc336337981"/>
            <w:bookmarkStart w:id="275" w:name="_Toc353470641"/>
            <w:r w:rsidRPr="00653421">
              <w:rPr>
                <w:rFonts w:ascii="Tahoma" w:hAnsi="Tahoma" w:cs="Tahoma"/>
                <w:sz w:val="14"/>
              </w:rPr>
              <w:t>Forefront Threat Management Gateway Web Protection Services</w:t>
            </w:r>
            <w:bookmarkEnd w:id="274"/>
            <w:bookmarkEnd w:id="275"/>
            <w:r w:rsidRPr="00653421">
              <w:rPr>
                <w:rFonts w:ascii="Tahoma" w:hAnsi="Tahoma" w:cs="Tahoma"/>
                <w:sz w:val="14"/>
              </w:rPr>
              <w:t xml:space="preserve"> </w:t>
            </w:r>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color w:val="0000FF"/>
                <w:sz w:val="13"/>
                <w:szCs w:val="13"/>
                <w:u w:val="single"/>
              </w:rPr>
            </w:pPr>
            <w:hyperlink w:anchor="_60_Forefront_Threat" w:history="1">
              <w:r w:rsidR="002E59B1" w:rsidRPr="00CE5223">
                <w:rPr>
                  <w:rStyle w:val="Hyperlink"/>
                  <w:b/>
                  <w:sz w:val="13"/>
                  <w:szCs w:val="13"/>
                </w:rPr>
                <w:t>60</w:t>
              </w:r>
            </w:hyperlink>
            <w:hyperlink w:anchor="_57_Forefront_Threat"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CE72EE">
            <w:pPr>
              <w:pStyle w:val="ProductNames"/>
              <w:rPr>
                <w:rFonts w:ascii="Tahoma" w:hAnsi="Tahoma" w:cs="Tahoma"/>
                <w:sz w:val="14"/>
              </w:rPr>
            </w:pPr>
            <w:bookmarkStart w:id="276" w:name="_Toc336337982"/>
            <w:bookmarkStart w:id="277" w:name="_Toc353470642"/>
            <w:r w:rsidRPr="00653421">
              <w:rPr>
                <w:rFonts w:ascii="Tahoma" w:hAnsi="Tahoma" w:cs="Tahoma"/>
                <w:sz w:val="14"/>
              </w:rPr>
              <w:t>Forefront Unified Access Gateway Server</w:t>
            </w:r>
            <w:r w:rsidR="00CE72EE" w:rsidRPr="00653421">
              <w:rPr>
                <w:rFonts w:ascii="Tahoma" w:hAnsi="Tahoma" w:cs="Tahoma"/>
                <w:sz w:val="14"/>
              </w:rPr>
              <w:t> </w:t>
            </w:r>
            <w:r w:rsidRPr="00653421">
              <w:rPr>
                <w:rFonts w:ascii="Tahoma" w:hAnsi="Tahoma" w:cs="Tahoma"/>
                <w:sz w:val="14"/>
              </w:rPr>
              <w:t>2010</w:t>
            </w:r>
            <w:bookmarkEnd w:id="276"/>
            <w:bookmarkEnd w:id="277"/>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00"/>
                <w:sz w:val="13"/>
                <w:szCs w:val="13"/>
                <w:u w:val="single"/>
              </w:rPr>
            </w:pPr>
            <w:hyperlink w:anchor="_61_Forefront_Unified" w:history="1">
              <w:r w:rsidR="002E59B1" w:rsidRPr="00CE5223">
                <w:rPr>
                  <w:rStyle w:val="Hyperlink"/>
                  <w:b/>
                  <w:sz w:val="13"/>
                  <w:szCs w:val="13"/>
                </w:rPr>
                <w:t>61</w:t>
              </w:r>
            </w:hyperlink>
            <w:hyperlink w:anchor="Srv_52ForefrontUnifiedAccessGtwy2010"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ProductNames"/>
              <w:rPr>
                <w:rFonts w:ascii="Tahoma" w:hAnsi="Tahoma" w:cs="Tahoma"/>
                <w:sz w:val="14"/>
              </w:rPr>
            </w:pPr>
            <w:bookmarkStart w:id="278" w:name="_Toc336337983"/>
            <w:bookmarkStart w:id="279" w:name="_Toc353470643"/>
            <w:r w:rsidRPr="00653421">
              <w:rPr>
                <w:rFonts w:ascii="Tahoma" w:hAnsi="Tahoma" w:cs="Tahoma"/>
                <w:sz w:val="14"/>
              </w:rPr>
              <w:t>External Connector do Forefront Unified Access Gateway 2010</w:t>
            </w:r>
            <w:bookmarkEnd w:id="278"/>
            <w:bookmarkEnd w:id="279"/>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00"/>
                <w:sz w:val="13"/>
                <w:szCs w:val="13"/>
                <w:u w:val="single"/>
              </w:rPr>
            </w:pPr>
            <w:hyperlink w:anchor="_61_Forefront_Unified" w:history="1">
              <w:r w:rsidR="002E59B1" w:rsidRPr="00CE5223">
                <w:rPr>
                  <w:rStyle w:val="Hyperlink"/>
                  <w:b/>
                  <w:sz w:val="13"/>
                  <w:szCs w:val="13"/>
                </w:rPr>
                <w:t>61</w:t>
              </w:r>
            </w:hyperlink>
            <w:hyperlink w:anchor="Srv_56ForefrontUnifiedAccessGtwy2010"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500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400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300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100</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400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200</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200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r w:rsidR="00C313DE" w:rsidRPr="00653421">
              <w:rPr>
                <w:rFonts w:ascii="Tahoma" w:hAnsi="Tahoma" w:cs="Tahoma"/>
                <w:sz w:val="13"/>
              </w:rPr>
              <w:t xml:space="preserve"> </w:t>
            </w:r>
            <w:r w:rsidRPr="00653421">
              <w:rPr>
                <w:rFonts w:ascii="Tahoma" w:hAnsi="Tahoma" w:cs="Tahoma"/>
                <w:sz w:val="13"/>
              </w:rPr>
              <w:t>OV</w:t>
            </w:r>
          </w:p>
        </w:tc>
      </w:tr>
      <w:tr w:rsidR="00B33D0E"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CE72EE">
            <w:pPr>
              <w:pStyle w:val="ProductNames"/>
              <w:rPr>
                <w:rFonts w:ascii="Tahoma" w:hAnsi="Tahoma" w:cs="Tahoma"/>
                <w:sz w:val="14"/>
              </w:rPr>
            </w:pPr>
            <w:bookmarkStart w:id="280" w:name="_Toc336337984"/>
            <w:bookmarkStart w:id="281" w:name="_Toc353470644"/>
            <w:r w:rsidRPr="00653421">
              <w:rPr>
                <w:rFonts w:ascii="Tahoma" w:hAnsi="Tahoma" w:cs="Tahoma"/>
                <w:sz w:val="14"/>
              </w:rPr>
              <w:t>CAL do Forefront Unified Access Gateway</w:t>
            </w:r>
            <w:r w:rsidR="00CE72EE" w:rsidRPr="00653421">
              <w:rPr>
                <w:rFonts w:ascii="Tahoma" w:hAnsi="Tahoma" w:cs="Tahoma"/>
                <w:sz w:val="14"/>
              </w:rPr>
              <w:t> </w:t>
            </w:r>
            <w:r w:rsidRPr="00653421">
              <w:rPr>
                <w:rFonts w:ascii="Tahoma" w:hAnsi="Tahoma" w:cs="Tahoma"/>
                <w:sz w:val="14"/>
              </w:rPr>
              <w:t>2010</w:t>
            </w:r>
            <w:bookmarkEnd w:id="280"/>
            <w:bookmarkEnd w:id="281"/>
            <w:r w:rsidRPr="00653421">
              <w:rPr>
                <w:rFonts w:ascii="Tahoma" w:hAnsi="Tahoma" w:cs="Tahoma"/>
                <w:sz w:val="14"/>
              </w:rPr>
              <w:t xml:space="preserve"> </w:t>
            </w:r>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00"/>
                <w:sz w:val="13"/>
                <w:szCs w:val="13"/>
                <w:u w:val="single"/>
              </w:rPr>
            </w:pPr>
            <w:hyperlink w:anchor="_61_Forefront_Unified" w:history="1">
              <w:r w:rsidR="002E59B1" w:rsidRPr="00CE5223">
                <w:rPr>
                  <w:rStyle w:val="Hyperlink"/>
                  <w:b/>
                  <w:sz w:val="13"/>
                  <w:szCs w:val="13"/>
                </w:rPr>
                <w:t>61</w:t>
              </w:r>
            </w:hyperlink>
            <w:hyperlink w:anchor="Srv_52ForefrontUnifiedAccessGtwy2010"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ProductNames"/>
              <w:rPr>
                <w:rFonts w:ascii="Tahoma" w:hAnsi="Tahoma" w:cs="Tahoma"/>
                <w:sz w:val="14"/>
              </w:rPr>
            </w:pPr>
            <w:bookmarkStart w:id="282" w:name="_Toc336337985"/>
            <w:bookmarkStart w:id="283" w:name="_Toc353470645"/>
            <w:r w:rsidRPr="00653421">
              <w:rPr>
                <w:rFonts w:ascii="Tahoma" w:hAnsi="Tahoma" w:cs="Tahoma"/>
                <w:sz w:val="14"/>
              </w:rPr>
              <w:t>Pacote CAL do Forefront Unified Access Gateway 2010 10K</w:t>
            </w:r>
            <w:bookmarkEnd w:id="282"/>
            <w:bookmarkEnd w:id="283"/>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00"/>
                <w:sz w:val="13"/>
                <w:szCs w:val="13"/>
                <w:u w:val="single"/>
              </w:rPr>
            </w:pPr>
            <w:hyperlink w:anchor="_61_Forefront_Unified" w:history="1">
              <w:r w:rsidR="002E59B1" w:rsidRPr="00CE5223">
                <w:rPr>
                  <w:rStyle w:val="Hyperlink"/>
                  <w:b/>
                  <w:sz w:val="13"/>
                  <w:szCs w:val="13"/>
                </w:rPr>
                <w:t>61</w:t>
              </w:r>
            </w:hyperlink>
            <w:hyperlink w:anchor="Srv_52ForefrontUnifiedAccessGtwy2010"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500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400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300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100</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1A63C6">
            <w:pPr>
              <w:pStyle w:val="ProductNames"/>
              <w:rPr>
                <w:rFonts w:ascii="Tahoma" w:hAnsi="Tahoma" w:cs="Tahoma"/>
                <w:sz w:val="14"/>
              </w:rPr>
            </w:pPr>
            <w:bookmarkStart w:id="284" w:name="_Toc336337986"/>
            <w:bookmarkStart w:id="285" w:name="_Toc353470646"/>
            <w:r w:rsidRPr="00653421">
              <w:rPr>
                <w:rFonts w:ascii="Tahoma" w:hAnsi="Tahoma" w:cs="Tahoma"/>
                <w:sz w:val="14"/>
              </w:rPr>
              <w:t>GeoSynth Server</w:t>
            </w:r>
            <w:bookmarkEnd w:id="284"/>
            <w:bookmarkEnd w:id="285"/>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b/>
                <w:color w:val="000000"/>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ProductNames"/>
              <w:rPr>
                <w:rFonts w:ascii="Tahoma" w:hAnsi="Tahoma" w:cs="Tahoma"/>
                <w:sz w:val="14"/>
              </w:rPr>
            </w:pPr>
            <w:bookmarkStart w:id="286" w:name="_Toc336337990"/>
            <w:bookmarkStart w:id="287" w:name="_Toc353470647"/>
            <w:r w:rsidRPr="00653421">
              <w:rPr>
                <w:rFonts w:ascii="Tahoma" w:hAnsi="Tahoma" w:cs="Tahoma"/>
                <w:sz w:val="14"/>
              </w:rPr>
              <w:t>HPC Pack 2008 R2 Enterprise</w:t>
            </w:r>
            <w:bookmarkEnd w:id="286"/>
            <w:bookmarkEnd w:id="287"/>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color w:val="000000"/>
                <w:sz w:val="13"/>
                <w:szCs w:val="13"/>
                <w:u w:val="single"/>
              </w:rPr>
            </w:pPr>
            <w:hyperlink w:anchor="_62_HPC_Pack" w:history="1">
              <w:r w:rsidR="00955428" w:rsidRPr="00CE5223">
                <w:rPr>
                  <w:rStyle w:val="Hyperlink"/>
                  <w:b/>
                  <w:sz w:val="13"/>
                  <w:szCs w:val="13"/>
                </w:rPr>
                <w:t>62</w:t>
              </w:r>
            </w:hyperlink>
            <w:hyperlink w:anchor="Srv_54HighPerfComputingPack"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1A63C6">
            <w:pPr>
              <w:pStyle w:val="ProductNames"/>
              <w:rPr>
                <w:rFonts w:ascii="Tahoma" w:hAnsi="Tahoma" w:cs="Tahoma"/>
                <w:sz w:val="14"/>
              </w:rPr>
            </w:pPr>
            <w:bookmarkStart w:id="288" w:name="_Toc336337991"/>
            <w:bookmarkStart w:id="289" w:name="_Toc353470648"/>
            <w:r w:rsidRPr="00653421">
              <w:rPr>
                <w:rFonts w:ascii="Tahoma" w:hAnsi="Tahoma" w:cs="Tahoma"/>
                <w:sz w:val="14"/>
              </w:rPr>
              <w:t>HPC Pack 2008 R2 para Workstation</w:t>
            </w:r>
            <w:bookmarkEnd w:id="288"/>
            <w:bookmarkEnd w:id="289"/>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b w:val="0"/>
                <w:color w:val="000000"/>
                <w:sz w:val="13"/>
                <w:szCs w:val="13"/>
                <w:u w:val="single"/>
              </w:rPr>
            </w:pPr>
            <w:hyperlink w:anchor="_51_High_Performance" w:history="1">
              <w:r w:rsidR="00955428" w:rsidRPr="00CE5223">
                <w:rPr>
                  <w:rStyle w:val="Hyperlink"/>
                  <w:b/>
                  <w:sz w:val="13"/>
                  <w:szCs w:val="13"/>
                </w:rPr>
                <w:t>62</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1A63C6">
            <w:pPr>
              <w:pStyle w:val="ProductNames"/>
              <w:rPr>
                <w:rFonts w:ascii="Tahoma" w:hAnsi="Tahoma" w:cs="Tahoma"/>
                <w:sz w:val="14"/>
              </w:rPr>
            </w:pPr>
            <w:bookmarkStart w:id="290" w:name="_Toc336337992"/>
            <w:bookmarkStart w:id="291" w:name="_Toc353470649"/>
            <w:r w:rsidRPr="00653421">
              <w:rPr>
                <w:rFonts w:ascii="Tahoma" w:hAnsi="Tahoma" w:cs="Tahoma"/>
                <w:sz w:val="14"/>
              </w:rPr>
              <w:t xml:space="preserve">Learning Solutions Combination </w:t>
            </w:r>
            <w:r w:rsidR="00CE72EE" w:rsidRPr="00653421">
              <w:rPr>
                <w:rFonts w:ascii="Tahoma" w:hAnsi="Tahoma" w:cs="Tahoma"/>
                <w:sz w:val="14"/>
              </w:rPr>
              <w:br/>
            </w:r>
            <w:r w:rsidRPr="00653421">
              <w:rPr>
                <w:rFonts w:ascii="Tahoma" w:hAnsi="Tahoma" w:cs="Tahoma"/>
                <w:sz w:val="14"/>
              </w:rPr>
              <w:t>E-Reference Library (SL de Usuário)</w:t>
            </w:r>
            <w:bookmarkEnd w:id="290"/>
            <w:bookmarkEnd w:id="291"/>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bottom"/>
          </w:tcPr>
          <w:p w:rsidR="001A63C6" w:rsidRPr="00653421" w:rsidRDefault="001A63C6" w:rsidP="00CE72EE">
            <w:pPr>
              <w:pStyle w:val="ProductNames"/>
              <w:rPr>
                <w:rFonts w:ascii="Tahoma" w:hAnsi="Tahoma" w:cs="Tahoma"/>
                <w:sz w:val="14"/>
              </w:rPr>
            </w:pPr>
            <w:bookmarkStart w:id="292" w:name="_Toc336337993"/>
            <w:bookmarkStart w:id="293" w:name="_Toc353470650"/>
            <w:r w:rsidRPr="00653421">
              <w:rPr>
                <w:rFonts w:ascii="Tahoma" w:hAnsi="Tahoma" w:cs="Tahoma"/>
                <w:sz w:val="14"/>
              </w:rPr>
              <w:t>Learning Solutions IT Academy (SL</w:t>
            </w:r>
            <w:r w:rsidR="00CE72EE" w:rsidRPr="00653421">
              <w:rPr>
                <w:rFonts w:ascii="Tahoma" w:hAnsi="Tahoma" w:cs="Tahoma"/>
                <w:sz w:val="14"/>
              </w:rPr>
              <w:t> </w:t>
            </w:r>
            <w:r w:rsidRPr="00653421">
              <w:rPr>
                <w:rFonts w:ascii="Tahoma" w:hAnsi="Tahoma" w:cs="Tahoma"/>
                <w:sz w:val="14"/>
              </w:rPr>
              <w:t>de</w:t>
            </w:r>
            <w:r w:rsidR="00CE72EE" w:rsidRPr="00653421">
              <w:rPr>
                <w:rFonts w:ascii="Tahoma" w:hAnsi="Tahoma" w:cs="Tahoma"/>
                <w:sz w:val="14"/>
              </w:rPr>
              <w:t> </w:t>
            </w:r>
            <w:r w:rsidRPr="00653421">
              <w:rPr>
                <w:rFonts w:ascii="Tahoma" w:hAnsi="Tahoma" w:cs="Tahoma"/>
                <w:sz w:val="14"/>
              </w:rPr>
              <w:t>Serviços)</w:t>
            </w:r>
            <w:bookmarkEnd w:id="292"/>
            <w:bookmarkEnd w:id="293"/>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b/>
                <w:color w:val="000000"/>
                <w:sz w:val="13"/>
                <w:szCs w:val="13"/>
                <w:u w:val="single"/>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vAlign w:val="bottom"/>
          </w:tcPr>
          <w:p w:rsidR="001A63C6" w:rsidRPr="00734B50" w:rsidRDefault="001A63C6" w:rsidP="001A63C6">
            <w:pPr>
              <w:pStyle w:val="ProductNames"/>
              <w:rPr>
                <w:rFonts w:ascii="Tahoma" w:hAnsi="Tahoma" w:cs="Tahoma"/>
                <w:sz w:val="14"/>
                <w:lang w:val="pt-BR"/>
              </w:rPr>
            </w:pPr>
            <w:bookmarkStart w:id="294" w:name="_Toc336337994"/>
            <w:bookmarkStart w:id="295" w:name="_Toc353470651"/>
            <w:r w:rsidRPr="00734B50">
              <w:rPr>
                <w:rFonts w:ascii="Tahoma" w:hAnsi="Tahoma" w:cs="Tahoma"/>
                <w:sz w:val="14"/>
                <w:lang w:val="pt-BR"/>
              </w:rPr>
              <w:t>Cupons de Exame do Learning Solutions MCP 1 (SL de Serviços)</w:t>
            </w:r>
            <w:bookmarkEnd w:id="294"/>
            <w:bookmarkEnd w:id="295"/>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color w:val="000000"/>
                <w:sz w:val="13"/>
                <w:szCs w:val="13"/>
                <w:u w:val="single"/>
              </w:rPr>
            </w:pPr>
            <w:hyperlink w:anchor="_63_Learning_Solutions" w:history="1">
              <w:r w:rsidR="00955428" w:rsidRPr="00CE5223">
                <w:rPr>
                  <w:rStyle w:val="Hyperlink"/>
                  <w:b/>
                  <w:sz w:val="13"/>
                  <w:szCs w:val="13"/>
                </w:rPr>
                <w:t>63</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E6271" w:rsidRPr="00653421" w:rsidTr="00BA1576">
        <w:trPr>
          <w:trHeight w:val="145"/>
        </w:trPr>
        <w:tc>
          <w:tcPr>
            <w:tcW w:w="2734" w:type="dxa"/>
            <w:gridSpan w:val="2"/>
            <w:tcBorders>
              <w:bottom w:val="single" w:sz="4" w:space="0" w:color="auto"/>
            </w:tcBorders>
            <w:shd w:val="clear" w:color="auto" w:fill="FABF8F"/>
            <w:vAlign w:val="bottom"/>
          </w:tcPr>
          <w:p w:rsidR="00BE6271" w:rsidRPr="00734B50" w:rsidRDefault="00BE6271" w:rsidP="00BE6271">
            <w:pPr>
              <w:pStyle w:val="ProductNames"/>
              <w:rPr>
                <w:rFonts w:ascii="Tahoma" w:hAnsi="Tahoma" w:cs="Tahoma"/>
                <w:sz w:val="14"/>
                <w:lang w:val="pt-BR"/>
              </w:rPr>
            </w:pPr>
            <w:bookmarkStart w:id="296" w:name="_Toc353470652"/>
            <w:r w:rsidRPr="00734B50">
              <w:rPr>
                <w:rFonts w:ascii="Tahoma" w:hAnsi="Tahoma" w:cs="Tahoma"/>
                <w:sz w:val="14"/>
                <w:lang w:val="pt-BR"/>
              </w:rPr>
              <w:t>30 Cupons de Exame do Learning Solutions MCP (SL de Usuário)</w:t>
            </w:r>
            <w:bookmarkEnd w:id="296"/>
          </w:p>
        </w:tc>
        <w:tc>
          <w:tcPr>
            <w:tcW w:w="360" w:type="dxa"/>
            <w:tcBorders>
              <w:bottom w:val="single" w:sz="4" w:space="0" w:color="auto"/>
            </w:tcBorders>
            <w:shd w:val="clear" w:color="auto" w:fill="FABF8F"/>
            <w:vAlign w:val="center"/>
          </w:tcPr>
          <w:p w:rsidR="00BE6271" w:rsidRPr="00734B50" w:rsidRDefault="00BE6271" w:rsidP="00BA1576">
            <w:pPr>
              <w:pStyle w:val="TableText"/>
              <w:widowControl w:val="0"/>
              <w:spacing w:before="30" w:after="30"/>
              <w:rPr>
                <w:b/>
                <w:sz w:val="13"/>
                <w:szCs w:val="13"/>
                <w:lang w:val="pt-BR"/>
              </w:rPr>
            </w:pPr>
          </w:p>
        </w:tc>
        <w:tc>
          <w:tcPr>
            <w:tcW w:w="450" w:type="dxa"/>
            <w:tcBorders>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75 ponto</w:t>
            </w:r>
          </w:p>
        </w:tc>
        <w:tc>
          <w:tcPr>
            <w:tcW w:w="360" w:type="dxa"/>
            <w:tcBorders>
              <w:left w:val="single" w:sz="18" w:space="0" w:color="auto"/>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540" w:type="dxa"/>
            <w:tcBorders>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r>
      <w:tr w:rsidR="00BE6271" w:rsidRPr="00653421" w:rsidTr="00BA1576">
        <w:trPr>
          <w:trHeight w:val="145"/>
        </w:trPr>
        <w:tc>
          <w:tcPr>
            <w:tcW w:w="2734" w:type="dxa"/>
            <w:gridSpan w:val="2"/>
            <w:tcBorders>
              <w:bottom w:val="single" w:sz="4" w:space="0" w:color="auto"/>
            </w:tcBorders>
            <w:shd w:val="clear" w:color="auto" w:fill="auto"/>
            <w:vAlign w:val="bottom"/>
          </w:tcPr>
          <w:p w:rsidR="00BE6271" w:rsidRPr="00734B50" w:rsidRDefault="00BE6271" w:rsidP="001A63C6">
            <w:pPr>
              <w:pStyle w:val="ProductNames"/>
              <w:rPr>
                <w:rFonts w:ascii="Tahoma" w:hAnsi="Tahoma" w:cs="Tahoma"/>
                <w:sz w:val="14"/>
                <w:lang w:val="pt-BR"/>
              </w:rPr>
            </w:pPr>
            <w:bookmarkStart w:id="297" w:name="_Toc353470653"/>
            <w:r w:rsidRPr="00734B50">
              <w:rPr>
                <w:rFonts w:ascii="Tahoma" w:hAnsi="Tahoma" w:cs="Tahoma"/>
                <w:sz w:val="14"/>
                <w:lang w:val="pt-BR"/>
              </w:rPr>
              <w:t>Licença do Site de Exame do Learning Solutions MOS 500 (SL de Serviços)</w:t>
            </w:r>
            <w:bookmarkEnd w:id="297"/>
          </w:p>
        </w:tc>
        <w:tc>
          <w:tcPr>
            <w:tcW w:w="360" w:type="dxa"/>
            <w:tcBorders>
              <w:bottom w:val="single" w:sz="4" w:space="0" w:color="auto"/>
            </w:tcBorders>
            <w:shd w:val="clear" w:color="auto" w:fill="auto"/>
            <w:vAlign w:val="center"/>
          </w:tcPr>
          <w:p w:rsidR="00BE6271" w:rsidRPr="00734B50" w:rsidRDefault="00BE6271" w:rsidP="00BA1576">
            <w:pPr>
              <w:pStyle w:val="TableText"/>
              <w:widowControl w:val="0"/>
              <w:spacing w:before="30" w:after="30"/>
              <w:rPr>
                <w:b/>
                <w:sz w:val="13"/>
                <w:szCs w:val="13"/>
                <w:lang w:val="pt-BR"/>
              </w:rPr>
            </w:pPr>
          </w:p>
        </w:tc>
        <w:tc>
          <w:tcPr>
            <w:tcW w:w="450" w:type="dxa"/>
            <w:tcBorders>
              <w:bottom w:val="single" w:sz="4"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125 ponto</w:t>
            </w:r>
          </w:p>
        </w:tc>
        <w:tc>
          <w:tcPr>
            <w:tcW w:w="360" w:type="dxa"/>
            <w:tcBorders>
              <w:left w:val="single" w:sz="18" w:space="0" w:color="auto"/>
              <w:bottom w:val="single" w:sz="4"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540" w:type="dxa"/>
            <w:tcBorders>
              <w:bottom w:val="single" w:sz="4" w:space="0" w:color="auto"/>
              <w:right w:val="single" w:sz="18"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BE6271" w:rsidRPr="00653421" w:rsidRDefault="00BE6271" w:rsidP="00BA1576">
            <w:pPr>
              <w:pStyle w:val="TableText"/>
              <w:widowControl w:val="0"/>
              <w:spacing w:before="30" w:after="30"/>
              <w:rPr>
                <w:rFonts w:ascii="Tahoma" w:hAnsi="Tahoma" w:cs="Tahoma"/>
                <w:sz w:val="13"/>
              </w:rPr>
            </w:pPr>
          </w:p>
        </w:tc>
      </w:tr>
      <w:tr w:rsidR="00BE6271" w:rsidRPr="00653421" w:rsidTr="00BA1576">
        <w:trPr>
          <w:trHeight w:val="145"/>
        </w:trPr>
        <w:tc>
          <w:tcPr>
            <w:tcW w:w="2734" w:type="dxa"/>
            <w:gridSpan w:val="2"/>
            <w:tcBorders>
              <w:bottom w:val="single" w:sz="4" w:space="0" w:color="auto"/>
            </w:tcBorders>
            <w:shd w:val="clear" w:color="auto" w:fill="FABF8F"/>
            <w:vAlign w:val="bottom"/>
          </w:tcPr>
          <w:p w:rsidR="00BE6271" w:rsidRPr="00734B50" w:rsidRDefault="00BE6271" w:rsidP="001A63C6">
            <w:pPr>
              <w:pStyle w:val="ProductNames"/>
              <w:rPr>
                <w:rFonts w:ascii="Tahoma" w:hAnsi="Tahoma" w:cs="Tahoma"/>
                <w:sz w:val="14"/>
                <w:lang w:val="pt-BR"/>
              </w:rPr>
            </w:pPr>
            <w:bookmarkStart w:id="298" w:name="_Toc353470654"/>
            <w:r w:rsidRPr="00734B50">
              <w:rPr>
                <w:rFonts w:ascii="Tahoma" w:hAnsi="Tahoma" w:cs="Tahoma"/>
                <w:sz w:val="14"/>
                <w:lang w:val="pt-BR"/>
              </w:rPr>
              <w:t>Licença do Site de Exame do Learning Solutions MTA 250 (SL de Serviços)</w:t>
            </w:r>
            <w:bookmarkEnd w:id="298"/>
          </w:p>
        </w:tc>
        <w:tc>
          <w:tcPr>
            <w:tcW w:w="360" w:type="dxa"/>
            <w:tcBorders>
              <w:bottom w:val="single" w:sz="4" w:space="0" w:color="auto"/>
            </w:tcBorders>
            <w:shd w:val="clear" w:color="auto" w:fill="FABF8F"/>
            <w:vAlign w:val="center"/>
          </w:tcPr>
          <w:p w:rsidR="00BE6271" w:rsidRPr="00734B50" w:rsidRDefault="00BE6271" w:rsidP="00BA1576">
            <w:pPr>
              <w:pStyle w:val="TableText"/>
              <w:widowControl w:val="0"/>
              <w:spacing w:before="30" w:after="30"/>
              <w:rPr>
                <w:b/>
                <w:sz w:val="13"/>
                <w:szCs w:val="13"/>
                <w:lang w:val="pt-BR"/>
              </w:rPr>
            </w:pPr>
          </w:p>
        </w:tc>
        <w:tc>
          <w:tcPr>
            <w:tcW w:w="450" w:type="dxa"/>
            <w:tcBorders>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125 ponto</w:t>
            </w:r>
          </w:p>
        </w:tc>
        <w:tc>
          <w:tcPr>
            <w:tcW w:w="360" w:type="dxa"/>
            <w:tcBorders>
              <w:left w:val="single" w:sz="18" w:space="0" w:color="auto"/>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540" w:type="dxa"/>
            <w:tcBorders>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BE6271" w:rsidRPr="00653421" w:rsidRDefault="00BE6271"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1A63C6">
            <w:pPr>
              <w:pStyle w:val="Heading2"/>
              <w:ind w:left="0"/>
              <w:rPr>
                <w:rFonts w:ascii="Tahoma" w:hAnsi="Tahoma" w:cs="Tahoma"/>
                <w:b w:val="0"/>
                <w:sz w:val="14"/>
                <w:szCs w:val="16"/>
                <w:lang w:val="pt-BR"/>
              </w:rPr>
            </w:pPr>
            <w:bookmarkStart w:id="299" w:name="_Toc336337995"/>
            <w:bookmarkStart w:id="300" w:name="_Toc353470655"/>
            <w:r w:rsidRPr="00734B50">
              <w:rPr>
                <w:rFonts w:ascii="Tahoma" w:hAnsi="Tahoma" w:cs="Tahoma"/>
                <w:b w:val="0"/>
                <w:sz w:val="14"/>
                <w:szCs w:val="16"/>
                <w:lang w:val="pt-BR"/>
              </w:rPr>
              <w:t>Lync Online Plano 1 (SL de Usuário)</w:t>
            </w:r>
            <w:bookmarkEnd w:id="299"/>
            <w:bookmarkEnd w:id="300"/>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64_Lync_Online" w:history="1">
              <w:hyperlink w:anchor="Srv_65LyncOnlinePlan1and2" w:history="1">
                <w:r w:rsidR="00955428" w:rsidRPr="00CE5223">
                  <w:rPr>
                    <w:rStyle w:val="Hyperlink"/>
                    <w:b/>
                    <w:sz w:val="13"/>
                    <w:szCs w:val="13"/>
                  </w:rPr>
                  <w:t>6</w:t>
                </w:r>
              </w:hyperlink>
              <w:r w:rsidR="00955428" w:rsidRPr="00CE5223">
                <w:rPr>
                  <w:rStyle w:val="Hyperlink"/>
                  <w:b/>
                  <w:sz w:val="13"/>
                  <w:szCs w:val="13"/>
                </w:rPr>
                <w:t>4</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E2E58"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1A63C6">
            <w:pPr>
              <w:pStyle w:val="Heading2"/>
              <w:ind w:left="0"/>
              <w:rPr>
                <w:rFonts w:ascii="Tahoma" w:hAnsi="Tahoma" w:cs="Tahoma"/>
                <w:b w:val="0"/>
                <w:sz w:val="14"/>
                <w:szCs w:val="16"/>
                <w:lang w:val="pt-BR"/>
              </w:rPr>
            </w:pPr>
            <w:bookmarkStart w:id="301" w:name="_Toc336337996"/>
            <w:bookmarkStart w:id="302" w:name="_Toc353470656"/>
            <w:r w:rsidRPr="00734B50">
              <w:rPr>
                <w:rFonts w:ascii="Tahoma" w:hAnsi="Tahoma" w:cs="Tahoma"/>
                <w:b w:val="0"/>
                <w:sz w:val="14"/>
                <w:szCs w:val="16"/>
                <w:lang w:val="pt-BR"/>
              </w:rPr>
              <w:t>Lync Online Plano 2 (SL de Usuário)</w:t>
            </w:r>
            <w:bookmarkEnd w:id="301"/>
            <w:bookmarkEnd w:id="302"/>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64_Lync_Online" w:history="1">
              <w:hyperlink w:anchor="Srv_65LyncOnlinePlan1and2" w:history="1">
                <w:r w:rsidR="00CE5223" w:rsidRPr="00CE5223">
                  <w:rPr>
                    <w:rStyle w:val="Hyperlink"/>
                    <w:b/>
                    <w:sz w:val="13"/>
                    <w:szCs w:val="13"/>
                  </w:rPr>
                  <w:t>6</w:t>
                </w:r>
              </w:hyperlink>
              <w:r w:rsidR="00CE5223" w:rsidRPr="00CE5223">
                <w:rPr>
                  <w:rStyle w:val="Hyperlink"/>
                  <w:b/>
                  <w:sz w:val="13"/>
                  <w:szCs w:val="13"/>
                </w:rPr>
                <w:t>4</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1A63C6">
            <w:pPr>
              <w:pStyle w:val="Heading2"/>
              <w:ind w:left="0"/>
              <w:rPr>
                <w:rFonts w:ascii="Tahoma" w:hAnsi="Tahoma" w:cs="Tahoma"/>
                <w:b w:val="0"/>
                <w:sz w:val="14"/>
                <w:szCs w:val="16"/>
                <w:lang w:val="pt-BR"/>
              </w:rPr>
            </w:pPr>
            <w:bookmarkStart w:id="303" w:name="_Toc336337997"/>
            <w:bookmarkStart w:id="304" w:name="_Toc353470657"/>
            <w:r w:rsidRPr="00734B50">
              <w:rPr>
                <w:rFonts w:ascii="Tahoma" w:hAnsi="Tahoma" w:cs="Tahoma"/>
                <w:b w:val="0"/>
                <w:sz w:val="14"/>
                <w:szCs w:val="16"/>
                <w:lang w:val="pt-BR"/>
              </w:rPr>
              <w:t>Lync Online Plano 3 (SL de Usuário)</w:t>
            </w:r>
            <w:bookmarkEnd w:id="303"/>
            <w:bookmarkEnd w:id="304"/>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64_Lync_Online" w:history="1">
              <w:hyperlink w:anchor="Srv_65LyncOnlinePlan1and2" w:history="1">
                <w:r w:rsidR="00CE5223" w:rsidRPr="00CE5223">
                  <w:rPr>
                    <w:rStyle w:val="Hyperlink"/>
                    <w:b/>
                    <w:sz w:val="13"/>
                    <w:szCs w:val="13"/>
                  </w:rPr>
                  <w:t>6</w:t>
                </w:r>
              </w:hyperlink>
              <w:r w:rsidR="00CE5223" w:rsidRPr="00CE5223">
                <w:rPr>
                  <w:rStyle w:val="Hyperlink"/>
                  <w:b/>
                  <w:sz w:val="13"/>
                  <w:szCs w:val="13"/>
                </w:rPr>
                <w:t>4</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E2E58"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1A63C6">
            <w:pPr>
              <w:pStyle w:val="Heading2"/>
              <w:ind w:left="0"/>
              <w:rPr>
                <w:rFonts w:ascii="Tahoma" w:hAnsi="Tahoma" w:cs="Tahoma"/>
                <w:b w:val="0"/>
                <w:sz w:val="14"/>
                <w:szCs w:val="16"/>
                <w:lang w:val="pt-BR"/>
              </w:rPr>
            </w:pPr>
            <w:bookmarkStart w:id="305" w:name="_Toc336337998"/>
            <w:bookmarkStart w:id="306" w:name="_Toc353470658"/>
            <w:r w:rsidRPr="00734B50">
              <w:rPr>
                <w:rFonts w:ascii="Tahoma" w:hAnsi="Tahoma" w:cs="Tahoma"/>
                <w:b w:val="0"/>
                <w:sz w:val="14"/>
                <w:szCs w:val="16"/>
                <w:lang w:val="pt-BR"/>
              </w:rPr>
              <w:t>Lync Online Plano 3A (SL de Usuário)</w:t>
            </w:r>
            <w:bookmarkEnd w:id="305"/>
            <w:bookmarkEnd w:id="306"/>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64_Lync_Online" w:history="1">
              <w:hyperlink w:anchor="Srv_65LyncOnlinePlan1and2" w:history="1">
                <w:r w:rsidR="00CE5223" w:rsidRPr="00CE5223">
                  <w:rPr>
                    <w:rStyle w:val="Hyperlink"/>
                    <w:b/>
                    <w:sz w:val="13"/>
                    <w:szCs w:val="13"/>
                  </w:rPr>
                  <w:t>6</w:t>
                </w:r>
              </w:hyperlink>
              <w:r w:rsidR="00CE5223" w:rsidRPr="00CE5223">
                <w:rPr>
                  <w:rStyle w:val="Hyperlink"/>
                  <w:b/>
                  <w:sz w:val="13"/>
                  <w:szCs w:val="13"/>
                </w:rPr>
                <w:t>4</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ST (Somente EES)</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ind w:left="0"/>
              <w:rPr>
                <w:rFonts w:ascii="Tahoma" w:hAnsi="Tahoma" w:cs="Tahoma"/>
                <w:b w:val="0"/>
                <w:sz w:val="14"/>
                <w:szCs w:val="16"/>
              </w:rPr>
            </w:pPr>
            <w:bookmarkStart w:id="307" w:name="_Toc336337999"/>
            <w:bookmarkStart w:id="308" w:name="_Toc353470659"/>
            <w:r w:rsidRPr="00653421">
              <w:rPr>
                <w:rFonts w:ascii="Tahoma" w:hAnsi="Tahoma" w:cs="Tahoma"/>
                <w:b w:val="0"/>
                <w:sz w:val="14"/>
                <w:szCs w:val="16"/>
              </w:rPr>
              <w:t xml:space="preserve">Lync Server </w:t>
            </w:r>
            <w:bookmarkEnd w:id="307"/>
            <w:r w:rsidRPr="00653421">
              <w:rPr>
                <w:rFonts w:ascii="Tahoma" w:hAnsi="Tahoma" w:cs="Tahoma"/>
                <w:b w:val="0"/>
                <w:sz w:val="14"/>
                <w:szCs w:val="16"/>
              </w:rPr>
              <w:t>2013</w:t>
            </w:r>
            <w:bookmarkEnd w:id="308"/>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65_Lync_Server" w:history="1">
              <w:r w:rsidR="00955428" w:rsidRPr="00CE5223">
                <w:rPr>
                  <w:rStyle w:val="Hyperlink"/>
                  <w:b/>
                  <w:sz w:val="13"/>
                  <w:szCs w:val="13"/>
                </w:rPr>
                <w:t>65</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145"/>
        </w:trPr>
        <w:tc>
          <w:tcPr>
            <w:tcW w:w="2734" w:type="dxa"/>
            <w:gridSpan w:val="2"/>
            <w:tcBorders>
              <w:bottom w:val="single" w:sz="4" w:space="0" w:color="auto"/>
            </w:tcBorders>
            <w:shd w:val="clear" w:color="auto" w:fill="FABF8F"/>
            <w:vAlign w:val="center"/>
          </w:tcPr>
          <w:p w:rsidR="001A63C6" w:rsidRPr="00734B50" w:rsidDel="006A2F66" w:rsidRDefault="001A63C6" w:rsidP="001A63C6">
            <w:pPr>
              <w:pStyle w:val="Heading2"/>
              <w:ind w:left="0"/>
              <w:rPr>
                <w:rFonts w:ascii="Tahoma" w:hAnsi="Tahoma" w:cs="Tahoma"/>
                <w:b w:val="0"/>
                <w:sz w:val="14"/>
                <w:szCs w:val="16"/>
                <w:lang w:val="pt-BR"/>
              </w:rPr>
            </w:pPr>
            <w:bookmarkStart w:id="309" w:name="_Toc336338000"/>
            <w:bookmarkStart w:id="310" w:name="_Toc353470660"/>
            <w:r w:rsidRPr="00734B50">
              <w:rPr>
                <w:rFonts w:ascii="Tahoma" w:hAnsi="Tahoma" w:cs="Tahoma"/>
                <w:b w:val="0"/>
                <w:sz w:val="14"/>
                <w:szCs w:val="16"/>
                <w:lang w:val="pt-BR"/>
              </w:rPr>
              <w:lastRenderedPageBreak/>
              <w:t>CAL Empresarial do Lync Server</w:t>
            </w:r>
            <w:bookmarkEnd w:id="309"/>
            <w:r w:rsidRPr="00734B50">
              <w:rPr>
                <w:rFonts w:ascii="Tahoma" w:hAnsi="Tahoma" w:cs="Tahoma"/>
                <w:b w:val="0"/>
                <w:sz w:val="14"/>
                <w:szCs w:val="16"/>
                <w:lang w:val="pt-BR"/>
              </w:rPr>
              <w:t xml:space="preserve"> 2013</w:t>
            </w:r>
            <w:bookmarkEnd w:id="310"/>
          </w:p>
        </w:tc>
        <w:tc>
          <w:tcPr>
            <w:tcW w:w="360" w:type="dxa"/>
            <w:tcBorders>
              <w:bottom w:val="single" w:sz="4" w:space="0" w:color="auto"/>
            </w:tcBorders>
            <w:shd w:val="clear" w:color="auto" w:fill="FABF8F"/>
            <w:vAlign w:val="center"/>
          </w:tcPr>
          <w:p w:rsidR="001A63C6" w:rsidRPr="00734B50" w:rsidDel="006A2F66" w:rsidRDefault="001A63C6" w:rsidP="00BA1576">
            <w:pPr>
              <w:pStyle w:val="TableText"/>
              <w:widowControl w:val="0"/>
              <w:spacing w:before="30" w:after="30"/>
              <w:rPr>
                <w:b/>
                <w:color w:val="0000FF"/>
                <w:sz w:val="13"/>
                <w:szCs w:val="13"/>
                <w:u w:val="single"/>
                <w:lang w:val="pt-BR"/>
              </w:rPr>
            </w:pPr>
          </w:p>
        </w:tc>
        <w:tc>
          <w:tcPr>
            <w:tcW w:w="45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vAlign w:val="center"/>
          </w:tcPr>
          <w:p w:rsidR="001A63C6" w:rsidRPr="00653421" w:rsidDel="006A2F66" w:rsidRDefault="001A63C6" w:rsidP="001A63C6">
            <w:pPr>
              <w:pStyle w:val="Heading2"/>
              <w:ind w:left="0"/>
              <w:rPr>
                <w:rFonts w:ascii="Tahoma" w:hAnsi="Tahoma" w:cs="Tahoma"/>
                <w:b w:val="0"/>
                <w:sz w:val="14"/>
                <w:szCs w:val="16"/>
              </w:rPr>
            </w:pPr>
            <w:bookmarkStart w:id="311" w:name="_Toc336338002"/>
            <w:bookmarkStart w:id="312" w:name="_Toc353470661"/>
            <w:r w:rsidRPr="00653421">
              <w:rPr>
                <w:rFonts w:ascii="Tahoma" w:hAnsi="Tahoma" w:cs="Tahoma"/>
                <w:b w:val="0"/>
                <w:sz w:val="14"/>
                <w:szCs w:val="16"/>
              </w:rPr>
              <w:t>CAL do Lync Server Plus</w:t>
            </w:r>
            <w:bookmarkEnd w:id="311"/>
            <w:r w:rsidRPr="00653421">
              <w:rPr>
                <w:rFonts w:ascii="Tahoma" w:hAnsi="Tahoma" w:cs="Tahoma"/>
                <w:b w:val="0"/>
                <w:sz w:val="14"/>
                <w:szCs w:val="16"/>
              </w:rPr>
              <w:t xml:space="preserve"> 2013</w:t>
            </w:r>
            <w:bookmarkEnd w:id="312"/>
          </w:p>
        </w:tc>
        <w:tc>
          <w:tcPr>
            <w:tcW w:w="360" w:type="dxa"/>
            <w:tcBorders>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b/>
                <w:color w:val="0000FF"/>
                <w:sz w:val="13"/>
                <w:szCs w:val="13"/>
                <w:u w:val="single"/>
              </w:rPr>
            </w:pPr>
            <w:bookmarkStart w:id="313" w:name="_Hlt335908886"/>
          </w:p>
        </w:tc>
        <w:bookmarkEnd w:id="313"/>
        <w:tc>
          <w:tcPr>
            <w:tcW w:w="450" w:type="dxa"/>
            <w:tcBorders>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145"/>
        </w:trPr>
        <w:tc>
          <w:tcPr>
            <w:tcW w:w="2734" w:type="dxa"/>
            <w:gridSpan w:val="2"/>
            <w:tcBorders>
              <w:bottom w:val="single" w:sz="4" w:space="0" w:color="auto"/>
            </w:tcBorders>
            <w:shd w:val="clear" w:color="auto" w:fill="FABF8F"/>
            <w:vAlign w:val="center"/>
          </w:tcPr>
          <w:p w:rsidR="001A63C6" w:rsidRPr="00734B50" w:rsidDel="006A2F66" w:rsidRDefault="001A63C6" w:rsidP="001A63C6">
            <w:pPr>
              <w:pStyle w:val="Heading2"/>
              <w:ind w:left="0"/>
              <w:rPr>
                <w:rFonts w:ascii="Tahoma" w:hAnsi="Tahoma" w:cs="Tahoma"/>
                <w:b w:val="0"/>
                <w:sz w:val="14"/>
                <w:szCs w:val="16"/>
                <w:lang w:val="pt-BR"/>
              </w:rPr>
            </w:pPr>
            <w:bookmarkStart w:id="314" w:name="_Toc336338005"/>
            <w:bookmarkStart w:id="315" w:name="_Toc353470662"/>
            <w:r w:rsidRPr="00734B50">
              <w:rPr>
                <w:rFonts w:ascii="Tahoma" w:hAnsi="Tahoma" w:cs="Tahoma"/>
                <w:b w:val="0"/>
                <w:sz w:val="14"/>
                <w:szCs w:val="16"/>
                <w:lang w:val="pt-BR"/>
              </w:rPr>
              <w:t>CAL Padrão do Lync Server</w:t>
            </w:r>
            <w:bookmarkEnd w:id="314"/>
            <w:r w:rsidRPr="00734B50">
              <w:rPr>
                <w:rFonts w:ascii="Tahoma" w:hAnsi="Tahoma" w:cs="Tahoma"/>
                <w:b w:val="0"/>
                <w:sz w:val="14"/>
                <w:szCs w:val="16"/>
                <w:lang w:val="pt-BR"/>
              </w:rPr>
              <w:t xml:space="preserve"> 2013</w:t>
            </w:r>
            <w:bookmarkEnd w:id="315"/>
          </w:p>
        </w:tc>
        <w:tc>
          <w:tcPr>
            <w:tcW w:w="360" w:type="dxa"/>
            <w:tcBorders>
              <w:bottom w:val="single" w:sz="4" w:space="0" w:color="auto"/>
            </w:tcBorders>
            <w:shd w:val="clear" w:color="auto" w:fill="FABF8F"/>
            <w:vAlign w:val="center"/>
          </w:tcPr>
          <w:p w:rsidR="001A63C6" w:rsidRPr="00734B50" w:rsidDel="006A2F66" w:rsidRDefault="001A63C6" w:rsidP="00BA1576">
            <w:pPr>
              <w:pStyle w:val="TableText"/>
              <w:widowControl w:val="0"/>
              <w:spacing w:before="30" w:after="30"/>
              <w:rPr>
                <w:b/>
                <w:color w:val="0000FF"/>
                <w:sz w:val="13"/>
                <w:szCs w:val="13"/>
                <w:u w:val="single"/>
                <w:lang w:val="pt-BR"/>
              </w:rPr>
            </w:pPr>
          </w:p>
        </w:tc>
        <w:tc>
          <w:tcPr>
            <w:tcW w:w="45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Del="006A2F66"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70"/>
        </w:trPr>
        <w:tc>
          <w:tcPr>
            <w:tcW w:w="2734" w:type="dxa"/>
            <w:gridSpan w:val="2"/>
            <w:tcBorders>
              <w:bottom w:val="single" w:sz="4" w:space="0" w:color="auto"/>
            </w:tcBorders>
            <w:shd w:val="clear" w:color="auto" w:fill="auto"/>
            <w:vAlign w:val="center"/>
          </w:tcPr>
          <w:p w:rsidR="001A63C6" w:rsidRPr="00734B50" w:rsidRDefault="001A63C6" w:rsidP="009D3046">
            <w:pPr>
              <w:pStyle w:val="Heading2"/>
              <w:ind w:left="0"/>
              <w:rPr>
                <w:rFonts w:ascii="Tahoma" w:hAnsi="Tahoma" w:cs="Tahoma"/>
                <w:b w:val="0"/>
                <w:sz w:val="14"/>
                <w:szCs w:val="14"/>
                <w:lang w:val="pt-BR"/>
              </w:rPr>
            </w:pPr>
            <w:bookmarkStart w:id="316" w:name="_Toc336338007"/>
            <w:bookmarkStart w:id="317" w:name="_Toc353470663"/>
            <w:r w:rsidRPr="00734B50">
              <w:rPr>
                <w:rFonts w:ascii="Tahoma" w:hAnsi="Tahoma" w:cs="Tahoma"/>
                <w:b w:val="0"/>
                <w:sz w:val="14"/>
                <w:szCs w:val="14"/>
                <w:lang w:val="pt-BR"/>
              </w:rPr>
              <w:t>CAL Empresarial Aditiva do Microsoft Dynamics AX 2012 R2 (Usuário e</w:t>
            </w:r>
            <w:r w:rsidR="009D3046" w:rsidRPr="00734B50">
              <w:rPr>
                <w:rFonts w:ascii="Tahoma" w:hAnsi="Tahoma" w:cs="Tahoma"/>
                <w:b w:val="0"/>
                <w:sz w:val="14"/>
                <w:szCs w:val="14"/>
                <w:lang w:val="pt-BR"/>
              </w:rPr>
              <w:t> </w:t>
            </w:r>
            <w:r w:rsidRPr="00734B50">
              <w:rPr>
                <w:rFonts w:ascii="Tahoma" w:hAnsi="Tahoma" w:cs="Tahoma"/>
                <w:b w:val="0"/>
                <w:sz w:val="14"/>
                <w:szCs w:val="14"/>
                <w:lang w:val="pt-BR"/>
              </w:rPr>
              <w:t>Dispositivo)</w:t>
            </w:r>
            <w:bookmarkEnd w:id="316"/>
            <w:bookmarkEnd w:id="317"/>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66_Microsoft_Dynamics_1" w:history="1">
              <w:r w:rsidR="00955428" w:rsidRPr="00653421">
                <w:rPr>
                  <w:rStyle w:val="Hyperlink"/>
                  <w:rFonts w:cs="Tahoma"/>
                  <w:b/>
                  <w:sz w:val="13"/>
                  <w:szCs w:val="13"/>
                </w:rPr>
                <w:t>66</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E2E58"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1A63C6">
            <w:pPr>
              <w:pStyle w:val="Heading2"/>
              <w:ind w:left="0"/>
              <w:rPr>
                <w:rFonts w:ascii="Tahoma" w:hAnsi="Tahoma" w:cs="Tahoma"/>
                <w:b w:val="0"/>
                <w:sz w:val="14"/>
                <w:szCs w:val="14"/>
                <w:lang w:val="pt-BR"/>
              </w:rPr>
            </w:pPr>
            <w:bookmarkStart w:id="318" w:name="_Toc336338008"/>
            <w:bookmarkStart w:id="319" w:name="_Toc353470664"/>
            <w:r w:rsidRPr="00734B50">
              <w:rPr>
                <w:rFonts w:ascii="Tahoma" w:hAnsi="Tahoma" w:cs="Tahoma"/>
                <w:b w:val="0"/>
                <w:sz w:val="14"/>
                <w:szCs w:val="14"/>
                <w:lang w:val="pt-BR"/>
              </w:rPr>
              <w:t>CAL Empresarial do Microsoft Dynamics AX 2012 R2 (Usuário e Dispositivo)</w:t>
            </w:r>
            <w:bookmarkEnd w:id="318"/>
            <w:bookmarkEnd w:id="319"/>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66_Microsoft_Dynamics_1" w:history="1">
              <w:r w:rsidR="00D36C78" w:rsidRPr="00653421">
                <w:rPr>
                  <w:rStyle w:val="Hyperlink"/>
                  <w:rFonts w:cs="Tahoma"/>
                  <w:b/>
                  <w:sz w:val="13"/>
                  <w:szCs w:val="13"/>
                </w:rPr>
                <w:t>66</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1A63C6">
            <w:pPr>
              <w:pStyle w:val="Heading2"/>
              <w:ind w:left="0"/>
              <w:rPr>
                <w:rFonts w:ascii="Tahoma" w:hAnsi="Tahoma" w:cs="Tahoma"/>
                <w:b w:val="0"/>
                <w:sz w:val="14"/>
                <w:szCs w:val="14"/>
                <w:lang w:val="pt-BR"/>
              </w:rPr>
            </w:pPr>
            <w:bookmarkStart w:id="320" w:name="_Toc336338009"/>
            <w:bookmarkStart w:id="321" w:name="_Toc353470665"/>
            <w:r w:rsidRPr="00734B50">
              <w:rPr>
                <w:rFonts w:ascii="Tahoma" w:hAnsi="Tahoma" w:cs="Tahoma"/>
                <w:b w:val="0"/>
                <w:sz w:val="14"/>
                <w:szCs w:val="14"/>
                <w:lang w:val="pt-BR"/>
              </w:rPr>
              <w:t>CAL Aditiva do Microsoft Dynamics AX 2012 R2 Funcional (Usuário e Dispositivo)</w:t>
            </w:r>
            <w:bookmarkEnd w:id="320"/>
            <w:bookmarkEnd w:id="321"/>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66_Microsoft_Dynamics_1" w:history="1">
              <w:r w:rsidR="00D36C78" w:rsidRPr="00653421">
                <w:rPr>
                  <w:rStyle w:val="Hyperlink"/>
                  <w:rFonts w:cs="Tahoma"/>
                  <w:b/>
                  <w:sz w:val="13"/>
                  <w:szCs w:val="13"/>
                </w:rPr>
                <w:t>66</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E2E58"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1A63C6">
            <w:pPr>
              <w:pStyle w:val="Heading2"/>
              <w:ind w:left="0"/>
              <w:rPr>
                <w:rFonts w:ascii="Tahoma" w:hAnsi="Tahoma" w:cs="Tahoma"/>
                <w:b w:val="0"/>
                <w:sz w:val="14"/>
                <w:szCs w:val="14"/>
                <w:lang w:val="pt-BR"/>
              </w:rPr>
            </w:pPr>
            <w:bookmarkStart w:id="322" w:name="_Toc336338010"/>
            <w:bookmarkStart w:id="323" w:name="_Toc353470666"/>
            <w:r w:rsidRPr="00734B50">
              <w:rPr>
                <w:rFonts w:ascii="Tahoma" w:hAnsi="Tahoma" w:cs="Tahoma"/>
                <w:b w:val="0"/>
                <w:sz w:val="14"/>
                <w:szCs w:val="14"/>
                <w:lang w:val="pt-BR"/>
              </w:rPr>
              <w:t>CAL Funcional do Microsoft Dynamics AX 2012 R2 (Usuário e Dispositivo)</w:t>
            </w:r>
            <w:bookmarkEnd w:id="322"/>
            <w:bookmarkEnd w:id="323"/>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66_Microsoft_Dynamics_1" w:history="1">
              <w:r w:rsidR="00D36C78" w:rsidRPr="00653421">
                <w:rPr>
                  <w:rStyle w:val="Hyperlink"/>
                  <w:rFonts w:cs="Tahoma"/>
                  <w:b/>
                  <w:sz w:val="13"/>
                  <w:szCs w:val="13"/>
                </w:rPr>
                <w:t>66</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33"/>
        </w:trPr>
        <w:tc>
          <w:tcPr>
            <w:tcW w:w="2734" w:type="dxa"/>
            <w:gridSpan w:val="2"/>
            <w:tcBorders>
              <w:bottom w:val="single" w:sz="4" w:space="0" w:color="auto"/>
            </w:tcBorders>
            <w:shd w:val="clear" w:color="auto" w:fill="auto"/>
            <w:vAlign w:val="center"/>
          </w:tcPr>
          <w:p w:rsidR="001A63C6" w:rsidRPr="00734B50" w:rsidRDefault="001A63C6" w:rsidP="001A63C6">
            <w:pPr>
              <w:pStyle w:val="Heading2"/>
              <w:ind w:left="0"/>
              <w:rPr>
                <w:rFonts w:ascii="Tahoma" w:hAnsi="Tahoma" w:cs="Tahoma"/>
                <w:b w:val="0"/>
                <w:sz w:val="14"/>
                <w:szCs w:val="14"/>
                <w:lang w:val="pt-BR"/>
              </w:rPr>
            </w:pPr>
            <w:bookmarkStart w:id="324" w:name="_Toc336338011"/>
            <w:bookmarkStart w:id="325" w:name="_Toc353470667"/>
            <w:r w:rsidRPr="00734B50">
              <w:rPr>
                <w:rFonts w:ascii="Tahoma" w:hAnsi="Tahoma" w:cs="Tahoma"/>
                <w:b w:val="0"/>
                <w:sz w:val="14"/>
                <w:szCs w:val="14"/>
                <w:lang w:val="pt-BR"/>
              </w:rPr>
              <w:t>CAL de Autoatendimento do Microsoft Dynamics AX 2012 R2 (Usuário e Dispositivo)</w:t>
            </w:r>
            <w:bookmarkEnd w:id="324"/>
            <w:bookmarkEnd w:id="325"/>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66_Microsoft_Dynamics_1" w:history="1">
              <w:r w:rsidR="00D36C78" w:rsidRPr="00653421">
                <w:rPr>
                  <w:rStyle w:val="Hyperlink"/>
                  <w:rFonts w:cs="Tahoma"/>
                  <w:b/>
                  <w:sz w:val="13"/>
                  <w:szCs w:val="13"/>
                </w:rPr>
                <w:t>66</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E2E58" w:rsidRPr="00653421" w:rsidTr="00BA1576">
        <w:trPr>
          <w:trHeight w:val="242"/>
        </w:trPr>
        <w:tc>
          <w:tcPr>
            <w:tcW w:w="2734" w:type="dxa"/>
            <w:gridSpan w:val="2"/>
            <w:tcBorders>
              <w:bottom w:val="single" w:sz="4" w:space="0" w:color="auto"/>
            </w:tcBorders>
            <w:shd w:val="clear" w:color="auto" w:fill="FABF8F"/>
            <w:vAlign w:val="center"/>
          </w:tcPr>
          <w:p w:rsidR="001A63C6" w:rsidRPr="00734B50" w:rsidRDefault="001A63C6" w:rsidP="001A63C6">
            <w:pPr>
              <w:pStyle w:val="Heading2"/>
              <w:ind w:left="0"/>
              <w:rPr>
                <w:rFonts w:ascii="Tahoma" w:hAnsi="Tahoma" w:cs="Tahoma"/>
                <w:b w:val="0"/>
                <w:sz w:val="14"/>
                <w:szCs w:val="14"/>
                <w:lang w:val="pt-BR"/>
              </w:rPr>
            </w:pPr>
            <w:bookmarkStart w:id="326" w:name="_Toc336338012"/>
            <w:bookmarkStart w:id="327" w:name="_Toc353470668"/>
            <w:r w:rsidRPr="00734B50">
              <w:rPr>
                <w:rFonts w:ascii="Tahoma" w:hAnsi="Tahoma" w:cs="Tahoma"/>
                <w:b w:val="0"/>
                <w:sz w:val="14"/>
                <w:szCs w:val="14"/>
                <w:lang w:val="pt-BR"/>
              </w:rPr>
              <w:t>Microsoft Dynamics AX 2012 R2 Server</w:t>
            </w:r>
            <w:bookmarkEnd w:id="326"/>
            <w:bookmarkEnd w:id="327"/>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66_Microsoft_Dynamics_1" w:history="1">
              <w:r w:rsidR="00D36C78" w:rsidRPr="00653421">
                <w:rPr>
                  <w:rStyle w:val="Hyperlink"/>
                  <w:rFonts w:cs="Tahoma"/>
                  <w:b/>
                  <w:sz w:val="13"/>
                  <w:szCs w:val="13"/>
                </w:rPr>
                <w:t>66</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78"/>
        </w:trPr>
        <w:tc>
          <w:tcPr>
            <w:tcW w:w="2734" w:type="dxa"/>
            <w:gridSpan w:val="2"/>
            <w:tcBorders>
              <w:bottom w:val="single" w:sz="4" w:space="0" w:color="auto"/>
            </w:tcBorders>
            <w:shd w:val="clear" w:color="auto" w:fill="auto"/>
            <w:vAlign w:val="center"/>
          </w:tcPr>
          <w:p w:rsidR="001A63C6" w:rsidRPr="00734B50" w:rsidRDefault="001A63C6" w:rsidP="001A63C6">
            <w:pPr>
              <w:pStyle w:val="Heading2"/>
              <w:ind w:left="0"/>
              <w:rPr>
                <w:rFonts w:ascii="Tahoma" w:hAnsi="Tahoma" w:cs="Tahoma"/>
                <w:b w:val="0"/>
                <w:sz w:val="14"/>
                <w:szCs w:val="14"/>
                <w:lang w:val="pt-BR"/>
              </w:rPr>
            </w:pPr>
            <w:bookmarkStart w:id="328" w:name="_Toc336338013"/>
            <w:bookmarkStart w:id="329" w:name="_Toc353470669"/>
            <w:r w:rsidRPr="00734B50">
              <w:rPr>
                <w:rFonts w:ascii="Tahoma" w:hAnsi="Tahoma" w:cs="Tahoma"/>
                <w:b w:val="0"/>
                <w:sz w:val="14"/>
                <w:szCs w:val="14"/>
                <w:lang w:val="pt-BR"/>
              </w:rPr>
              <w:t>CAL Aditiva de Tarefa do Microsoft Dynamics AX 2012 R2 (Usuário e Dispositivo)</w:t>
            </w:r>
            <w:bookmarkEnd w:id="328"/>
            <w:bookmarkEnd w:id="329"/>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66_Microsoft_Dynamics_1" w:history="1">
              <w:r w:rsidR="00D36C78" w:rsidRPr="00653421">
                <w:rPr>
                  <w:rStyle w:val="Hyperlink"/>
                  <w:rFonts w:cs="Tahoma"/>
                  <w:b/>
                  <w:sz w:val="13"/>
                  <w:szCs w:val="13"/>
                </w:rPr>
                <w:t>66</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E2E58"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1A63C6">
            <w:pPr>
              <w:pStyle w:val="Heading2"/>
              <w:ind w:left="0"/>
              <w:rPr>
                <w:rFonts w:ascii="Tahoma" w:hAnsi="Tahoma" w:cs="Tahoma"/>
                <w:b w:val="0"/>
                <w:sz w:val="14"/>
                <w:szCs w:val="14"/>
                <w:lang w:val="pt-BR"/>
              </w:rPr>
            </w:pPr>
            <w:bookmarkStart w:id="330" w:name="_Toc336338014"/>
            <w:bookmarkStart w:id="331" w:name="_Toc353470670"/>
            <w:r w:rsidRPr="00734B50">
              <w:rPr>
                <w:rFonts w:ascii="Tahoma" w:hAnsi="Tahoma" w:cs="Tahoma"/>
                <w:b w:val="0"/>
                <w:sz w:val="14"/>
                <w:szCs w:val="14"/>
                <w:lang w:val="pt-BR"/>
              </w:rPr>
              <w:t>CAL de Tarefa do Microsoft Dynamics AX 2012 R2 (Usuário e Dispositivo)</w:t>
            </w:r>
            <w:bookmarkEnd w:id="330"/>
            <w:bookmarkEnd w:id="331"/>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66_Microsoft_Dynamics_1" w:history="1">
              <w:r w:rsidR="00D36C78" w:rsidRPr="00653421">
                <w:rPr>
                  <w:rStyle w:val="Hyperlink"/>
                  <w:rFonts w:cs="Tahoma"/>
                  <w:b/>
                  <w:sz w:val="13"/>
                  <w:szCs w:val="13"/>
                </w:rPr>
                <w:t>66</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1A63C6">
            <w:pPr>
              <w:pStyle w:val="Heading2"/>
              <w:ind w:left="0"/>
              <w:rPr>
                <w:rFonts w:ascii="Tahoma" w:hAnsi="Tahoma" w:cs="Tahoma"/>
                <w:b w:val="0"/>
                <w:sz w:val="14"/>
                <w:szCs w:val="14"/>
                <w:lang w:val="pt-BR"/>
              </w:rPr>
            </w:pPr>
            <w:bookmarkStart w:id="332" w:name="_Toc336338015"/>
            <w:bookmarkStart w:id="333" w:name="_Toc353470671"/>
            <w:r w:rsidRPr="00734B50">
              <w:rPr>
                <w:rFonts w:ascii="Tahoma" w:hAnsi="Tahoma" w:cs="Tahoma"/>
                <w:b w:val="0"/>
                <w:sz w:val="14"/>
                <w:szCs w:val="14"/>
                <w:lang w:val="pt-BR"/>
              </w:rPr>
              <w:t>CAL do Microsoft Dynamics CRM 2011 (Usuário e Dispositivo)</w:t>
            </w:r>
            <w:bookmarkEnd w:id="332"/>
            <w:bookmarkEnd w:id="333"/>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67_Microsoft_Dynamics" w:history="1">
              <w:r w:rsidR="002E59B1" w:rsidRPr="00653421">
                <w:rPr>
                  <w:rStyle w:val="Hyperlink"/>
                  <w:b/>
                  <w:sz w:val="13"/>
                  <w:szCs w:val="13"/>
                </w:rPr>
                <w:t>67</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r w:rsidR="00746FF7" w:rsidRPr="00653421">
              <w:rPr>
                <w:rFonts w:ascii="Tahoma" w:hAnsi="Tahoma" w:cs="Tahoma"/>
                <w:sz w:val="13"/>
              </w:rPr>
              <w:t xml:space="preserve"> </w:t>
            </w:r>
            <w:r w:rsidRPr="00653421">
              <w:rPr>
                <w:rFonts w:ascii="Tahoma" w:hAnsi="Tahoma" w:cs="Tahoma"/>
                <w:sz w:val="13"/>
              </w:rPr>
              <w:t>OV</w:t>
            </w:r>
          </w:p>
        </w:tc>
      </w:tr>
      <w:tr w:rsidR="00BE2E58"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9D3046">
            <w:pPr>
              <w:pStyle w:val="Heading2"/>
              <w:ind w:left="0"/>
              <w:rPr>
                <w:rFonts w:ascii="Tahoma" w:hAnsi="Tahoma" w:cs="Tahoma"/>
                <w:b w:val="0"/>
                <w:sz w:val="14"/>
                <w:szCs w:val="14"/>
                <w:lang w:val="pt-BR"/>
              </w:rPr>
            </w:pPr>
            <w:bookmarkStart w:id="334" w:name="_Toc336338016"/>
            <w:bookmarkStart w:id="335" w:name="_Toc353470672"/>
            <w:r w:rsidRPr="00734B50">
              <w:rPr>
                <w:rFonts w:ascii="Tahoma" w:hAnsi="Tahoma" w:cs="Tahoma"/>
                <w:b w:val="0"/>
                <w:sz w:val="14"/>
                <w:szCs w:val="14"/>
                <w:lang w:val="pt-BR"/>
              </w:rPr>
              <w:t>CAL do Microsoft Dynamics CRM 2011 Employee Self Service (Usuário</w:t>
            </w:r>
            <w:r w:rsidR="009D3046" w:rsidRPr="00734B50">
              <w:rPr>
                <w:rFonts w:ascii="Tahoma" w:hAnsi="Tahoma" w:cs="Tahoma"/>
                <w:b w:val="0"/>
                <w:sz w:val="14"/>
                <w:szCs w:val="14"/>
                <w:lang w:val="pt-BR"/>
              </w:rPr>
              <w:t> </w:t>
            </w:r>
            <w:r w:rsidRPr="00734B50">
              <w:rPr>
                <w:rFonts w:ascii="Tahoma" w:hAnsi="Tahoma" w:cs="Tahoma"/>
                <w:b w:val="0"/>
                <w:sz w:val="14"/>
                <w:szCs w:val="14"/>
                <w:lang w:val="pt-BR"/>
              </w:rPr>
              <w:t>e</w:t>
            </w:r>
            <w:r w:rsidR="009D3046" w:rsidRPr="00734B50">
              <w:rPr>
                <w:rFonts w:ascii="Tahoma" w:hAnsi="Tahoma" w:cs="Tahoma"/>
                <w:b w:val="0"/>
                <w:sz w:val="14"/>
                <w:szCs w:val="14"/>
                <w:lang w:val="pt-BR"/>
              </w:rPr>
              <w:t> </w:t>
            </w:r>
            <w:r w:rsidRPr="00734B50">
              <w:rPr>
                <w:rFonts w:ascii="Tahoma" w:hAnsi="Tahoma" w:cs="Tahoma"/>
                <w:b w:val="0"/>
                <w:sz w:val="14"/>
                <w:szCs w:val="14"/>
                <w:lang w:val="pt-BR"/>
              </w:rPr>
              <w:t>Dispositivo)</w:t>
            </w:r>
            <w:bookmarkEnd w:id="334"/>
            <w:bookmarkEnd w:id="335"/>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67_Microsoft_Dynamics" w:history="1">
              <w:r w:rsidR="00D36C78" w:rsidRPr="00653421">
                <w:rPr>
                  <w:rStyle w:val="Hyperlink"/>
                  <w:b/>
                  <w:sz w:val="13"/>
                  <w:szCs w:val="13"/>
                </w:rPr>
                <w:t>67</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r w:rsidR="00746FF7" w:rsidRPr="00653421">
              <w:rPr>
                <w:rFonts w:ascii="Tahoma" w:hAnsi="Tahoma" w:cs="Tahoma"/>
                <w:sz w:val="13"/>
              </w:rPr>
              <w:t xml:space="preserve"> </w:t>
            </w:r>
            <w:r w:rsidRPr="00653421">
              <w:rPr>
                <w:rFonts w:ascii="Tahoma" w:hAnsi="Tahoma" w:cs="Tahoma"/>
                <w:sz w:val="13"/>
              </w:rPr>
              <w:t>OV</w:t>
            </w:r>
          </w:p>
        </w:tc>
      </w:tr>
      <w:tr w:rsidR="00B33D0E"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1A63C6">
            <w:pPr>
              <w:pStyle w:val="Heading2"/>
              <w:ind w:left="0"/>
              <w:rPr>
                <w:rFonts w:ascii="Tahoma" w:hAnsi="Tahoma" w:cs="Tahoma"/>
                <w:b w:val="0"/>
                <w:sz w:val="14"/>
                <w:szCs w:val="14"/>
                <w:lang w:val="pt-BR"/>
              </w:rPr>
            </w:pPr>
            <w:bookmarkStart w:id="336" w:name="_Toc336338017"/>
            <w:bookmarkStart w:id="337" w:name="_Toc353470673"/>
            <w:r w:rsidRPr="00734B50">
              <w:rPr>
                <w:rFonts w:ascii="Tahoma" w:hAnsi="Tahoma" w:cs="Tahoma"/>
                <w:b w:val="0"/>
                <w:sz w:val="14"/>
                <w:szCs w:val="14"/>
                <w:lang w:val="pt-BR"/>
              </w:rPr>
              <w:t>Conector Externo para Microsoft Dynamics CRM 2011</w:t>
            </w:r>
            <w:bookmarkEnd w:id="336"/>
            <w:bookmarkEnd w:id="337"/>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67_Microsoft_Dynamics" w:history="1">
              <w:r w:rsidR="00D36C78" w:rsidRPr="00653421">
                <w:rPr>
                  <w:rStyle w:val="Hyperlink"/>
                  <w:b/>
                  <w:sz w:val="13"/>
                  <w:szCs w:val="13"/>
                </w:rPr>
                <w:t>67</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9D3046">
            <w:pPr>
              <w:pStyle w:val="Heading2"/>
              <w:ind w:left="0"/>
              <w:rPr>
                <w:rFonts w:ascii="Tahoma" w:hAnsi="Tahoma" w:cs="Tahoma"/>
                <w:b w:val="0"/>
                <w:sz w:val="14"/>
                <w:szCs w:val="14"/>
                <w:lang w:val="pt-BR"/>
              </w:rPr>
            </w:pPr>
            <w:bookmarkStart w:id="338" w:name="_Toc336338018"/>
            <w:bookmarkStart w:id="339" w:name="_Toc353470674"/>
            <w:r w:rsidRPr="00734B50">
              <w:rPr>
                <w:rFonts w:ascii="Tahoma" w:hAnsi="Tahoma" w:cs="Tahoma"/>
                <w:b w:val="0"/>
                <w:sz w:val="14"/>
                <w:szCs w:val="14"/>
                <w:lang w:val="pt-BR"/>
              </w:rPr>
              <w:t>CAL Adicional de Uso Completo do Microsoft Dynamics CRM 2011 (Usuário</w:t>
            </w:r>
            <w:r w:rsidR="009D3046" w:rsidRPr="00734B50">
              <w:rPr>
                <w:rFonts w:ascii="Tahoma" w:hAnsi="Tahoma" w:cs="Tahoma"/>
                <w:b w:val="0"/>
                <w:sz w:val="14"/>
                <w:szCs w:val="14"/>
                <w:lang w:val="pt-BR"/>
              </w:rPr>
              <w:t> </w:t>
            </w:r>
            <w:r w:rsidRPr="00734B50">
              <w:rPr>
                <w:rFonts w:ascii="Tahoma" w:hAnsi="Tahoma" w:cs="Tahoma"/>
                <w:b w:val="0"/>
                <w:sz w:val="14"/>
                <w:szCs w:val="14"/>
                <w:lang w:val="pt-BR"/>
              </w:rPr>
              <w:t>e</w:t>
            </w:r>
            <w:r w:rsidR="009D3046" w:rsidRPr="00734B50">
              <w:rPr>
                <w:rFonts w:ascii="Tahoma" w:hAnsi="Tahoma" w:cs="Tahoma"/>
                <w:b w:val="0"/>
                <w:sz w:val="14"/>
                <w:szCs w:val="14"/>
                <w:lang w:val="pt-BR"/>
              </w:rPr>
              <w:t> </w:t>
            </w:r>
            <w:r w:rsidRPr="00734B50">
              <w:rPr>
                <w:rFonts w:ascii="Tahoma" w:hAnsi="Tahoma" w:cs="Tahoma"/>
                <w:b w:val="0"/>
                <w:sz w:val="14"/>
                <w:szCs w:val="14"/>
                <w:lang w:val="pt-BR"/>
              </w:rPr>
              <w:t>Dispositivo)</w:t>
            </w:r>
            <w:bookmarkEnd w:id="338"/>
            <w:bookmarkEnd w:id="339"/>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67_Microsoft_Dynamics" w:history="1">
              <w:r w:rsidR="00D36C78" w:rsidRPr="00653421">
                <w:rPr>
                  <w:rStyle w:val="Hyperlink"/>
                  <w:b/>
                  <w:sz w:val="13"/>
                  <w:szCs w:val="13"/>
                </w:rPr>
                <w:t>67</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r w:rsidR="00746FF7" w:rsidRPr="00653421">
              <w:rPr>
                <w:rFonts w:ascii="Tahoma" w:hAnsi="Tahoma" w:cs="Tahoma"/>
                <w:sz w:val="13"/>
              </w:rPr>
              <w:t xml:space="preserve"> </w:t>
            </w:r>
            <w:r w:rsidRPr="00653421">
              <w:rPr>
                <w:rFonts w:ascii="Tahoma" w:hAnsi="Tahoma" w:cs="Tahoma"/>
                <w:sz w:val="13"/>
              </w:rPr>
              <w:t>OV</w:t>
            </w: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1A63C6">
            <w:pPr>
              <w:pStyle w:val="Heading2"/>
              <w:ind w:left="0"/>
              <w:rPr>
                <w:rFonts w:ascii="Tahoma" w:hAnsi="Tahoma" w:cs="Tahoma"/>
                <w:b w:val="0"/>
                <w:sz w:val="14"/>
                <w:szCs w:val="14"/>
                <w:lang w:val="pt-BR"/>
              </w:rPr>
            </w:pPr>
            <w:bookmarkStart w:id="340" w:name="_Toc336338019"/>
            <w:bookmarkStart w:id="341" w:name="_Toc353470675"/>
            <w:r w:rsidRPr="00734B50">
              <w:rPr>
                <w:rFonts w:ascii="Tahoma" w:hAnsi="Tahoma" w:cs="Tahoma"/>
                <w:b w:val="0"/>
                <w:sz w:val="14"/>
                <w:szCs w:val="14"/>
                <w:lang w:val="pt-BR"/>
              </w:rPr>
              <w:t>CAL Limitada para Microsoft Dynamics CRM 2011 (Usuários e Dispositivo)</w:t>
            </w:r>
            <w:bookmarkEnd w:id="340"/>
            <w:bookmarkEnd w:id="341"/>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67_Microsoft_Dynamics" w:history="1">
              <w:r w:rsidR="00D36C78" w:rsidRPr="00653421">
                <w:rPr>
                  <w:rStyle w:val="Hyperlink"/>
                  <w:b/>
                  <w:sz w:val="13"/>
                  <w:szCs w:val="13"/>
                </w:rPr>
                <w:t>67</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r w:rsidR="00746FF7" w:rsidRPr="00653421">
              <w:rPr>
                <w:rFonts w:ascii="Tahoma" w:hAnsi="Tahoma" w:cs="Tahoma"/>
                <w:sz w:val="13"/>
              </w:rPr>
              <w:t xml:space="preserve"> </w:t>
            </w:r>
            <w:r w:rsidRPr="00653421">
              <w:rPr>
                <w:rFonts w:ascii="Tahoma" w:hAnsi="Tahoma" w:cs="Tahoma"/>
                <w:sz w:val="13"/>
              </w:rPr>
              <w:t>OV</w:t>
            </w: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9D3046">
            <w:pPr>
              <w:pStyle w:val="Heading2"/>
              <w:ind w:left="0"/>
              <w:rPr>
                <w:rFonts w:ascii="Tahoma" w:hAnsi="Tahoma" w:cs="Tahoma"/>
                <w:b w:val="0"/>
                <w:sz w:val="14"/>
                <w:szCs w:val="14"/>
                <w:lang w:val="pt-BR"/>
              </w:rPr>
            </w:pPr>
            <w:bookmarkStart w:id="342" w:name="_Toc336338020"/>
            <w:bookmarkStart w:id="343" w:name="_Toc353470676"/>
            <w:r w:rsidRPr="00734B50">
              <w:rPr>
                <w:rFonts w:ascii="Tahoma" w:hAnsi="Tahoma" w:cs="Tahoma"/>
                <w:b w:val="0"/>
                <w:sz w:val="14"/>
                <w:szCs w:val="14"/>
                <w:lang w:val="pt-BR"/>
              </w:rPr>
              <w:t>CAL Adicional de Uso Limitado do Microsoft</w:t>
            </w:r>
            <w:r w:rsidR="009D3046" w:rsidRPr="00734B50">
              <w:rPr>
                <w:rFonts w:ascii="Tahoma" w:hAnsi="Tahoma" w:cs="Tahoma"/>
                <w:b w:val="0"/>
                <w:sz w:val="14"/>
                <w:szCs w:val="14"/>
                <w:lang w:val="pt-BR"/>
              </w:rPr>
              <w:t> </w:t>
            </w:r>
            <w:r w:rsidRPr="00734B50">
              <w:rPr>
                <w:rFonts w:ascii="Tahoma" w:hAnsi="Tahoma" w:cs="Tahoma"/>
                <w:b w:val="0"/>
                <w:sz w:val="14"/>
                <w:szCs w:val="14"/>
                <w:lang w:val="pt-BR"/>
              </w:rPr>
              <w:t>Dynamics CRM 2011 (Usuário</w:t>
            </w:r>
            <w:r w:rsidR="009D3046" w:rsidRPr="00734B50">
              <w:rPr>
                <w:rFonts w:ascii="Tahoma" w:hAnsi="Tahoma" w:cs="Tahoma"/>
                <w:b w:val="0"/>
                <w:sz w:val="14"/>
                <w:szCs w:val="14"/>
                <w:lang w:val="pt-BR"/>
              </w:rPr>
              <w:t> </w:t>
            </w:r>
            <w:r w:rsidRPr="00734B50">
              <w:rPr>
                <w:rFonts w:ascii="Tahoma" w:hAnsi="Tahoma" w:cs="Tahoma"/>
                <w:b w:val="0"/>
                <w:sz w:val="14"/>
                <w:szCs w:val="14"/>
                <w:lang w:val="pt-BR"/>
              </w:rPr>
              <w:t>e</w:t>
            </w:r>
            <w:r w:rsidR="009D3046" w:rsidRPr="00734B50">
              <w:rPr>
                <w:rFonts w:ascii="Tahoma" w:hAnsi="Tahoma" w:cs="Tahoma"/>
                <w:b w:val="0"/>
                <w:sz w:val="14"/>
                <w:szCs w:val="14"/>
                <w:lang w:val="pt-BR"/>
              </w:rPr>
              <w:t> </w:t>
            </w:r>
            <w:r w:rsidRPr="00734B50">
              <w:rPr>
                <w:rFonts w:ascii="Tahoma" w:hAnsi="Tahoma" w:cs="Tahoma"/>
                <w:b w:val="0"/>
                <w:sz w:val="14"/>
                <w:szCs w:val="14"/>
                <w:lang w:val="pt-BR"/>
              </w:rPr>
              <w:t>Dispositivo)</w:t>
            </w:r>
            <w:bookmarkEnd w:id="342"/>
            <w:bookmarkEnd w:id="343"/>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67_Microsoft_Dynamics" w:history="1">
              <w:r w:rsidR="00D36C78" w:rsidRPr="00653421">
                <w:rPr>
                  <w:rStyle w:val="Hyperlink"/>
                  <w:b/>
                  <w:sz w:val="13"/>
                  <w:szCs w:val="13"/>
                </w:rPr>
                <w:t>67</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ind w:left="0"/>
              <w:rPr>
                <w:rFonts w:ascii="Tahoma" w:hAnsi="Tahoma" w:cs="Tahoma"/>
                <w:b w:val="0"/>
                <w:sz w:val="14"/>
                <w:szCs w:val="14"/>
              </w:rPr>
            </w:pPr>
            <w:bookmarkStart w:id="344" w:name="_Toc336338021"/>
            <w:bookmarkStart w:id="345" w:name="_Toc353470677"/>
            <w:r w:rsidRPr="00653421">
              <w:rPr>
                <w:rFonts w:ascii="Tahoma" w:hAnsi="Tahoma" w:cs="Tahoma"/>
                <w:b w:val="0"/>
                <w:sz w:val="14"/>
                <w:szCs w:val="14"/>
              </w:rPr>
              <w:t>Microsoft Dynamics CRM Server 2011</w:t>
            </w:r>
            <w:bookmarkEnd w:id="344"/>
            <w:bookmarkEnd w:id="345"/>
            <w:r w:rsidRPr="00653421">
              <w:rPr>
                <w:rFonts w:ascii="Tahoma" w:hAnsi="Tahoma" w:cs="Tahoma"/>
                <w:b w:val="0"/>
                <w:sz w:val="14"/>
                <w:szCs w:val="14"/>
              </w:rPr>
              <w:t xml:space="preserve"> </w:t>
            </w:r>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66_Microsoft_Dynamics" w:history="1">
              <w:r w:rsidR="00955428" w:rsidRPr="00653421">
                <w:rPr>
                  <w:rStyle w:val="Hyperlink"/>
                  <w:b/>
                  <w:sz w:val="13"/>
                  <w:szCs w:val="13"/>
                </w:rPr>
                <w:t>68</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r w:rsidR="00746FF7" w:rsidRPr="00653421">
              <w:rPr>
                <w:rFonts w:ascii="Tahoma" w:hAnsi="Tahoma" w:cs="Tahoma"/>
                <w:sz w:val="13"/>
              </w:rPr>
              <w:t xml:space="preserve"> </w:t>
            </w:r>
            <w:r w:rsidRPr="00653421">
              <w:rPr>
                <w:rFonts w:ascii="Tahoma" w:hAnsi="Tahoma" w:cs="Tahoma"/>
                <w:sz w:val="13"/>
              </w:rPr>
              <w:t>OV</w:t>
            </w: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1A63C6">
            <w:pPr>
              <w:pStyle w:val="Heading2"/>
              <w:ind w:left="0"/>
              <w:rPr>
                <w:rFonts w:ascii="Tahoma" w:hAnsi="Tahoma" w:cs="Tahoma"/>
                <w:b w:val="0"/>
                <w:sz w:val="14"/>
                <w:szCs w:val="14"/>
              </w:rPr>
            </w:pPr>
            <w:bookmarkStart w:id="346" w:name="_Toc336338022"/>
            <w:bookmarkStart w:id="347" w:name="_Toc353470678"/>
            <w:r w:rsidRPr="00653421">
              <w:rPr>
                <w:rFonts w:ascii="Tahoma" w:hAnsi="Tahoma" w:cs="Tahoma"/>
                <w:b w:val="0"/>
                <w:sz w:val="14"/>
                <w:szCs w:val="14"/>
              </w:rPr>
              <w:t>Microsoft Dynamics CRM Workgroup Server 2011</w:t>
            </w:r>
            <w:bookmarkEnd w:id="346"/>
            <w:bookmarkEnd w:id="347"/>
            <w:r w:rsidRPr="00653421">
              <w:rPr>
                <w:rFonts w:ascii="Tahoma" w:hAnsi="Tahoma" w:cs="Tahoma"/>
                <w:b w:val="0"/>
                <w:sz w:val="14"/>
                <w:szCs w:val="14"/>
              </w:rPr>
              <w:t xml:space="preserve"> </w:t>
            </w:r>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66_Microsoft_Dynamics" w:history="1">
              <w:r w:rsidR="00D36C78" w:rsidRPr="00653421">
                <w:rPr>
                  <w:rStyle w:val="Hyperlink"/>
                  <w:b/>
                  <w:sz w:val="13"/>
                  <w:szCs w:val="13"/>
                </w:rPr>
                <w:t>68</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60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r w:rsidR="00746FF7" w:rsidRPr="00653421">
              <w:rPr>
                <w:rFonts w:ascii="Tahoma" w:hAnsi="Tahoma" w:cs="Tahoma"/>
                <w:sz w:val="13"/>
              </w:rPr>
              <w:t xml:space="preserve"> </w:t>
            </w:r>
            <w:r w:rsidRPr="00653421">
              <w:rPr>
                <w:rFonts w:ascii="Tahoma" w:hAnsi="Tahoma" w:cs="Tahoma"/>
                <w:sz w:val="13"/>
              </w:rPr>
              <w:t>OV</w:t>
            </w:r>
          </w:p>
        </w:tc>
      </w:tr>
      <w:tr w:rsidR="001A63C6" w:rsidRPr="00653421" w:rsidDel="00436016"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1A63C6">
            <w:pPr>
              <w:pStyle w:val="Heading2"/>
              <w:ind w:left="-15" w:firstLine="15"/>
              <w:rPr>
                <w:rFonts w:ascii="Tahoma" w:hAnsi="Tahoma" w:cs="Tahoma"/>
                <w:b w:val="0"/>
                <w:sz w:val="14"/>
                <w:szCs w:val="16"/>
                <w:lang w:val="pt-BR"/>
              </w:rPr>
            </w:pPr>
            <w:bookmarkStart w:id="348" w:name="_Toc336338023"/>
            <w:bookmarkStart w:id="349" w:name="_Toc353470679"/>
            <w:r w:rsidRPr="00734B50">
              <w:rPr>
                <w:rFonts w:ascii="Tahoma" w:hAnsi="Tahoma" w:cs="Tahoma"/>
                <w:b w:val="0"/>
                <w:sz w:val="14"/>
                <w:szCs w:val="14"/>
                <w:lang w:val="pt-BR"/>
              </w:rPr>
              <w:t>API do Tradutor da Microsoft</w:t>
            </w:r>
            <w:bookmarkEnd w:id="348"/>
            <w:bookmarkEnd w:id="349"/>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b/>
                <w:color w:val="0000FF"/>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r>
      <w:tr w:rsidR="006D1AA6" w:rsidRPr="00653421" w:rsidDel="00436016" w:rsidTr="00BA1576">
        <w:trPr>
          <w:trHeight w:val="145"/>
        </w:trPr>
        <w:tc>
          <w:tcPr>
            <w:tcW w:w="2734" w:type="dxa"/>
            <w:gridSpan w:val="2"/>
            <w:tcBorders>
              <w:bottom w:val="single" w:sz="4" w:space="0" w:color="auto"/>
            </w:tcBorders>
            <w:shd w:val="clear" w:color="auto" w:fill="FABF8F"/>
            <w:vAlign w:val="center"/>
          </w:tcPr>
          <w:p w:rsidR="006D1AA6" w:rsidRPr="00653421" w:rsidRDefault="006D1AA6" w:rsidP="009D3046">
            <w:pPr>
              <w:pStyle w:val="Heading2"/>
              <w:ind w:left="-15" w:firstLine="15"/>
              <w:rPr>
                <w:rFonts w:ascii="Tahoma" w:hAnsi="Tahoma" w:cs="Tahoma"/>
                <w:b w:val="0"/>
                <w:sz w:val="14"/>
                <w:szCs w:val="14"/>
              </w:rPr>
            </w:pPr>
            <w:bookmarkStart w:id="350" w:name="_Toc353470680"/>
            <w:r w:rsidRPr="00653421">
              <w:rPr>
                <w:rFonts w:ascii="Tahoma" w:hAnsi="Tahoma" w:cs="Tahoma"/>
                <w:b w:val="0"/>
                <w:sz w:val="14"/>
                <w:szCs w:val="14"/>
              </w:rPr>
              <w:t>Office 365 Midsize Business (SL</w:t>
            </w:r>
            <w:r w:rsidR="009D3046" w:rsidRPr="00653421">
              <w:rPr>
                <w:rFonts w:ascii="Tahoma" w:hAnsi="Tahoma" w:cs="Tahoma"/>
                <w:b w:val="0"/>
                <w:sz w:val="14"/>
                <w:szCs w:val="14"/>
              </w:rPr>
              <w:t> </w:t>
            </w:r>
            <w:r w:rsidRPr="00653421">
              <w:rPr>
                <w:rFonts w:ascii="Tahoma" w:hAnsi="Tahoma" w:cs="Tahoma"/>
                <w:b w:val="0"/>
                <w:sz w:val="14"/>
                <w:szCs w:val="14"/>
              </w:rPr>
              <w:t>de</w:t>
            </w:r>
            <w:r w:rsidR="009D3046" w:rsidRPr="00653421">
              <w:rPr>
                <w:rFonts w:ascii="Tahoma" w:hAnsi="Tahoma" w:cs="Tahoma"/>
                <w:b w:val="0"/>
                <w:sz w:val="14"/>
                <w:szCs w:val="14"/>
              </w:rPr>
              <w:t> </w:t>
            </w:r>
            <w:r w:rsidRPr="00653421">
              <w:rPr>
                <w:rFonts w:ascii="Tahoma" w:hAnsi="Tahoma" w:cs="Tahoma"/>
                <w:b w:val="0"/>
                <w:sz w:val="14"/>
                <w:szCs w:val="14"/>
              </w:rPr>
              <w:t>Usuário)</w:t>
            </w:r>
            <w:bookmarkEnd w:id="350"/>
          </w:p>
        </w:tc>
        <w:tc>
          <w:tcPr>
            <w:tcW w:w="360" w:type="dxa"/>
            <w:tcBorders>
              <w:bottom w:val="single" w:sz="4" w:space="0" w:color="auto"/>
            </w:tcBorders>
            <w:shd w:val="clear" w:color="auto" w:fill="FABF8F"/>
            <w:vAlign w:val="center"/>
          </w:tcPr>
          <w:p w:rsidR="006D1AA6" w:rsidRPr="00653421" w:rsidRDefault="006D1AA6" w:rsidP="00BA1576">
            <w:pPr>
              <w:pStyle w:val="TableText"/>
              <w:widowControl w:val="0"/>
              <w:spacing w:before="30" w:after="30"/>
              <w:rPr>
                <w:b/>
                <w:color w:val="0000FF"/>
                <w:sz w:val="13"/>
                <w:szCs w:val="13"/>
                <w:u w:val="single"/>
              </w:rPr>
            </w:pPr>
          </w:p>
        </w:tc>
        <w:tc>
          <w:tcPr>
            <w:tcW w:w="450" w:type="dxa"/>
            <w:tcBorders>
              <w:bottom w:val="single" w:sz="4" w:space="0" w:color="auto"/>
            </w:tcBorders>
            <w:shd w:val="clear" w:color="auto" w:fill="FABF8F"/>
            <w:vAlign w:val="center"/>
          </w:tcPr>
          <w:p w:rsidR="006D1AA6" w:rsidRPr="00653421" w:rsidRDefault="006D1AA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653421" w:rsidRDefault="006D1AA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p>
        </w:tc>
        <w:tc>
          <w:tcPr>
            <w:tcW w:w="1170" w:type="dxa"/>
            <w:gridSpan w:val="3"/>
            <w:tcBorders>
              <w:left w:val="single" w:sz="18" w:space="0" w:color="auto"/>
              <w:bottom w:val="single" w:sz="4" w:space="0" w:color="auto"/>
              <w:right w:val="single" w:sz="18"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6D1AA6" w:rsidRPr="00653421" w:rsidRDefault="006D1AA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6D1AA6" w:rsidRPr="00653421" w:rsidRDefault="006D1AA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6D1AA6" w:rsidRPr="00653421" w:rsidDel="00436016" w:rsidRDefault="006D1AA6" w:rsidP="00BA1576">
            <w:pPr>
              <w:pStyle w:val="TableText"/>
              <w:widowControl w:val="0"/>
              <w:spacing w:before="30" w:after="30"/>
              <w:rPr>
                <w:rFonts w:ascii="Tahoma" w:hAnsi="Tahoma" w:cs="Tahoma"/>
                <w:sz w:val="13"/>
              </w:rPr>
            </w:pPr>
            <w:r w:rsidRPr="00653421">
              <w:rPr>
                <w:rFonts w:ascii="Tahoma" w:hAnsi="Tahoma" w:cs="Tahoma"/>
                <w:sz w:val="13"/>
              </w:rPr>
              <w:t>LO/</w:t>
            </w:r>
            <w:r w:rsidR="00746FF7" w:rsidRPr="00653421">
              <w:rPr>
                <w:rFonts w:ascii="Tahoma" w:hAnsi="Tahoma" w:cs="Tahoma"/>
                <w:sz w:val="13"/>
              </w:rPr>
              <w:t xml:space="preserve"> </w:t>
            </w:r>
            <w:r w:rsidRPr="00653421">
              <w:rPr>
                <w:rFonts w:ascii="Tahoma" w:hAnsi="Tahoma" w:cs="Tahoma"/>
                <w:sz w:val="13"/>
              </w:rPr>
              <w:t>OV</w:t>
            </w:r>
          </w:p>
        </w:tc>
      </w:tr>
      <w:tr w:rsidR="00B33D0E" w:rsidRPr="00653421" w:rsidDel="00436016" w:rsidTr="00BA1576">
        <w:trPr>
          <w:trHeight w:val="145"/>
        </w:trPr>
        <w:tc>
          <w:tcPr>
            <w:tcW w:w="2734" w:type="dxa"/>
            <w:gridSpan w:val="2"/>
            <w:tcBorders>
              <w:bottom w:val="single" w:sz="4" w:space="0" w:color="auto"/>
            </w:tcBorders>
            <w:shd w:val="clear" w:color="auto" w:fill="FFFFFF"/>
            <w:vAlign w:val="center"/>
          </w:tcPr>
          <w:p w:rsidR="001A63C6" w:rsidRPr="00653421" w:rsidRDefault="001A63C6" w:rsidP="001A63C6">
            <w:pPr>
              <w:pStyle w:val="Heading2"/>
              <w:ind w:left="-15" w:firstLine="15"/>
              <w:rPr>
                <w:rFonts w:ascii="Tahoma" w:hAnsi="Tahoma" w:cs="Tahoma"/>
                <w:b w:val="0"/>
                <w:sz w:val="14"/>
                <w:szCs w:val="16"/>
              </w:rPr>
            </w:pPr>
            <w:bookmarkStart w:id="351" w:name="_Toc336338024"/>
            <w:bookmarkStart w:id="352" w:name="_Toc353470681"/>
            <w:r w:rsidRPr="00653421">
              <w:rPr>
                <w:rFonts w:ascii="Tahoma" w:hAnsi="Tahoma" w:cs="Tahoma"/>
                <w:b w:val="0"/>
                <w:sz w:val="14"/>
                <w:szCs w:val="16"/>
              </w:rPr>
              <w:t>Office 365 Education A2 (SL de Usuário)</w:t>
            </w:r>
            <w:bookmarkEnd w:id="351"/>
            <w:bookmarkEnd w:id="352"/>
          </w:p>
        </w:tc>
        <w:tc>
          <w:tcPr>
            <w:tcW w:w="360" w:type="dxa"/>
            <w:tcBorders>
              <w:bottom w:val="single" w:sz="4" w:space="0" w:color="auto"/>
            </w:tcBorders>
            <w:shd w:val="clear" w:color="auto" w:fill="FFFFFF"/>
            <w:vAlign w:val="center"/>
          </w:tcPr>
          <w:p w:rsidR="001A63C6" w:rsidRPr="00653421" w:rsidRDefault="0033195D" w:rsidP="00BA1576">
            <w:pPr>
              <w:pStyle w:val="TableText"/>
              <w:widowControl w:val="0"/>
              <w:spacing w:before="30" w:after="30"/>
              <w:rPr>
                <w:b/>
                <w:color w:val="0000FF"/>
                <w:sz w:val="13"/>
                <w:szCs w:val="13"/>
                <w:u w:val="single"/>
              </w:rPr>
            </w:pPr>
            <w:hyperlink w:anchor="_45_Office_365" w:history="1">
              <w:r w:rsidR="00955428" w:rsidRPr="00653421">
                <w:rPr>
                  <w:rStyle w:val="Hyperlink"/>
                  <w:b/>
                  <w:sz w:val="13"/>
                  <w:szCs w:val="13"/>
                </w:rPr>
                <w:t>4</w:t>
              </w:r>
            </w:hyperlink>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A, ST (Somente EES)</w:t>
            </w:r>
          </w:p>
        </w:tc>
        <w:tc>
          <w:tcPr>
            <w:tcW w:w="54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r>
      <w:tr w:rsidR="00B33D0E" w:rsidRPr="00653421" w:rsidDel="00436016"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1A63C6">
            <w:pPr>
              <w:pStyle w:val="Heading2"/>
              <w:ind w:left="-15" w:firstLine="15"/>
              <w:rPr>
                <w:rFonts w:ascii="Tahoma" w:hAnsi="Tahoma" w:cs="Tahoma"/>
                <w:b w:val="0"/>
                <w:sz w:val="14"/>
                <w:szCs w:val="16"/>
              </w:rPr>
            </w:pPr>
            <w:bookmarkStart w:id="353" w:name="_Toc336338025"/>
            <w:bookmarkStart w:id="354" w:name="_Toc353470682"/>
            <w:r w:rsidRPr="00653421">
              <w:rPr>
                <w:rFonts w:ascii="Tahoma" w:hAnsi="Tahoma" w:cs="Tahoma"/>
                <w:b w:val="0"/>
                <w:sz w:val="14"/>
                <w:szCs w:val="16"/>
              </w:rPr>
              <w:t>Office 365 Education A3 (SL de Usuário)</w:t>
            </w:r>
            <w:bookmarkEnd w:id="353"/>
            <w:bookmarkEnd w:id="354"/>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FF"/>
                <w:sz w:val="13"/>
                <w:szCs w:val="13"/>
                <w:u w:val="single"/>
              </w:rPr>
            </w:pPr>
            <w:hyperlink w:anchor="_45_Office_365" w:history="1">
              <w:r w:rsidR="00D36C78" w:rsidRPr="00653421">
                <w:rPr>
                  <w:rStyle w:val="Hyperlink"/>
                  <w:b/>
                  <w:sz w:val="13"/>
                  <w:szCs w:val="13"/>
                </w:rPr>
                <w:t>4</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EOLS (Somente EES)</w:t>
            </w:r>
          </w:p>
        </w:tc>
        <w:tc>
          <w:tcPr>
            <w:tcW w:w="54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r>
      <w:tr w:rsidR="00B33D0E" w:rsidRPr="00653421" w:rsidDel="00436016" w:rsidTr="00BA1576">
        <w:trPr>
          <w:trHeight w:val="145"/>
        </w:trPr>
        <w:tc>
          <w:tcPr>
            <w:tcW w:w="2734" w:type="dxa"/>
            <w:gridSpan w:val="2"/>
            <w:tcBorders>
              <w:bottom w:val="single" w:sz="4" w:space="0" w:color="auto"/>
            </w:tcBorders>
            <w:shd w:val="clear" w:color="auto" w:fill="FFFFFF"/>
            <w:vAlign w:val="center"/>
          </w:tcPr>
          <w:p w:rsidR="001A63C6" w:rsidRPr="00653421" w:rsidRDefault="001A63C6" w:rsidP="00EF36CE">
            <w:pPr>
              <w:pStyle w:val="Heading2"/>
              <w:spacing w:beforeLines="20" w:before="48" w:afterLines="20" w:after="48"/>
              <w:ind w:left="0" w:firstLine="15"/>
              <w:rPr>
                <w:rFonts w:ascii="Tahoma" w:hAnsi="Tahoma" w:cs="Tahoma"/>
                <w:b w:val="0"/>
                <w:sz w:val="14"/>
                <w:szCs w:val="16"/>
              </w:rPr>
            </w:pPr>
            <w:bookmarkStart w:id="355" w:name="_Toc336338026"/>
            <w:bookmarkStart w:id="356" w:name="_Toc353470683"/>
            <w:r w:rsidRPr="00653421">
              <w:rPr>
                <w:rFonts w:ascii="Tahoma" w:hAnsi="Tahoma" w:cs="Tahoma"/>
                <w:b w:val="0"/>
                <w:sz w:val="14"/>
                <w:szCs w:val="16"/>
              </w:rPr>
              <w:t>Office 365 Education A4 (SL de Usuário)</w:t>
            </w:r>
            <w:bookmarkEnd w:id="355"/>
            <w:bookmarkEnd w:id="356"/>
          </w:p>
        </w:tc>
        <w:tc>
          <w:tcPr>
            <w:tcW w:w="360" w:type="dxa"/>
            <w:tcBorders>
              <w:bottom w:val="single" w:sz="4" w:space="0" w:color="auto"/>
            </w:tcBorders>
            <w:shd w:val="clear" w:color="auto" w:fill="FFFFFF"/>
            <w:vAlign w:val="center"/>
          </w:tcPr>
          <w:p w:rsidR="001A63C6" w:rsidRPr="00653421" w:rsidRDefault="0033195D" w:rsidP="00BA1576">
            <w:pPr>
              <w:pStyle w:val="TableText"/>
              <w:widowControl w:val="0"/>
              <w:spacing w:before="30" w:after="30"/>
              <w:rPr>
                <w:b/>
                <w:color w:val="0000FF"/>
                <w:sz w:val="13"/>
                <w:szCs w:val="13"/>
                <w:u w:val="single"/>
              </w:rPr>
            </w:pPr>
            <w:hyperlink w:anchor="_45_Office_365" w:history="1">
              <w:r w:rsidR="00D36C78" w:rsidRPr="00653421">
                <w:rPr>
                  <w:rStyle w:val="Hyperlink"/>
                  <w:b/>
                  <w:sz w:val="13"/>
                  <w:szCs w:val="13"/>
                </w:rPr>
                <w:t>4</w:t>
              </w:r>
            </w:hyperlink>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54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EOLS (Somente EES)</w:t>
            </w:r>
          </w:p>
        </w:tc>
        <w:tc>
          <w:tcPr>
            <w:tcW w:w="540" w:type="dxa"/>
            <w:tcBorders>
              <w:bottom w:val="single" w:sz="4" w:space="0" w:color="auto"/>
            </w:tcBorders>
            <w:shd w:val="clear" w:color="auto" w:fill="FFFFFF"/>
            <w:vAlign w:val="center"/>
          </w:tcPr>
          <w:p w:rsidR="001A63C6" w:rsidRPr="00653421" w:rsidDel="00436016" w:rsidRDefault="001A63C6" w:rsidP="00BA1576">
            <w:pPr>
              <w:pStyle w:val="TableText"/>
              <w:widowControl w:val="0"/>
              <w:spacing w:before="30" w:after="30"/>
              <w:rPr>
                <w:rFonts w:ascii="Tahoma" w:hAnsi="Tahoma" w:cs="Tahoma"/>
                <w:sz w:val="13"/>
              </w:rPr>
            </w:pPr>
          </w:p>
        </w:tc>
      </w:tr>
      <w:tr w:rsidR="00B33D0E" w:rsidRPr="00653421" w:rsidDel="00436016" w:rsidTr="00BA1576">
        <w:trPr>
          <w:trHeight w:val="145"/>
        </w:trPr>
        <w:tc>
          <w:tcPr>
            <w:tcW w:w="2734" w:type="dxa"/>
            <w:gridSpan w:val="2"/>
            <w:tcBorders>
              <w:bottom w:val="single" w:sz="4" w:space="0" w:color="auto"/>
            </w:tcBorders>
            <w:shd w:val="clear" w:color="auto" w:fill="FABF8F"/>
            <w:vAlign w:val="center"/>
          </w:tcPr>
          <w:p w:rsidR="001A63C6" w:rsidRPr="00734B50" w:rsidDel="00436016" w:rsidRDefault="001A63C6" w:rsidP="00EF36CE">
            <w:pPr>
              <w:pStyle w:val="Heading2"/>
              <w:spacing w:beforeLines="20" w:before="48" w:afterLines="20" w:after="48"/>
              <w:ind w:left="0" w:firstLine="15"/>
              <w:rPr>
                <w:rFonts w:ascii="Tahoma" w:hAnsi="Tahoma" w:cs="Tahoma"/>
                <w:b w:val="0"/>
                <w:sz w:val="14"/>
                <w:szCs w:val="16"/>
                <w:lang w:val="pt-BR"/>
              </w:rPr>
            </w:pPr>
            <w:bookmarkStart w:id="357" w:name="_Toc336338027"/>
            <w:bookmarkStart w:id="358" w:name="_Toc353470684"/>
            <w:r w:rsidRPr="00734B50">
              <w:rPr>
                <w:rFonts w:ascii="Tahoma" w:hAnsi="Tahoma" w:cs="Tahoma"/>
                <w:b w:val="0"/>
                <w:sz w:val="14"/>
                <w:szCs w:val="16"/>
                <w:lang w:val="pt-BR"/>
              </w:rPr>
              <w:t>Office 365 Enterprise E1 (SL de Usuário)</w:t>
            </w:r>
            <w:bookmarkEnd w:id="357"/>
            <w:bookmarkEnd w:id="358"/>
          </w:p>
        </w:tc>
        <w:tc>
          <w:tcPr>
            <w:tcW w:w="360" w:type="dxa"/>
            <w:tcBorders>
              <w:bottom w:val="single" w:sz="4" w:space="0" w:color="auto"/>
            </w:tcBorders>
            <w:shd w:val="clear" w:color="auto" w:fill="FABF8F"/>
            <w:vAlign w:val="center"/>
          </w:tcPr>
          <w:p w:rsidR="001A63C6" w:rsidRPr="00653421" w:rsidDel="00436016" w:rsidRDefault="0033195D" w:rsidP="00BA1576">
            <w:pPr>
              <w:pStyle w:val="TableText"/>
              <w:widowControl w:val="0"/>
              <w:spacing w:before="30" w:after="30"/>
              <w:rPr>
                <w:b/>
                <w:color w:val="0000FF"/>
                <w:sz w:val="13"/>
                <w:szCs w:val="13"/>
                <w:u w:val="single"/>
              </w:rPr>
            </w:pPr>
            <w:hyperlink w:anchor="_70_68_Office" w:history="1">
              <w:r w:rsidR="00955428" w:rsidRPr="006E0678">
                <w:rPr>
                  <w:rStyle w:val="Hyperlink"/>
                  <w:b/>
                  <w:sz w:val="13"/>
                  <w:szCs w:val="13"/>
                </w:rPr>
                <w:t>69</w:t>
              </w:r>
            </w:hyperlink>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EOLS</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r>
      <w:tr w:rsidR="00B33D0E" w:rsidRPr="00653421" w:rsidDel="00436016" w:rsidTr="00BA1576">
        <w:trPr>
          <w:trHeight w:val="145"/>
        </w:trPr>
        <w:tc>
          <w:tcPr>
            <w:tcW w:w="2734" w:type="dxa"/>
            <w:gridSpan w:val="2"/>
            <w:tcBorders>
              <w:bottom w:val="single" w:sz="4" w:space="0" w:color="auto"/>
            </w:tcBorders>
            <w:shd w:val="clear" w:color="auto" w:fill="FFFFFF"/>
            <w:vAlign w:val="center"/>
          </w:tcPr>
          <w:p w:rsidR="001A63C6" w:rsidRPr="00734B50" w:rsidDel="00436016" w:rsidRDefault="001A63C6" w:rsidP="00BF1BE4">
            <w:pPr>
              <w:pStyle w:val="Heading2"/>
              <w:keepNext/>
              <w:keepLines/>
              <w:spacing w:beforeLines="20" w:before="48" w:afterLines="20" w:after="48"/>
              <w:ind w:left="0" w:firstLine="15"/>
              <w:rPr>
                <w:rFonts w:ascii="Tahoma" w:hAnsi="Tahoma" w:cs="Tahoma"/>
                <w:b w:val="0"/>
                <w:sz w:val="14"/>
                <w:szCs w:val="14"/>
                <w:lang w:val="pt-BR"/>
              </w:rPr>
            </w:pPr>
            <w:bookmarkStart w:id="359" w:name="_Toc336338028"/>
            <w:bookmarkStart w:id="360" w:name="_Toc353470685"/>
            <w:r w:rsidRPr="00734B50">
              <w:rPr>
                <w:rFonts w:ascii="Tahoma" w:hAnsi="Tahoma" w:cs="Tahoma"/>
                <w:b w:val="0"/>
                <w:sz w:val="14"/>
                <w:szCs w:val="14"/>
                <w:lang w:val="pt-BR"/>
              </w:rPr>
              <w:t>Office 365 Enterprise E2 - E4 (SL</w:t>
            </w:r>
            <w:r w:rsidR="00BF1BE4" w:rsidRPr="00734B50">
              <w:rPr>
                <w:rFonts w:ascii="Tahoma" w:hAnsi="Tahoma" w:cs="Tahoma"/>
                <w:b w:val="0"/>
                <w:sz w:val="14"/>
                <w:szCs w:val="14"/>
                <w:lang w:val="pt-BR"/>
              </w:rPr>
              <w:t> </w:t>
            </w:r>
            <w:r w:rsidRPr="00734B50">
              <w:rPr>
                <w:rFonts w:ascii="Tahoma" w:hAnsi="Tahoma" w:cs="Tahoma"/>
                <w:b w:val="0"/>
                <w:sz w:val="14"/>
                <w:szCs w:val="14"/>
                <w:lang w:val="pt-BR"/>
              </w:rPr>
              <w:t>de</w:t>
            </w:r>
            <w:r w:rsidR="00BF1BE4" w:rsidRPr="00734B50">
              <w:rPr>
                <w:rFonts w:ascii="Tahoma" w:hAnsi="Tahoma" w:cs="Tahoma"/>
                <w:b w:val="0"/>
                <w:sz w:val="14"/>
                <w:szCs w:val="14"/>
                <w:lang w:val="pt-BR"/>
              </w:rPr>
              <w:t> </w:t>
            </w:r>
            <w:r w:rsidRPr="00734B50">
              <w:rPr>
                <w:rFonts w:ascii="Tahoma" w:hAnsi="Tahoma" w:cs="Tahoma"/>
                <w:b w:val="0"/>
                <w:sz w:val="14"/>
                <w:szCs w:val="14"/>
                <w:lang w:val="pt-BR"/>
              </w:rPr>
              <w:t>Usuário)</w:t>
            </w:r>
            <w:bookmarkEnd w:id="359"/>
            <w:bookmarkEnd w:id="360"/>
          </w:p>
        </w:tc>
        <w:tc>
          <w:tcPr>
            <w:tcW w:w="360" w:type="dxa"/>
            <w:tcBorders>
              <w:bottom w:val="single" w:sz="4" w:space="0" w:color="auto"/>
            </w:tcBorders>
            <w:shd w:val="clear" w:color="auto" w:fill="FFFFFF"/>
            <w:vAlign w:val="center"/>
          </w:tcPr>
          <w:p w:rsidR="001A63C6" w:rsidRPr="00653421" w:rsidDel="00436016" w:rsidRDefault="0033195D" w:rsidP="00BA1576">
            <w:pPr>
              <w:pStyle w:val="TableText"/>
              <w:keepNext/>
              <w:keepLines/>
              <w:widowControl w:val="0"/>
              <w:spacing w:before="30" w:after="30"/>
              <w:rPr>
                <w:b/>
                <w:color w:val="0000FF"/>
                <w:sz w:val="13"/>
                <w:szCs w:val="13"/>
                <w:u w:val="single"/>
              </w:rPr>
            </w:pPr>
            <w:hyperlink w:anchor="_6_Office_365_1" w:history="1">
              <w:r w:rsidR="00132E08" w:rsidRPr="00653421">
                <w:rPr>
                  <w:rStyle w:val="Hyperlink"/>
                  <w:b/>
                  <w:sz w:val="13"/>
                  <w:szCs w:val="13"/>
                </w:rPr>
                <w:t>6</w:t>
              </w:r>
            </w:hyperlink>
            <w:hyperlink w:anchor="_65_Office_365" w:history="1"/>
          </w:p>
        </w:tc>
        <w:tc>
          <w:tcPr>
            <w:tcW w:w="450" w:type="dxa"/>
            <w:tcBorders>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color w:val="000000"/>
                <w:sz w:val="13"/>
              </w:rPr>
            </w:pPr>
            <w:r w:rsidRPr="00653421">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EOLS</w:t>
            </w:r>
          </w:p>
        </w:tc>
        <w:tc>
          <w:tcPr>
            <w:tcW w:w="540" w:type="dxa"/>
            <w:tcBorders>
              <w:left w:val="single" w:sz="18" w:space="0" w:color="auto"/>
              <w:bottom w:val="single" w:sz="4" w:space="0" w:color="auto"/>
              <w:right w:val="single" w:sz="18"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720" w:type="dxa"/>
            <w:tcBorders>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1A63C6" w:rsidRPr="00653421" w:rsidDel="00436016" w:rsidRDefault="001A63C6" w:rsidP="00BA1576">
            <w:pPr>
              <w:pStyle w:val="TableText"/>
              <w:keepNext/>
              <w:keepLines/>
              <w:widowControl w:val="0"/>
              <w:spacing w:before="30" w:after="30"/>
              <w:rPr>
                <w:rFonts w:ascii="Tahoma" w:hAnsi="Tahoma" w:cs="Tahoma"/>
                <w:sz w:val="13"/>
              </w:rPr>
            </w:pPr>
          </w:p>
        </w:tc>
      </w:tr>
      <w:tr w:rsidR="00B33D0E" w:rsidRPr="00653421" w:rsidDel="00436016" w:rsidTr="00BA1576">
        <w:trPr>
          <w:trHeight w:val="145"/>
        </w:trPr>
        <w:tc>
          <w:tcPr>
            <w:tcW w:w="2734" w:type="dxa"/>
            <w:gridSpan w:val="2"/>
            <w:tcBorders>
              <w:bottom w:val="single" w:sz="4" w:space="0" w:color="auto"/>
            </w:tcBorders>
            <w:shd w:val="clear" w:color="auto" w:fill="FABF8F"/>
            <w:vAlign w:val="center"/>
          </w:tcPr>
          <w:p w:rsidR="001A63C6" w:rsidRPr="00653421" w:rsidDel="00436016" w:rsidRDefault="001A63C6" w:rsidP="00EF36CE">
            <w:pPr>
              <w:pStyle w:val="Heading2"/>
              <w:spacing w:beforeLines="20" w:before="48" w:afterLines="20" w:after="48"/>
              <w:ind w:left="0" w:firstLine="15"/>
              <w:rPr>
                <w:rFonts w:ascii="Tahoma" w:hAnsi="Tahoma" w:cs="Tahoma"/>
                <w:b w:val="0"/>
                <w:sz w:val="14"/>
                <w:szCs w:val="16"/>
              </w:rPr>
            </w:pPr>
            <w:bookmarkStart w:id="361" w:name="_Toc336338030"/>
            <w:bookmarkStart w:id="362" w:name="_Toc353470686"/>
            <w:r w:rsidRPr="00653421">
              <w:rPr>
                <w:rFonts w:ascii="Tahoma" w:hAnsi="Tahoma" w:cs="Tahoma"/>
                <w:b w:val="0"/>
                <w:sz w:val="14"/>
                <w:szCs w:val="16"/>
              </w:rPr>
              <w:t>Office 365 Enterprise K1 (SL de Usuário)</w:t>
            </w:r>
            <w:bookmarkEnd w:id="361"/>
            <w:bookmarkEnd w:id="362"/>
          </w:p>
        </w:tc>
        <w:tc>
          <w:tcPr>
            <w:tcW w:w="360" w:type="dxa"/>
            <w:tcBorders>
              <w:bottom w:val="single" w:sz="4" w:space="0" w:color="auto"/>
            </w:tcBorders>
            <w:shd w:val="clear" w:color="auto" w:fill="FABF8F"/>
            <w:vAlign w:val="center"/>
          </w:tcPr>
          <w:p w:rsidR="001A63C6" w:rsidRPr="00653421" w:rsidDel="00436016" w:rsidRDefault="0033195D" w:rsidP="00BA1576">
            <w:pPr>
              <w:pStyle w:val="TableText"/>
              <w:widowControl w:val="0"/>
              <w:spacing w:before="30" w:after="30"/>
              <w:rPr>
                <w:b/>
                <w:color w:val="0000FF"/>
                <w:sz w:val="13"/>
                <w:szCs w:val="13"/>
                <w:u w:val="single"/>
              </w:rPr>
            </w:pPr>
            <w:hyperlink w:anchor="_69_Office_365_1" w:history="1">
              <w:r w:rsidR="002E59B1" w:rsidRPr="00653421">
                <w:rPr>
                  <w:rStyle w:val="Hyperlink"/>
                  <w:b/>
                  <w:sz w:val="13"/>
                  <w:szCs w:val="13"/>
                </w:rPr>
                <w:t>70</w:t>
              </w:r>
            </w:hyperlink>
          </w:p>
        </w:tc>
        <w:tc>
          <w:tcPr>
            <w:tcW w:w="45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Del="00436016" w:rsidRDefault="001A63C6" w:rsidP="00BA1576">
            <w:pPr>
              <w:pStyle w:val="TableText"/>
              <w:widowControl w:val="0"/>
              <w:spacing w:before="30" w:after="30"/>
              <w:rPr>
                <w:rFonts w:ascii="Tahoma" w:hAnsi="Tahoma" w:cs="Tahoma"/>
                <w:sz w:val="13"/>
              </w:rPr>
            </w:pPr>
          </w:p>
        </w:tc>
      </w:tr>
      <w:tr w:rsidR="00B33D0E" w:rsidRPr="00653421" w:rsidDel="00436016" w:rsidTr="00BA1576">
        <w:trPr>
          <w:trHeight w:val="145"/>
        </w:trPr>
        <w:tc>
          <w:tcPr>
            <w:tcW w:w="2734" w:type="dxa"/>
            <w:gridSpan w:val="2"/>
            <w:tcBorders>
              <w:bottom w:val="single" w:sz="4" w:space="0" w:color="auto"/>
            </w:tcBorders>
            <w:shd w:val="clear" w:color="auto" w:fill="auto"/>
            <w:vAlign w:val="center"/>
          </w:tcPr>
          <w:p w:rsidR="001A63C6" w:rsidRPr="00653421" w:rsidDel="00436016" w:rsidRDefault="001A63C6" w:rsidP="00EF36CE">
            <w:pPr>
              <w:pStyle w:val="Heading2"/>
              <w:spacing w:beforeLines="20" w:before="48" w:afterLines="20" w:after="48"/>
              <w:ind w:left="0" w:firstLine="15"/>
              <w:rPr>
                <w:rFonts w:ascii="Tahoma" w:hAnsi="Tahoma" w:cs="Tahoma"/>
                <w:b w:val="0"/>
                <w:sz w:val="14"/>
                <w:szCs w:val="16"/>
              </w:rPr>
            </w:pPr>
            <w:bookmarkStart w:id="363" w:name="_Toc336338031"/>
            <w:bookmarkStart w:id="364" w:name="_Toc353470687"/>
            <w:r w:rsidRPr="00653421">
              <w:rPr>
                <w:rFonts w:ascii="Tahoma" w:hAnsi="Tahoma" w:cs="Tahoma"/>
                <w:b w:val="0"/>
                <w:sz w:val="14"/>
                <w:szCs w:val="16"/>
              </w:rPr>
              <w:t>Office 365 Enterprise K2 (SL de Usuário)</w:t>
            </w:r>
            <w:bookmarkEnd w:id="363"/>
            <w:bookmarkEnd w:id="364"/>
          </w:p>
        </w:tc>
        <w:tc>
          <w:tcPr>
            <w:tcW w:w="360" w:type="dxa"/>
            <w:tcBorders>
              <w:bottom w:val="single" w:sz="4" w:space="0" w:color="auto"/>
            </w:tcBorders>
            <w:shd w:val="clear" w:color="auto" w:fill="auto"/>
            <w:vAlign w:val="center"/>
          </w:tcPr>
          <w:p w:rsidR="001A63C6" w:rsidRPr="00653421" w:rsidDel="00436016" w:rsidRDefault="0033195D" w:rsidP="00BA1576">
            <w:pPr>
              <w:pStyle w:val="TableText"/>
              <w:widowControl w:val="0"/>
              <w:spacing w:before="30" w:after="30"/>
              <w:rPr>
                <w:b/>
                <w:color w:val="0000FF"/>
                <w:sz w:val="13"/>
                <w:szCs w:val="13"/>
                <w:u w:val="single"/>
              </w:rPr>
            </w:pPr>
            <w:hyperlink w:anchor="_69_Office_365_1" w:history="1">
              <w:r w:rsidR="00D36C78" w:rsidRPr="00653421">
                <w:rPr>
                  <w:rStyle w:val="Hyperlink"/>
                  <w:b/>
                  <w:sz w:val="13"/>
                  <w:szCs w:val="13"/>
                </w:rPr>
                <w:t>70</w:t>
              </w:r>
            </w:hyperlink>
            <w:hyperlink w:anchor="_69_Office_365_1" w:history="1"/>
            <w:hyperlink w:anchor="Srv_74Office365PlanK1K2" w:history="1"/>
          </w:p>
        </w:tc>
        <w:tc>
          <w:tcPr>
            <w:tcW w:w="45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Del="00436016" w:rsidRDefault="001A63C6" w:rsidP="00BA1576">
            <w:pPr>
              <w:pStyle w:val="TableText"/>
              <w:widowControl w:val="0"/>
              <w:spacing w:before="30" w:after="30"/>
              <w:rPr>
                <w:rFonts w:ascii="Tahoma" w:hAnsi="Tahoma" w:cs="Tahoma"/>
                <w:sz w:val="13"/>
              </w:rPr>
            </w:pPr>
          </w:p>
        </w:tc>
      </w:tr>
      <w:tr w:rsidR="00871AE2" w:rsidRPr="00653421" w:rsidDel="00436016" w:rsidTr="00BA1576">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RDefault="00871AE2" w:rsidP="0095190D">
            <w:pPr>
              <w:pStyle w:val="Heading2"/>
              <w:keepNext/>
              <w:keepLines/>
              <w:spacing w:beforeLines="20" w:before="48" w:afterLines="20" w:after="48"/>
              <w:ind w:left="0" w:firstLine="15"/>
              <w:rPr>
                <w:rFonts w:ascii="Tahoma" w:hAnsi="Tahoma" w:cs="Tahoma"/>
                <w:b w:val="0"/>
                <w:sz w:val="14"/>
                <w:szCs w:val="16"/>
              </w:rPr>
            </w:pPr>
            <w:bookmarkStart w:id="365" w:name="_Toc353470688"/>
            <w:r w:rsidRPr="00653421">
              <w:rPr>
                <w:rFonts w:ascii="Tahoma" w:hAnsi="Tahoma" w:cs="Tahoma"/>
                <w:b w:val="0"/>
                <w:sz w:val="14"/>
                <w:szCs w:val="16"/>
              </w:rPr>
              <w:lastRenderedPageBreak/>
              <w:t>Office 365 Government G1 - G4 (SL</w:t>
            </w:r>
            <w:r w:rsidR="00BF1BE4" w:rsidRPr="00653421">
              <w:rPr>
                <w:rFonts w:ascii="Tahoma" w:hAnsi="Tahoma" w:cs="Tahoma"/>
                <w:b w:val="0"/>
                <w:sz w:val="14"/>
                <w:szCs w:val="16"/>
              </w:rPr>
              <w:t> </w:t>
            </w:r>
            <w:r w:rsidRPr="00653421">
              <w:rPr>
                <w:rFonts w:ascii="Tahoma" w:hAnsi="Tahoma" w:cs="Tahoma"/>
                <w:b w:val="0"/>
                <w:sz w:val="14"/>
                <w:szCs w:val="16"/>
              </w:rPr>
              <w:t>de</w:t>
            </w:r>
            <w:r w:rsidR="00BF1BE4" w:rsidRPr="00653421">
              <w:rPr>
                <w:rFonts w:ascii="Tahoma" w:hAnsi="Tahoma" w:cs="Tahoma"/>
                <w:b w:val="0"/>
                <w:sz w:val="14"/>
                <w:szCs w:val="16"/>
              </w:rPr>
              <w:t> </w:t>
            </w:r>
            <w:r w:rsidRPr="00653421">
              <w:rPr>
                <w:rFonts w:ascii="Tahoma" w:hAnsi="Tahoma" w:cs="Tahoma"/>
                <w:b w:val="0"/>
                <w:sz w:val="14"/>
                <w:szCs w:val="16"/>
              </w:rPr>
              <w:t>Usuário)</w:t>
            </w:r>
            <w:bookmarkEnd w:id="365"/>
          </w:p>
        </w:tc>
        <w:tc>
          <w:tcPr>
            <w:tcW w:w="36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RDefault="0033195D" w:rsidP="00BA1576">
            <w:pPr>
              <w:pStyle w:val="TableText"/>
              <w:keepNext/>
              <w:keepLines/>
              <w:widowControl w:val="0"/>
              <w:spacing w:before="30" w:after="30"/>
              <w:rPr>
                <w:b/>
                <w:sz w:val="13"/>
                <w:szCs w:val="13"/>
              </w:rPr>
            </w:pPr>
            <w:hyperlink w:anchor="_70_Office_365" w:history="1">
              <w:r w:rsidR="00955428" w:rsidRPr="00653421">
                <w:rPr>
                  <w:rStyle w:val="Hyperlink"/>
                  <w:b/>
                  <w:sz w:val="13"/>
                  <w:szCs w:val="13"/>
                </w:rPr>
                <w:t>71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RDefault="00871AE2" w:rsidP="00BA1576">
            <w:pPr>
              <w:pStyle w:val="TableText"/>
              <w:keepNext/>
              <w:keepLines/>
              <w:widowControl w:val="0"/>
              <w:spacing w:before="30" w:after="30"/>
              <w:rPr>
                <w:rFonts w:ascii="Tahoma" w:hAnsi="Tahoma" w:cs="Tahoma"/>
                <w:color w:val="000000"/>
                <w:sz w:val="13"/>
              </w:rPr>
            </w:pPr>
            <w:r w:rsidRPr="00653421">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53421" w:rsidRDefault="00871AE2" w:rsidP="00BA1576">
            <w:pPr>
              <w:pStyle w:val="TableText"/>
              <w:keepNext/>
              <w:keepLines/>
              <w:widowControl w:val="0"/>
              <w:spacing w:before="30" w:after="30"/>
              <w:rPr>
                <w:rFonts w:ascii="Tahoma" w:hAnsi="Tahoma" w:cs="Tahoma"/>
                <w:sz w:val="13"/>
              </w:rPr>
            </w:pPr>
            <w:r w:rsidRPr="00653421">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63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53421" w:rsidRDefault="00871AE2" w:rsidP="00BA1576">
            <w:pPr>
              <w:pStyle w:val="TableText"/>
              <w:keepNext/>
              <w:keepLines/>
              <w:widowControl w:val="0"/>
              <w:spacing w:before="30" w:after="30"/>
              <w:rPr>
                <w:rFonts w:ascii="Tahoma" w:hAnsi="Tahoma" w:cs="Tahoma"/>
                <w:sz w:val="13"/>
              </w:rPr>
            </w:pPr>
            <w:r w:rsidRPr="00653421">
              <w:rPr>
                <w:rFonts w:ascii="Tahoma" w:hAnsi="Tahoma" w:cs="Tahoma"/>
                <w:sz w:val="13"/>
              </w:rPr>
              <w:t>EOLS</w:t>
            </w:r>
          </w:p>
        </w:tc>
        <w:tc>
          <w:tcPr>
            <w:tcW w:w="54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72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53421" w:rsidDel="00436016" w:rsidRDefault="00871AE2" w:rsidP="00BA1576">
            <w:pPr>
              <w:pStyle w:val="TableText"/>
              <w:keepNext/>
              <w:keepLines/>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FFFFF"/>
            <w:vAlign w:val="center"/>
          </w:tcPr>
          <w:p w:rsidR="001A63C6" w:rsidRPr="00734B50" w:rsidRDefault="001A63C6" w:rsidP="00BF1BE4">
            <w:pPr>
              <w:pStyle w:val="ProductNames"/>
              <w:keepNext/>
              <w:spacing w:before="0" w:after="0"/>
              <w:rPr>
                <w:rFonts w:ascii="Tahoma" w:hAnsi="Tahoma" w:cs="Tahoma"/>
                <w:sz w:val="14"/>
                <w:lang w:val="pt-BR"/>
              </w:rPr>
            </w:pPr>
            <w:bookmarkStart w:id="366" w:name="_Toc336338032"/>
            <w:bookmarkStart w:id="367" w:name="_Toc353470689"/>
            <w:r w:rsidRPr="00734B50">
              <w:rPr>
                <w:rFonts w:ascii="Tahoma" w:hAnsi="Tahoma" w:cs="Tahoma"/>
                <w:sz w:val="14"/>
                <w:lang w:val="pt-BR"/>
              </w:rPr>
              <w:t>Aplicativos da Web do Office com SharePoint Plano 2A (SL do Usuário)</w:t>
            </w:r>
            <w:bookmarkEnd w:id="366"/>
            <w:bookmarkEnd w:id="367"/>
          </w:p>
        </w:tc>
        <w:tc>
          <w:tcPr>
            <w:tcW w:w="360" w:type="dxa"/>
            <w:tcBorders>
              <w:bottom w:val="single" w:sz="4" w:space="0" w:color="auto"/>
            </w:tcBorders>
            <w:shd w:val="clear" w:color="auto" w:fill="FFFFFF"/>
            <w:vAlign w:val="center"/>
          </w:tcPr>
          <w:p w:rsidR="001A63C6" w:rsidRPr="00734B50" w:rsidRDefault="001A63C6" w:rsidP="00BA1576">
            <w:pPr>
              <w:pStyle w:val="TableText"/>
              <w:keepNext/>
              <w:keepLines/>
              <w:widowControl w:val="0"/>
              <w:spacing w:before="30" w:after="30"/>
              <w:rPr>
                <w:b/>
                <w:color w:val="0000FF"/>
                <w:sz w:val="13"/>
                <w:szCs w:val="13"/>
                <w:u w:val="single"/>
                <w:lang w:val="pt-BR"/>
              </w:rPr>
            </w:pPr>
          </w:p>
        </w:tc>
        <w:tc>
          <w:tcPr>
            <w:tcW w:w="450" w:type="dxa"/>
            <w:tcBorders>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color w:val="000000"/>
                <w:sz w:val="13"/>
              </w:rPr>
            </w:pPr>
            <w:r w:rsidRPr="00653421">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63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720" w:type="dxa"/>
            <w:tcBorders>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A, ST (Somente EES)</w:t>
            </w:r>
          </w:p>
        </w:tc>
        <w:tc>
          <w:tcPr>
            <w:tcW w:w="540" w:type="dxa"/>
            <w:tcBorders>
              <w:bottom w:val="single" w:sz="4" w:space="0" w:color="auto"/>
            </w:tcBorders>
            <w:shd w:val="clear" w:color="auto" w:fill="FFFFFF"/>
            <w:vAlign w:val="center"/>
          </w:tcPr>
          <w:p w:rsidR="001A63C6" w:rsidRPr="00653421" w:rsidRDefault="001A63C6" w:rsidP="00BA1576">
            <w:pPr>
              <w:pStyle w:val="TableText"/>
              <w:keepNext/>
              <w:keepLines/>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368" w:name="_Toc353470690"/>
            <w:r w:rsidRPr="00653421">
              <w:rPr>
                <w:rFonts w:ascii="Tahoma" w:hAnsi="Tahoma" w:cs="Tahoma"/>
                <w:sz w:val="14"/>
              </w:rPr>
              <w:t>Project Online</w:t>
            </w:r>
            <w:bookmarkEnd w:id="368"/>
            <w:r w:rsidR="00DD7735" w:rsidRPr="00653421">
              <w:rPr>
                <w:rFonts w:ascii="Tahoma" w:hAnsi="Tahoma" w:cs="Tahoma"/>
                <w:sz w:val="14"/>
              </w:rPr>
              <w:t xml:space="preserve"> </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369" w:name="_Toc353470691"/>
            <w:r w:rsidRPr="00653421">
              <w:rPr>
                <w:rFonts w:ascii="Tahoma" w:hAnsi="Tahoma" w:cs="Tahoma"/>
                <w:sz w:val="14"/>
              </w:rPr>
              <w:t>Project Online A</w:t>
            </w:r>
            <w:bookmarkEnd w:id="369"/>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Style w:val="EndnoteReference"/>
                <w:color w:val="0000FF"/>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370" w:name="_Toc336338033"/>
            <w:bookmarkStart w:id="371" w:name="_Toc353470692"/>
            <w:r w:rsidRPr="00653421">
              <w:rPr>
                <w:rFonts w:ascii="Tahoma" w:hAnsi="Tahoma" w:cs="Tahoma"/>
                <w:sz w:val="14"/>
              </w:rPr>
              <w:t xml:space="preserve">Project Server </w:t>
            </w:r>
            <w:bookmarkEnd w:id="370"/>
            <w:r w:rsidRPr="00653421">
              <w:rPr>
                <w:rFonts w:ascii="Tahoma" w:hAnsi="Tahoma" w:cs="Tahoma"/>
                <w:sz w:val="14"/>
              </w:rPr>
              <w:t>2013</w:t>
            </w:r>
            <w:bookmarkEnd w:id="371"/>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Style w:val="EndnoteReference"/>
                <w:color w:val="0000FF"/>
                <w:sz w:val="13"/>
                <w:szCs w:val="13"/>
                <w:u w:val="single"/>
              </w:rPr>
            </w:pPr>
            <w:bookmarkStart w:id="372" w:name="_Hlt336249768"/>
          </w:p>
        </w:tc>
        <w:bookmarkEnd w:id="372"/>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125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100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75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25</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100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50</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373" w:name="_Toc336338034"/>
            <w:bookmarkStart w:id="374" w:name="_Toc353470693"/>
            <w:r w:rsidRPr="00653421">
              <w:rPr>
                <w:rFonts w:ascii="Tahoma" w:hAnsi="Tahoma" w:cs="Tahoma"/>
                <w:sz w:val="14"/>
              </w:rPr>
              <w:t>CAL do Project Server</w:t>
            </w:r>
            <w:bookmarkEnd w:id="373"/>
            <w:r w:rsidRPr="00653421">
              <w:rPr>
                <w:rFonts w:ascii="Tahoma" w:hAnsi="Tahoma" w:cs="Tahoma"/>
                <w:sz w:val="14"/>
              </w:rPr>
              <w:t xml:space="preserve"> 2013</w:t>
            </w:r>
            <w:bookmarkEnd w:id="374"/>
            <w:r w:rsidRPr="00653421">
              <w:rPr>
                <w:rFonts w:ascii="Tahoma" w:hAnsi="Tahoma" w:cs="Tahoma"/>
                <w:sz w:val="14"/>
              </w:rPr>
              <w:t xml:space="preserve"> </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Heading2"/>
              <w:spacing w:beforeLines="20" w:before="48" w:afterLines="20" w:after="48"/>
              <w:ind w:left="0" w:firstLine="15"/>
              <w:rPr>
                <w:rFonts w:ascii="Tahoma" w:hAnsi="Tahoma" w:cs="Tahoma"/>
                <w:b w:val="0"/>
                <w:sz w:val="14"/>
                <w:lang w:val="pt-BR"/>
              </w:rPr>
            </w:pPr>
            <w:bookmarkStart w:id="375" w:name="_Toc336338036"/>
            <w:bookmarkStart w:id="376" w:name="_Toc353470694"/>
            <w:r w:rsidRPr="00734B50">
              <w:rPr>
                <w:rFonts w:ascii="Tahoma" w:hAnsi="Tahoma" w:cs="Tahoma"/>
                <w:b w:val="0"/>
                <w:sz w:val="14"/>
                <w:lang w:val="pt-BR"/>
              </w:rPr>
              <w:t>Armazenamento Extra do SharePoint™ Online de 1 GB (SL Complementar)</w:t>
            </w:r>
            <w:bookmarkEnd w:id="375"/>
            <w:bookmarkEnd w:id="376"/>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b/>
                <w:color w:val="000000"/>
                <w:sz w:val="13"/>
                <w:szCs w:val="13"/>
                <w:u w:val="single"/>
                <w:lang w:val="pt-BR"/>
              </w:rPr>
            </w:pPr>
          </w:p>
        </w:tc>
        <w:tc>
          <w:tcPr>
            <w:tcW w:w="450" w:type="dxa"/>
            <w:tcBorders>
              <w:bottom w:val="single" w:sz="4" w:space="0" w:color="auto"/>
            </w:tcBorders>
            <w:shd w:val="clear" w:color="auto" w:fill="FABF8F"/>
            <w:vAlign w:val="center"/>
          </w:tcPr>
          <w:p w:rsidR="001A63C6" w:rsidRPr="00653421" w:rsidDel="008F575D"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7E466C">
            <w:pPr>
              <w:pStyle w:val="Heading2"/>
              <w:ind w:left="0" w:firstLine="15"/>
              <w:jc w:val="both"/>
              <w:rPr>
                <w:rFonts w:ascii="Tahoma" w:hAnsi="Tahoma" w:cs="Tahoma"/>
                <w:b w:val="0"/>
                <w:sz w:val="14"/>
                <w:lang w:val="pt-BR"/>
              </w:rPr>
            </w:pPr>
            <w:bookmarkStart w:id="377" w:name="_Toc336338037"/>
            <w:bookmarkStart w:id="378" w:name="_Toc353470695"/>
            <w:r w:rsidRPr="00734B50">
              <w:rPr>
                <w:rFonts w:ascii="Tahoma" w:hAnsi="Tahoma" w:cs="Tahoma"/>
                <w:b w:val="0"/>
                <w:sz w:val="14"/>
                <w:lang w:val="pt-BR"/>
              </w:rPr>
              <w:t>Armazenamento Extra do SharePoint™ Online de A 1 GB (SL Complementar)</w:t>
            </w:r>
            <w:bookmarkEnd w:id="377"/>
            <w:bookmarkEnd w:id="378"/>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Fonts w:cs="Tahoma"/>
                <w:b/>
                <w:color w:val="0000FF"/>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ST (Somente EES)</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D36C78">
            <w:pPr>
              <w:pStyle w:val="Heading2"/>
              <w:spacing w:beforeLines="20" w:before="48" w:afterLines="20" w:after="48"/>
              <w:ind w:left="0" w:firstLine="15"/>
              <w:rPr>
                <w:rFonts w:ascii="Tahoma" w:hAnsi="Tahoma" w:cs="Tahoma"/>
                <w:b w:val="0"/>
                <w:lang w:val="pt-BR"/>
              </w:rPr>
            </w:pPr>
            <w:bookmarkStart w:id="379" w:name="_Toc336338038"/>
            <w:bookmarkStart w:id="380" w:name="_Toc353470696"/>
            <w:r w:rsidRPr="00734B50">
              <w:rPr>
                <w:rFonts w:ascii="Tahoma" w:hAnsi="Tahoma" w:cs="Tahoma"/>
                <w:b w:val="0"/>
                <w:sz w:val="14"/>
                <w:lang w:val="pt-BR"/>
              </w:rPr>
              <w:t>SharePoint™ Online Plano 1 (SL</w:t>
            </w:r>
            <w:r w:rsidR="00B75E3C" w:rsidRPr="00734B50">
              <w:rPr>
                <w:rFonts w:ascii="Tahoma" w:hAnsi="Tahoma" w:cs="Tahoma"/>
                <w:b w:val="0"/>
                <w:sz w:val="14"/>
                <w:lang w:val="pt-BR"/>
              </w:rPr>
              <w:t> </w:t>
            </w:r>
            <w:r w:rsidRPr="00734B50">
              <w:rPr>
                <w:rFonts w:ascii="Tahoma" w:hAnsi="Tahoma" w:cs="Tahoma"/>
                <w:b w:val="0"/>
                <w:sz w:val="14"/>
                <w:lang w:val="pt-BR"/>
              </w:rPr>
              <w:t>de</w:t>
            </w:r>
            <w:r w:rsidR="00B75E3C" w:rsidRPr="00734B50">
              <w:rPr>
                <w:rFonts w:ascii="Tahoma" w:hAnsi="Tahoma" w:cs="Tahoma"/>
                <w:b w:val="0"/>
                <w:sz w:val="14"/>
                <w:lang w:val="pt-BR"/>
              </w:rPr>
              <w:t> </w:t>
            </w:r>
            <w:r w:rsidRPr="00734B50">
              <w:rPr>
                <w:rFonts w:ascii="Tahoma" w:hAnsi="Tahoma" w:cs="Tahoma"/>
                <w:b w:val="0"/>
                <w:sz w:val="14"/>
                <w:lang w:val="pt-BR"/>
              </w:rPr>
              <w:t>Usuário)</w:t>
            </w:r>
            <w:bookmarkEnd w:id="379"/>
            <w:bookmarkEnd w:id="380"/>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72_SharePoint_Online" w:history="1">
              <w:r w:rsidR="00955428" w:rsidRPr="00653421">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381" w:name="_Toc336338039"/>
            <w:bookmarkStart w:id="382" w:name="_Toc353470697"/>
            <w:r w:rsidRPr="00734B50">
              <w:rPr>
                <w:rFonts w:ascii="Tahoma" w:hAnsi="Tahoma" w:cs="Tahoma"/>
                <w:sz w:val="14"/>
                <w:lang w:val="pt-BR"/>
              </w:rPr>
              <w:t xml:space="preserve">SharePoint™ Online Plano 2 </w:t>
            </w:r>
            <w:r w:rsidR="00BA1576" w:rsidRPr="00734B50">
              <w:rPr>
                <w:rFonts w:ascii="Tahoma" w:hAnsi="Tahoma" w:cs="Tahoma"/>
                <w:sz w:val="14"/>
                <w:lang w:val="pt-BR"/>
              </w:rPr>
              <w:br/>
            </w:r>
            <w:r w:rsidRPr="00734B50">
              <w:rPr>
                <w:rFonts w:ascii="Tahoma" w:hAnsi="Tahoma" w:cs="Tahoma"/>
                <w:sz w:val="14"/>
                <w:lang w:val="pt-BR"/>
              </w:rPr>
              <w:t>(SL de Usuário)</w:t>
            </w:r>
            <w:bookmarkEnd w:id="381"/>
            <w:bookmarkEnd w:id="382"/>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color w:val="000000"/>
                <w:sz w:val="13"/>
                <w:szCs w:val="13"/>
                <w:u w:val="single"/>
              </w:rPr>
            </w:pPr>
            <w:hyperlink w:anchor="_72_SharePoint_Online" w:history="1">
              <w:r w:rsidR="00D36C78" w:rsidRPr="00653421">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EF36CE">
            <w:pPr>
              <w:pStyle w:val="ProductNames"/>
              <w:spacing w:beforeLines="20" w:before="48" w:afterLines="20" w:after="48"/>
              <w:rPr>
                <w:rFonts w:ascii="Tahoma" w:hAnsi="Tahoma" w:cs="Tahoma"/>
                <w:sz w:val="14"/>
              </w:rPr>
            </w:pPr>
            <w:bookmarkStart w:id="383" w:name="_Toc336338040"/>
            <w:bookmarkStart w:id="384" w:name="_Toc353470698"/>
            <w:r w:rsidRPr="00653421">
              <w:rPr>
                <w:rFonts w:ascii="Tahoma" w:hAnsi="Tahoma" w:cs="Tahoma"/>
                <w:sz w:val="14"/>
              </w:rPr>
              <w:t xml:space="preserve">SharePoint™ Server </w:t>
            </w:r>
            <w:bookmarkEnd w:id="383"/>
            <w:r w:rsidRPr="00653421">
              <w:rPr>
                <w:rFonts w:ascii="Tahoma" w:hAnsi="Tahoma" w:cs="Tahoma"/>
                <w:sz w:val="14"/>
              </w:rPr>
              <w:t>2013</w:t>
            </w:r>
            <w:bookmarkEnd w:id="384"/>
            <w:r w:rsidRPr="00653421">
              <w:rPr>
                <w:rFonts w:ascii="Tahoma" w:hAnsi="Tahoma" w:cs="Tahoma"/>
                <w:sz w:val="14"/>
              </w:rPr>
              <w:t xml:space="preserve"> </w:t>
            </w:r>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color w:val="000000"/>
                <w:sz w:val="13"/>
                <w:szCs w:val="13"/>
                <w:u w:val="single"/>
              </w:rPr>
            </w:pPr>
            <w:hyperlink w:anchor="_73_SharePoint_Server" w:history="1">
              <w:r w:rsidR="00955428" w:rsidRPr="00653421">
                <w:rPr>
                  <w:rStyle w:val="Hyperlink"/>
                  <w:b/>
                  <w:sz w:val="13"/>
                  <w:szCs w:val="13"/>
                </w:rPr>
                <w:t>73</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EF36CE">
            <w:pPr>
              <w:pStyle w:val="ProductNames"/>
              <w:spacing w:beforeLines="20" w:before="48" w:afterLines="20" w:after="48"/>
              <w:rPr>
                <w:rFonts w:ascii="Tahoma" w:hAnsi="Tahoma" w:cs="Tahoma"/>
                <w:sz w:val="14"/>
                <w:lang w:val="pt-BR"/>
              </w:rPr>
            </w:pPr>
            <w:bookmarkStart w:id="385" w:name="_Toc336338041"/>
            <w:bookmarkStart w:id="386" w:name="_Toc353470699"/>
            <w:r w:rsidRPr="00734B50">
              <w:rPr>
                <w:rFonts w:ascii="Tahoma" w:hAnsi="Tahoma" w:cs="Tahoma"/>
                <w:sz w:val="14"/>
                <w:lang w:val="pt-BR"/>
              </w:rPr>
              <w:t>CAL Empresarial do SharePoint™ Server</w:t>
            </w:r>
            <w:bookmarkEnd w:id="385"/>
            <w:r w:rsidRPr="00734B50">
              <w:rPr>
                <w:rFonts w:ascii="Tahoma" w:hAnsi="Tahoma" w:cs="Tahoma"/>
                <w:sz w:val="14"/>
                <w:lang w:val="pt-BR"/>
              </w:rPr>
              <w:t xml:space="preserve"> 2013</w:t>
            </w:r>
            <w:bookmarkEnd w:id="386"/>
            <w:r w:rsidRPr="00734B50">
              <w:rPr>
                <w:rFonts w:ascii="Tahoma" w:hAnsi="Tahoma" w:cs="Tahoma"/>
                <w:sz w:val="14"/>
                <w:lang w:val="pt-BR"/>
              </w:rPr>
              <w:t xml:space="preserve"> </w:t>
            </w:r>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color w:val="000000"/>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D</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60"/>
        </w:trPr>
        <w:tc>
          <w:tcPr>
            <w:tcW w:w="2734" w:type="dxa"/>
            <w:gridSpan w:val="2"/>
            <w:tcBorders>
              <w:bottom w:val="single" w:sz="4" w:space="0" w:color="auto"/>
            </w:tcBorders>
            <w:shd w:val="clear" w:color="auto" w:fill="FABF8F"/>
          </w:tcPr>
          <w:p w:rsidR="001A63C6" w:rsidRPr="00734B50" w:rsidRDefault="001A63C6" w:rsidP="00EF36CE">
            <w:pPr>
              <w:pStyle w:val="ProductNames"/>
              <w:spacing w:beforeLines="20" w:before="48" w:afterLines="20" w:after="48"/>
              <w:rPr>
                <w:rFonts w:ascii="Tahoma" w:hAnsi="Tahoma" w:cs="Tahoma"/>
                <w:sz w:val="14"/>
                <w:lang w:val="pt-BR"/>
              </w:rPr>
            </w:pPr>
            <w:bookmarkStart w:id="387" w:name="_Toc336338044"/>
            <w:bookmarkStart w:id="388" w:name="_Toc353470700"/>
            <w:r w:rsidRPr="00734B50">
              <w:rPr>
                <w:rFonts w:ascii="Tahoma" w:hAnsi="Tahoma" w:cs="Tahoma"/>
                <w:sz w:val="14"/>
                <w:lang w:val="pt-BR"/>
              </w:rPr>
              <w:t>CAL Padrão do SharePoint™ Server</w:t>
            </w:r>
            <w:bookmarkEnd w:id="387"/>
            <w:r w:rsidRPr="00734B50">
              <w:rPr>
                <w:rFonts w:ascii="Tahoma" w:hAnsi="Tahoma" w:cs="Tahoma"/>
                <w:sz w:val="14"/>
                <w:lang w:val="pt-BR"/>
              </w:rPr>
              <w:t xml:space="preserve"> 2013</w:t>
            </w:r>
            <w:bookmarkEnd w:id="388"/>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lang w:val="pt-BR"/>
              </w:rPr>
            </w:pPr>
            <w:bookmarkStart w:id="389" w:name="_Toc336338045"/>
            <w:bookmarkStart w:id="390" w:name="_Toc353470701"/>
            <w:r w:rsidRPr="00734B50">
              <w:rPr>
                <w:rFonts w:ascii="Tahoma" w:hAnsi="Tahoma" w:cs="Tahoma"/>
                <w:sz w:val="14"/>
                <w:lang w:val="pt-BR"/>
              </w:rPr>
              <w:t>Licença para um processador do SQL Server</w:t>
            </w:r>
            <w:r w:rsidRPr="00734B50">
              <w:rPr>
                <w:rFonts w:ascii="Tahoma" w:eastAsia="Times New Roman" w:hAnsi="Tahoma" w:cs="Tahoma"/>
                <w:color w:val="000000"/>
                <w:sz w:val="18"/>
                <w:szCs w:val="18"/>
                <w:vertAlign w:val="superscript"/>
                <w:lang w:val="pt-BR"/>
              </w:rPr>
              <w:t>®</w:t>
            </w:r>
            <w:r w:rsidRPr="00734B50">
              <w:rPr>
                <w:rFonts w:ascii="Tahoma" w:hAnsi="Tahoma" w:cs="Tahoma"/>
                <w:sz w:val="14"/>
                <w:lang w:val="pt-BR"/>
              </w:rPr>
              <w:t xml:space="preserve"> 2008 R2 Datacenter</w:t>
            </w:r>
            <w:bookmarkEnd w:id="389"/>
            <w:bookmarkEnd w:id="390"/>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FF"/>
                <w:sz w:val="13"/>
                <w:szCs w:val="13"/>
                <w:u w:val="single"/>
              </w:rPr>
            </w:pPr>
            <w:hyperlink w:anchor="_74_SQL_Server®" w:history="1">
              <w:r w:rsidR="00955428" w:rsidRPr="00653421">
                <w:rPr>
                  <w:rStyle w:val="Hyperlink"/>
                  <w:b/>
                  <w:sz w:val="13"/>
                  <w:szCs w:val="13"/>
                </w:rPr>
                <w:t>74</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391" w:name="_Toc336338048"/>
            <w:bookmarkStart w:id="392" w:name="_Toc353470702"/>
            <w:r w:rsidRPr="00653421">
              <w:rPr>
                <w:rFonts w:ascii="Tahoma" w:hAnsi="Tahoma" w:cs="Tahoma"/>
                <w:sz w:val="14"/>
              </w:rPr>
              <w:t>SQL Server</w:t>
            </w:r>
            <w:r w:rsidRPr="00653421">
              <w:rPr>
                <w:rFonts w:ascii="Tahoma" w:eastAsia="Times New Roman" w:hAnsi="Tahoma" w:cs="Tahoma"/>
                <w:color w:val="000000"/>
                <w:sz w:val="18"/>
                <w:szCs w:val="18"/>
                <w:vertAlign w:val="superscript"/>
              </w:rPr>
              <w:t>®</w:t>
            </w:r>
            <w:r w:rsidRPr="00653421">
              <w:rPr>
                <w:rFonts w:ascii="Tahoma" w:hAnsi="Tahoma" w:cs="Tahoma"/>
                <w:sz w:val="14"/>
              </w:rPr>
              <w:t xml:space="preserve"> 2008 R2 Small Business</w:t>
            </w:r>
            <w:bookmarkEnd w:id="391"/>
            <w:bookmarkEnd w:id="392"/>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b w:val="0"/>
                <w:color w:val="000000"/>
                <w:sz w:val="13"/>
                <w:szCs w:val="13"/>
                <w:u w:val="single"/>
              </w:rPr>
            </w:pPr>
            <w:hyperlink w:anchor="_75_SQL_Server®" w:history="1">
              <w:r w:rsidR="00955428" w:rsidRPr="00653421">
                <w:rPr>
                  <w:rStyle w:val="Hyperlink"/>
                  <w:b/>
                  <w:sz w:val="13"/>
                  <w:szCs w:val="13"/>
                </w:rPr>
                <w:t>75</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393" w:name="_Toc336338049"/>
            <w:bookmarkStart w:id="394" w:name="_Toc353470703"/>
            <w:r w:rsidRPr="00653421">
              <w:rPr>
                <w:rFonts w:ascii="Tahoma" w:hAnsi="Tahoma" w:cs="Tahoma"/>
                <w:sz w:val="14"/>
              </w:rPr>
              <w:t>CAL do SQL Server</w:t>
            </w:r>
            <w:r w:rsidRPr="00653421">
              <w:rPr>
                <w:rFonts w:ascii="Tahoma" w:eastAsia="Times New Roman" w:hAnsi="Tahoma" w:cs="Tahoma"/>
                <w:color w:val="000000"/>
                <w:sz w:val="18"/>
                <w:szCs w:val="18"/>
                <w:vertAlign w:val="superscript"/>
              </w:rPr>
              <w:t>®</w:t>
            </w:r>
            <w:r w:rsidRPr="00653421">
              <w:rPr>
                <w:rFonts w:ascii="Tahoma" w:hAnsi="Tahoma" w:cs="Tahoma"/>
                <w:sz w:val="14"/>
              </w:rPr>
              <w:t xml:space="preserve"> 2008 R2 Small Business</w:t>
            </w:r>
            <w:bookmarkEnd w:id="393"/>
            <w:bookmarkEnd w:id="394"/>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395" w:name="_Toc336338050"/>
            <w:bookmarkStart w:id="396" w:name="_Toc353470704"/>
            <w:r w:rsidRPr="00734B50">
              <w:rPr>
                <w:rFonts w:ascii="Tahoma" w:hAnsi="Tahoma" w:cs="Tahoma"/>
                <w:sz w:val="14"/>
                <w:lang w:val="pt-BR"/>
              </w:rPr>
              <w:t>SQL Server</w:t>
            </w:r>
            <w:r w:rsidRPr="00734B50">
              <w:rPr>
                <w:rFonts w:ascii="Tahoma" w:eastAsia="Times New Roman" w:hAnsi="Tahoma" w:cs="Tahoma"/>
                <w:color w:val="000000"/>
                <w:sz w:val="18"/>
                <w:szCs w:val="18"/>
                <w:vertAlign w:val="superscript"/>
                <w:lang w:val="pt-BR"/>
              </w:rPr>
              <w:t>®</w:t>
            </w:r>
            <w:r w:rsidRPr="00734B50">
              <w:rPr>
                <w:rFonts w:ascii="Tahoma" w:hAnsi="Tahoma" w:cs="Tahoma"/>
                <w:sz w:val="14"/>
                <w:lang w:val="pt-BR"/>
              </w:rPr>
              <w:t xml:space="preserve"> 2008 R2 Web por Processador</w:t>
            </w:r>
            <w:bookmarkEnd w:id="395"/>
            <w:bookmarkEnd w:id="396"/>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b w:val="0"/>
                <w:color w:val="000000"/>
                <w:sz w:val="13"/>
                <w:szCs w:val="13"/>
                <w:u w:val="single"/>
              </w:rPr>
            </w:pPr>
            <w:hyperlink w:anchor="_76_SQL_Server®" w:history="1">
              <w:r w:rsidR="00955428" w:rsidRPr="00653421">
                <w:rPr>
                  <w:rStyle w:val="Hyperlink"/>
                  <w:b/>
                  <w:sz w:val="13"/>
                  <w:szCs w:val="13"/>
                </w:rPr>
                <w:t>76</w:t>
              </w:r>
            </w:hyperlink>
            <w:hyperlink w:anchor="Srv_84SQL2008R2Webproc"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397" w:name="_Toc336338051"/>
            <w:bookmarkStart w:id="398" w:name="_Toc353470705"/>
            <w:r w:rsidRPr="00653421">
              <w:rPr>
                <w:rFonts w:ascii="Tahoma" w:hAnsi="Tahoma" w:cs="Tahoma"/>
                <w:sz w:val="14"/>
              </w:rPr>
              <w:t>CAL do SQL Server</w:t>
            </w:r>
            <w:r w:rsidRPr="00653421">
              <w:rPr>
                <w:rFonts w:ascii="Tahoma" w:eastAsia="Times New Roman" w:hAnsi="Tahoma" w:cs="Tahoma"/>
                <w:color w:val="000000"/>
                <w:sz w:val="18"/>
                <w:szCs w:val="18"/>
                <w:vertAlign w:val="superscript"/>
              </w:rPr>
              <w:t>®</w:t>
            </w:r>
            <w:r w:rsidRPr="00653421">
              <w:rPr>
                <w:rFonts w:ascii="Tahoma" w:hAnsi="Tahoma" w:cs="Tahoma"/>
                <w:sz w:val="14"/>
              </w:rPr>
              <w:t xml:space="preserve"> 2008 R2 Workgroup</w:t>
            </w:r>
            <w:bookmarkEnd w:id="397"/>
            <w:bookmarkEnd w:id="398"/>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399" w:name="_Toc336338053"/>
            <w:bookmarkStart w:id="400" w:name="_Toc353470706"/>
            <w:r w:rsidRPr="00734B50">
              <w:rPr>
                <w:rFonts w:ascii="Tahoma" w:hAnsi="Tahoma" w:cs="Tahoma"/>
                <w:sz w:val="14"/>
                <w:szCs w:val="18"/>
                <w:lang w:val="pt-BR"/>
              </w:rPr>
              <w:t>SQL Server</w:t>
            </w:r>
            <w:r w:rsidRPr="00734B50">
              <w:rPr>
                <w:rFonts w:ascii="Tahoma" w:eastAsia="Times New Roman" w:hAnsi="Tahoma" w:cs="Tahoma"/>
                <w:color w:val="000000"/>
                <w:sz w:val="14"/>
                <w:szCs w:val="18"/>
                <w:vertAlign w:val="superscript"/>
                <w:lang w:val="pt-BR"/>
              </w:rPr>
              <w:t>®</w:t>
            </w:r>
            <w:r w:rsidRPr="00734B50">
              <w:rPr>
                <w:rFonts w:ascii="Tahoma" w:hAnsi="Tahoma" w:cs="Tahoma"/>
                <w:sz w:val="14"/>
                <w:szCs w:val="18"/>
                <w:lang w:val="pt-BR"/>
              </w:rPr>
              <w:t xml:space="preserve"> 2008 R2 Workgroup (Complementar para 5 Clientes)</w:t>
            </w:r>
            <w:bookmarkEnd w:id="399"/>
            <w:bookmarkEnd w:id="400"/>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color w:val="000000"/>
                <w:sz w:val="13"/>
                <w:szCs w:val="13"/>
                <w:u w:val="single"/>
              </w:rPr>
            </w:pPr>
            <w:hyperlink w:anchor="_77_SQL_Server®" w:history="1">
              <w:r w:rsidR="00955428" w:rsidRPr="00653421">
                <w:rPr>
                  <w:rStyle w:val="Hyperlink"/>
                  <w:b/>
                  <w:sz w:val="13"/>
                  <w:szCs w:val="13"/>
                </w:rPr>
                <w:t>77</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szCs w:val="18"/>
                <w:lang w:val="pt-BR"/>
              </w:rPr>
            </w:pPr>
            <w:bookmarkStart w:id="401" w:name="_Toc336338052"/>
            <w:bookmarkStart w:id="402" w:name="_Toc353470707"/>
            <w:r w:rsidRPr="00734B50">
              <w:rPr>
                <w:rFonts w:ascii="Tahoma" w:hAnsi="Tahoma" w:cs="Tahoma"/>
                <w:sz w:val="14"/>
                <w:lang w:val="pt-BR"/>
              </w:rPr>
              <w:t>Licença para um Processador do SQL Server</w:t>
            </w:r>
            <w:r w:rsidRPr="00734B50">
              <w:rPr>
                <w:rFonts w:ascii="Tahoma" w:eastAsia="Times New Roman" w:hAnsi="Tahoma" w:cs="Tahoma"/>
                <w:color w:val="000000"/>
                <w:sz w:val="18"/>
                <w:szCs w:val="18"/>
                <w:vertAlign w:val="superscript"/>
                <w:lang w:val="pt-BR"/>
              </w:rPr>
              <w:t>®</w:t>
            </w:r>
            <w:r w:rsidRPr="00734B50">
              <w:rPr>
                <w:rFonts w:ascii="Tahoma" w:hAnsi="Tahoma" w:cs="Tahoma"/>
                <w:sz w:val="14"/>
                <w:lang w:val="pt-BR"/>
              </w:rPr>
              <w:t xml:space="preserve"> 2008 R2 Workgroup</w:t>
            </w:r>
            <w:bookmarkEnd w:id="401"/>
            <w:bookmarkEnd w:id="402"/>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color w:val="000000"/>
                <w:sz w:val="13"/>
                <w:szCs w:val="13"/>
              </w:rPr>
            </w:pPr>
            <w:hyperlink w:anchor="_78_SQL_Server®" w:history="1">
              <w:r w:rsidR="00955428" w:rsidRPr="00653421">
                <w:rPr>
                  <w:rStyle w:val="Hyperlink"/>
                  <w:b/>
                  <w:sz w:val="13"/>
                  <w:szCs w:val="13"/>
                </w:rPr>
                <w:t>78</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403" w:name="_Toc336338054"/>
            <w:bookmarkStart w:id="404" w:name="_Toc353470708"/>
            <w:r w:rsidRPr="00653421">
              <w:rPr>
                <w:rFonts w:ascii="Tahoma" w:hAnsi="Tahoma" w:cs="Tahoma"/>
                <w:sz w:val="14"/>
              </w:rPr>
              <w:t>SQL Server</w:t>
            </w:r>
            <w:r w:rsidRPr="00653421">
              <w:rPr>
                <w:rFonts w:ascii="Tahoma" w:eastAsia="Times New Roman" w:hAnsi="Tahoma" w:cs="Tahoma"/>
                <w:color w:val="000000"/>
                <w:sz w:val="18"/>
                <w:szCs w:val="18"/>
                <w:vertAlign w:val="superscript"/>
              </w:rPr>
              <w:t>®</w:t>
            </w:r>
            <w:r w:rsidRPr="00653421">
              <w:rPr>
                <w:rFonts w:ascii="Tahoma" w:hAnsi="Tahoma" w:cs="Tahoma"/>
                <w:sz w:val="14"/>
              </w:rPr>
              <w:t xml:space="preserve"> 2012 Business Intelligence</w:t>
            </w:r>
            <w:bookmarkEnd w:id="403"/>
            <w:bookmarkEnd w:id="404"/>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u w:val="single"/>
              </w:rPr>
              <w:t>75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188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113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38</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75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75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405" w:name="_Toc336338055"/>
            <w:bookmarkStart w:id="406" w:name="_Toc353470709"/>
            <w:r w:rsidRPr="00734B50">
              <w:rPr>
                <w:rFonts w:ascii="Tahoma" w:hAnsi="Tahoma" w:cs="Tahoma"/>
                <w:sz w:val="14"/>
                <w:lang w:val="pt-BR"/>
              </w:rPr>
              <w:t>CAL do SQL Server</w:t>
            </w:r>
            <w:r w:rsidRPr="00734B50">
              <w:rPr>
                <w:rFonts w:ascii="Tahoma" w:eastAsia="Times New Roman" w:hAnsi="Tahoma" w:cs="Tahoma"/>
                <w:color w:val="000000"/>
                <w:sz w:val="18"/>
                <w:szCs w:val="18"/>
                <w:vertAlign w:val="superscript"/>
                <w:lang w:val="pt-BR"/>
              </w:rPr>
              <w:t>®</w:t>
            </w:r>
            <w:r w:rsidRPr="00734B50">
              <w:rPr>
                <w:rFonts w:ascii="Tahoma" w:hAnsi="Tahoma" w:cs="Tahoma"/>
                <w:sz w:val="14"/>
                <w:lang w:val="pt-BR"/>
              </w:rPr>
              <w:t xml:space="preserve"> 2012 (SL de Usuário e Dispositivo)</w:t>
            </w:r>
            <w:bookmarkEnd w:id="405"/>
            <w:bookmarkEnd w:id="406"/>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color w:val="000000"/>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A,S,D</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AO, 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60"/>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407" w:name="_Toc336338056"/>
            <w:bookmarkStart w:id="408" w:name="_Toc353470710"/>
            <w:r w:rsidRPr="00653421">
              <w:rPr>
                <w:rFonts w:ascii="Tahoma" w:hAnsi="Tahoma" w:cs="Tahoma"/>
                <w:sz w:val="14"/>
              </w:rPr>
              <w:t>SQL Server</w:t>
            </w:r>
            <w:r w:rsidRPr="00653421">
              <w:rPr>
                <w:rFonts w:ascii="Tahoma" w:eastAsia="Times New Roman" w:hAnsi="Tahoma" w:cs="Tahoma"/>
                <w:color w:val="000000"/>
                <w:sz w:val="18"/>
                <w:szCs w:val="18"/>
                <w:vertAlign w:val="superscript"/>
              </w:rPr>
              <w:t>®</w:t>
            </w:r>
            <w:r w:rsidRPr="00653421">
              <w:rPr>
                <w:rFonts w:ascii="Tahoma" w:hAnsi="Tahoma" w:cs="Tahoma"/>
                <w:sz w:val="14"/>
              </w:rPr>
              <w:t xml:space="preserve"> 2012 Developer</w:t>
            </w:r>
            <w:bookmarkEnd w:id="407"/>
            <w:bookmarkEnd w:id="408"/>
            <w:r w:rsidRPr="00653421">
              <w:rPr>
                <w:rFonts w:ascii="Tahoma" w:hAnsi="Tahoma" w:cs="Tahoma"/>
                <w:sz w:val="14"/>
              </w:rPr>
              <w:t xml:space="preserve"> </w:t>
            </w:r>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color w:val="000000"/>
                <w:sz w:val="13"/>
                <w:szCs w:val="13"/>
              </w:rPr>
            </w:pPr>
            <w:hyperlink w:anchor="_79_SQL_Server®" w:history="1">
              <w:r w:rsidR="00955428" w:rsidRPr="00653421">
                <w:rPr>
                  <w:rStyle w:val="Hyperlink"/>
                  <w:b/>
                  <w:sz w:val="13"/>
                  <w:szCs w:val="13"/>
                </w:rPr>
                <w:t>79</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409" w:name="_Toc336338057"/>
            <w:bookmarkStart w:id="410" w:name="_Toc353470711"/>
            <w:r w:rsidRPr="00653421">
              <w:rPr>
                <w:rFonts w:ascii="Tahoma" w:hAnsi="Tahoma" w:cs="Tahoma"/>
                <w:sz w:val="14"/>
              </w:rPr>
              <w:t>SQL Server</w:t>
            </w:r>
            <w:r w:rsidRPr="00653421">
              <w:rPr>
                <w:rFonts w:ascii="Tahoma" w:eastAsia="Times New Roman" w:hAnsi="Tahoma" w:cs="Tahoma"/>
                <w:color w:val="000000"/>
                <w:sz w:val="18"/>
                <w:szCs w:val="18"/>
                <w:vertAlign w:val="superscript"/>
              </w:rPr>
              <w:t>®</w:t>
            </w:r>
            <w:r w:rsidRPr="00653421">
              <w:rPr>
                <w:rFonts w:ascii="Tahoma" w:hAnsi="Tahoma" w:cs="Tahoma"/>
                <w:sz w:val="14"/>
              </w:rPr>
              <w:t xml:space="preserve"> 2012 Enterprise</w:t>
            </w:r>
            <w:bookmarkEnd w:id="409"/>
            <w:bookmarkEnd w:id="410"/>
            <w:r w:rsidRPr="00653421">
              <w:rPr>
                <w:rFonts w:ascii="Tahoma" w:hAnsi="Tahoma" w:cs="Tahoma"/>
                <w:sz w:val="14"/>
              </w:rPr>
              <w:t xml:space="preserve"> </w:t>
            </w:r>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color w:val="000000"/>
                <w:sz w:val="13"/>
                <w:szCs w:val="13"/>
              </w:rPr>
            </w:pPr>
            <w:hyperlink w:anchor="_81_79_SQL" w:history="1">
              <w:r w:rsidR="002E59B1" w:rsidRPr="00653421">
                <w:rPr>
                  <w:rStyle w:val="Hyperlink"/>
                  <w:b/>
                  <w:sz w:val="13"/>
                  <w:szCs w:val="13"/>
                </w:rPr>
                <w:t>80</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188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113</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B75E3C">
            <w:pPr>
              <w:pStyle w:val="ProductNames"/>
              <w:spacing w:beforeLines="20" w:before="48" w:afterLines="20" w:after="48"/>
              <w:rPr>
                <w:rFonts w:ascii="Tahoma" w:hAnsi="Tahoma" w:cs="Tahoma"/>
                <w:sz w:val="14"/>
                <w:lang w:val="pt-BR"/>
              </w:rPr>
            </w:pPr>
            <w:bookmarkStart w:id="411" w:name="_Toc336338058"/>
            <w:bookmarkStart w:id="412" w:name="_Toc353470712"/>
            <w:r w:rsidRPr="00734B50">
              <w:rPr>
                <w:rFonts w:ascii="Tahoma" w:hAnsi="Tahoma" w:cs="Tahoma"/>
                <w:sz w:val="14"/>
                <w:lang w:val="pt-BR"/>
              </w:rPr>
              <w:t>SQL Server</w:t>
            </w:r>
            <w:r w:rsidRPr="00734B50">
              <w:rPr>
                <w:rFonts w:ascii="Tahoma" w:eastAsia="Times New Roman" w:hAnsi="Tahoma" w:cs="Tahoma"/>
                <w:color w:val="000000"/>
                <w:sz w:val="18"/>
                <w:szCs w:val="18"/>
                <w:vertAlign w:val="superscript"/>
                <w:lang w:val="pt-BR"/>
              </w:rPr>
              <w:t>®</w:t>
            </w:r>
            <w:r w:rsidRPr="00734B50">
              <w:rPr>
                <w:rFonts w:ascii="Tahoma" w:hAnsi="Tahoma" w:cs="Tahoma"/>
                <w:sz w:val="14"/>
                <w:lang w:val="pt-BR"/>
              </w:rPr>
              <w:t xml:space="preserve"> 2012 Enterprise Core (duas</w:t>
            </w:r>
            <w:r w:rsidR="00B75E3C" w:rsidRPr="00734B50">
              <w:rPr>
                <w:rFonts w:ascii="Tahoma" w:hAnsi="Tahoma" w:cs="Tahoma"/>
                <w:sz w:val="14"/>
                <w:lang w:val="pt-BR"/>
              </w:rPr>
              <w:t> </w:t>
            </w:r>
            <w:r w:rsidRPr="00734B50">
              <w:rPr>
                <w:rFonts w:ascii="Tahoma" w:hAnsi="Tahoma" w:cs="Tahoma"/>
                <w:sz w:val="14"/>
                <w:lang w:val="pt-BR"/>
              </w:rPr>
              <w:t>Licenças Principais de pacote)</w:t>
            </w:r>
            <w:bookmarkEnd w:id="411"/>
            <w:bookmarkEnd w:id="412"/>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color w:val="0000FF"/>
                <w:sz w:val="13"/>
                <w:szCs w:val="13"/>
                <w:u w:val="single"/>
              </w:rPr>
            </w:pPr>
            <w:hyperlink w:anchor="_81_SQL_Server®" w:history="1">
              <w:r w:rsidR="00955428" w:rsidRPr="00653421">
                <w:rPr>
                  <w:rStyle w:val="Hyperlink"/>
                  <w:b/>
                  <w:sz w:val="13"/>
                  <w:szCs w:val="13"/>
                </w:rPr>
                <w:t>81</w:t>
              </w:r>
            </w:hyperlink>
            <w:hyperlink w:anchor="Srv_89SQLServer2012EnterpriseCore"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313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188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188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63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413" w:name="_Toc336338046"/>
            <w:bookmarkStart w:id="414" w:name="_Toc353470713"/>
            <w:r w:rsidRPr="00653421">
              <w:rPr>
                <w:rFonts w:ascii="Tahoma" w:hAnsi="Tahoma" w:cs="Tahoma"/>
                <w:sz w:val="14"/>
              </w:rPr>
              <w:t>SQL Server</w:t>
            </w:r>
            <w:r w:rsidRPr="00653421">
              <w:rPr>
                <w:rFonts w:ascii="Tahoma" w:eastAsia="Times New Roman" w:hAnsi="Tahoma" w:cs="Tahoma"/>
                <w:color w:val="000000"/>
                <w:sz w:val="18"/>
                <w:szCs w:val="18"/>
                <w:vertAlign w:val="superscript"/>
              </w:rPr>
              <w:t>®</w:t>
            </w:r>
            <w:r w:rsidRPr="00653421">
              <w:rPr>
                <w:rFonts w:ascii="Tahoma" w:hAnsi="Tahoma" w:cs="Tahoma"/>
                <w:sz w:val="14"/>
              </w:rPr>
              <w:t xml:space="preserve"> 2012 Parallel Data Warehouse</w:t>
            </w:r>
            <w:bookmarkEnd w:id="413"/>
            <w:bookmarkEnd w:id="414"/>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rFonts w:cs="Tahoma"/>
                <w:b w:val="0"/>
                <w:color w:val="000000"/>
                <w:sz w:val="13"/>
                <w:szCs w:val="13"/>
                <w:u w:val="single"/>
              </w:rPr>
            </w:pPr>
            <w:hyperlink w:anchor="_82_SQL_Server" w:history="1">
              <w:r w:rsidR="00955428" w:rsidRPr="00653421">
                <w:rPr>
                  <w:rStyle w:val="Hyperlink"/>
                  <w:b/>
                  <w:sz w:val="13"/>
                  <w:szCs w:val="13"/>
                </w:rPr>
                <w:t>82</w:t>
              </w:r>
            </w:hyperlink>
            <w:hyperlink w:anchor="_80_SQL_Server"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400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300</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415" w:name="_Toc336338047"/>
            <w:bookmarkStart w:id="416" w:name="_Toc353470714"/>
            <w:r w:rsidRPr="00653421">
              <w:rPr>
                <w:rFonts w:ascii="Tahoma" w:hAnsi="Tahoma" w:cs="Tahoma"/>
                <w:sz w:val="14"/>
              </w:rPr>
              <w:t>SQL Server</w:t>
            </w:r>
            <w:r w:rsidRPr="00653421">
              <w:rPr>
                <w:rFonts w:ascii="Tahoma" w:eastAsia="Times New Roman" w:hAnsi="Tahoma" w:cs="Tahoma"/>
                <w:color w:val="000000"/>
                <w:sz w:val="18"/>
                <w:szCs w:val="18"/>
                <w:vertAlign w:val="superscript"/>
              </w:rPr>
              <w:t>®</w:t>
            </w:r>
            <w:r w:rsidRPr="00653421">
              <w:rPr>
                <w:rFonts w:ascii="Tahoma" w:hAnsi="Tahoma" w:cs="Tahoma"/>
                <w:sz w:val="14"/>
              </w:rPr>
              <w:t xml:space="preserve"> 2012 Parallel Data Warehouse Developer</w:t>
            </w:r>
            <w:bookmarkEnd w:id="415"/>
            <w:bookmarkEnd w:id="416"/>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417" w:name="_Toc336338059"/>
            <w:bookmarkStart w:id="418" w:name="_Toc353470715"/>
            <w:r w:rsidRPr="00653421">
              <w:rPr>
                <w:rFonts w:ascii="Tahoma" w:hAnsi="Tahoma" w:cs="Tahoma"/>
                <w:sz w:val="14"/>
              </w:rPr>
              <w:t>SQL Server</w:t>
            </w:r>
            <w:r w:rsidRPr="00653421">
              <w:rPr>
                <w:rFonts w:ascii="Tahoma" w:eastAsia="Times New Roman" w:hAnsi="Tahoma" w:cs="Tahoma"/>
                <w:color w:val="000000"/>
                <w:sz w:val="18"/>
                <w:szCs w:val="18"/>
                <w:vertAlign w:val="superscript"/>
              </w:rPr>
              <w:t>®</w:t>
            </w:r>
            <w:r w:rsidRPr="00653421">
              <w:rPr>
                <w:rFonts w:ascii="Tahoma" w:hAnsi="Tahoma" w:cs="Tahoma"/>
                <w:sz w:val="14"/>
              </w:rPr>
              <w:t xml:space="preserve"> 2012 Standard</w:t>
            </w:r>
            <w:bookmarkEnd w:id="417"/>
            <w:bookmarkEnd w:id="418"/>
            <w:r w:rsidRPr="00653421">
              <w:rPr>
                <w:rFonts w:ascii="Tahoma" w:hAnsi="Tahoma" w:cs="Tahoma"/>
                <w:sz w:val="14"/>
              </w:rPr>
              <w:t xml:space="preserve"> </w:t>
            </w:r>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82_SQL_Server®" w:history="1">
              <w:r w:rsidR="00955428" w:rsidRPr="00653421">
                <w:rPr>
                  <w:rStyle w:val="Hyperlink"/>
                  <w:b/>
                  <w:sz w:val="13"/>
                  <w:szCs w:val="13"/>
                </w:rPr>
                <w:t>83</w:t>
              </w:r>
            </w:hyperlink>
            <w:hyperlink w:anchor="Srv_90SQLServer2012Standard"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23</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8</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95190D">
            <w:pPr>
              <w:pStyle w:val="ProductNames"/>
              <w:keepNext/>
              <w:spacing w:beforeLines="20" w:before="48" w:afterLines="20" w:after="48"/>
              <w:rPr>
                <w:rFonts w:ascii="Tahoma" w:hAnsi="Tahoma" w:cs="Tahoma"/>
                <w:sz w:val="14"/>
                <w:lang w:val="pt-BR"/>
              </w:rPr>
            </w:pPr>
            <w:bookmarkStart w:id="419" w:name="_Toc336338060"/>
            <w:bookmarkStart w:id="420" w:name="_Toc353470716"/>
            <w:r w:rsidRPr="00734B50">
              <w:rPr>
                <w:rFonts w:ascii="Tahoma" w:hAnsi="Tahoma" w:cs="Tahoma"/>
                <w:sz w:val="14"/>
                <w:lang w:val="pt-BR"/>
              </w:rPr>
              <w:lastRenderedPageBreak/>
              <w:t>SQL Server</w:t>
            </w:r>
            <w:r w:rsidRPr="00734B50">
              <w:rPr>
                <w:rFonts w:ascii="Tahoma" w:eastAsia="Times New Roman" w:hAnsi="Tahoma" w:cs="Tahoma"/>
                <w:color w:val="000000"/>
                <w:sz w:val="18"/>
                <w:szCs w:val="18"/>
                <w:vertAlign w:val="superscript"/>
                <w:lang w:val="pt-BR"/>
              </w:rPr>
              <w:t>®</w:t>
            </w:r>
            <w:r w:rsidRPr="00734B50">
              <w:rPr>
                <w:rFonts w:ascii="Tahoma" w:hAnsi="Tahoma" w:cs="Tahoma"/>
                <w:sz w:val="14"/>
                <w:lang w:val="pt-BR"/>
              </w:rPr>
              <w:t xml:space="preserve"> 2012 Standard Core (duas</w:t>
            </w:r>
            <w:r w:rsidR="00B75E3C" w:rsidRPr="00734B50">
              <w:rPr>
                <w:rFonts w:ascii="Tahoma" w:hAnsi="Tahoma" w:cs="Tahoma"/>
                <w:sz w:val="14"/>
                <w:lang w:val="pt-BR"/>
              </w:rPr>
              <w:t> </w:t>
            </w:r>
            <w:r w:rsidRPr="00734B50">
              <w:rPr>
                <w:rFonts w:ascii="Tahoma" w:hAnsi="Tahoma" w:cs="Tahoma"/>
                <w:sz w:val="14"/>
                <w:lang w:val="pt-BR"/>
              </w:rPr>
              <w:t>Licenças Principais de pacote)</w:t>
            </w:r>
            <w:bookmarkEnd w:id="419"/>
            <w:bookmarkEnd w:id="420"/>
          </w:p>
        </w:tc>
        <w:tc>
          <w:tcPr>
            <w:tcW w:w="360" w:type="dxa"/>
            <w:tcBorders>
              <w:bottom w:val="single" w:sz="4" w:space="0" w:color="auto"/>
            </w:tcBorders>
            <w:shd w:val="clear" w:color="auto" w:fill="FABF8F"/>
            <w:vAlign w:val="center"/>
          </w:tcPr>
          <w:p w:rsidR="001A63C6" w:rsidRPr="00653421" w:rsidRDefault="0033195D" w:rsidP="00BA1576">
            <w:pPr>
              <w:pStyle w:val="TableText"/>
              <w:keepNext/>
              <w:keepLines/>
              <w:widowControl w:val="0"/>
              <w:spacing w:before="30" w:after="30"/>
              <w:rPr>
                <w:rStyle w:val="EndnoteReference"/>
                <w:rFonts w:cs="Tahoma"/>
                <w:b w:val="0"/>
                <w:color w:val="000000"/>
                <w:sz w:val="13"/>
                <w:szCs w:val="13"/>
                <w:u w:val="single"/>
              </w:rPr>
            </w:pPr>
            <w:hyperlink w:anchor="_84_SQL_Server®" w:history="1">
              <w:r w:rsidR="00955428" w:rsidRPr="00653421">
                <w:rPr>
                  <w:rStyle w:val="Hyperlink"/>
                  <w:b/>
                  <w:sz w:val="13"/>
                  <w:szCs w:val="13"/>
                </w:rPr>
                <w:t>84</w:t>
              </w:r>
            </w:hyperlink>
            <w:hyperlink w:anchor="Srv_91SQLServer2012StandardCore" w:history="1"/>
          </w:p>
        </w:tc>
        <w:tc>
          <w:tcPr>
            <w:tcW w:w="45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LO/OV</w:t>
            </w: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421" w:name="_Toc336338062"/>
            <w:bookmarkStart w:id="422" w:name="_Toc353470717"/>
            <w:r w:rsidRPr="00734B50">
              <w:rPr>
                <w:rFonts w:ascii="Tahoma" w:hAnsi="Tahoma" w:cs="Tahoma"/>
                <w:sz w:val="14"/>
                <w:lang w:val="pt-BR"/>
              </w:rPr>
              <w:t>Licença de Gerenciamento de Servidor do System Center Configuration Manager 2007 R3 Enterprise</w:t>
            </w:r>
            <w:bookmarkEnd w:id="421"/>
            <w:bookmarkEnd w:id="422"/>
            <w:r w:rsidRPr="00734B50">
              <w:rPr>
                <w:rFonts w:ascii="Tahoma" w:hAnsi="Tahoma" w:cs="Tahoma"/>
                <w:sz w:val="14"/>
                <w:lang w:val="pt-BR"/>
              </w:rPr>
              <w:t xml:space="preserve"> </w:t>
            </w:r>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color w:val="0000FF"/>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423" w:name="_Toc336338063"/>
            <w:bookmarkStart w:id="424" w:name="_Toc353470718"/>
            <w:r w:rsidRPr="00734B50">
              <w:rPr>
                <w:rFonts w:ascii="Tahoma" w:hAnsi="Tahoma" w:cs="Tahoma"/>
                <w:sz w:val="14"/>
                <w:lang w:val="pt-BR"/>
              </w:rPr>
              <w:t>Licença de Gerenciamento de Servidor Standard (ML de Servidor Standard) do System Center Configuration Manager 2007 R3)</w:t>
            </w:r>
            <w:bookmarkEnd w:id="423"/>
            <w:bookmarkEnd w:id="424"/>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color w:val="0000FF"/>
                <w:sz w:val="13"/>
                <w:szCs w:val="13"/>
                <w:u w:val="single"/>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10" w:before="24" w:afterLines="10" w:after="24"/>
              <w:rPr>
                <w:rFonts w:ascii="Tahoma" w:hAnsi="Tahoma" w:cs="Tahoma"/>
                <w:sz w:val="14"/>
                <w:lang w:val="pt-BR"/>
              </w:rPr>
            </w:pPr>
            <w:bookmarkStart w:id="425" w:name="_Toc257333903"/>
            <w:bookmarkStart w:id="426" w:name="_Toc336338067"/>
            <w:bookmarkStart w:id="427" w:name="_Toc353470719"/>
            <w:r w:rsidRPr="00734B50">
              <w:rPr>
                <w:rFonts w:ascii="Tahoma" w:hAnsi="Tahoma" w:cs="Tahoma"/>
                <w:sz w:val="14"/>
                <w:lang w:val="pt-BR"/>
              </w:rPr>
              <w:t>Licença de Gerenciamento de Servidor Enterprise do System Center Data Protection Manager 2010</w:t>
            </w:r>
            <w:bookmarkEnd w:id="425"/>
            <w:bookmarkEnd w:id="426"/>
            <w:bookmarkEnd w:id="427"/>
            <w:r w:rsidRPr="00734B50">
              <w:rPr>
                <w:rFonts w:ascii="Tahoma" w:hAnsi="Tahoma" w:cs="Tahoma"/>
                <w:sz w:val="14"/>
                <w:lang w:val="pt-BR"/>
              </w:rPr>
              <w:t xml:space="preserve"> </w:t>
            </w:r>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AO, 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10" w:before="24" w:afterLines="10" w:after="24"/>
              <w:rPr>
                <w:rFonts w:ascii="Tahoma" w:hAnsi="Tahoma" w:cs="Tahoma"/>
                <w:sz w:val="14"/>
                <w:lang w:val="pt-BR"/>
              </w:rPr>
            </w:pPr>
            <w:bookmarkStart w:id="428" w:name="_Toc257333904"/>
            <w:bookmarkStart w:id="429" w:name="_Toc336338068"/>
            <w:bookmarkStart w:id="430" w:name="_Toc353470720"/>
            <w:r w:rsidRPr="00734B50">
              <w:rPr>
                <w:rFonts w:ascii="Tahoma" w:hAnsi="Tahoma" w:cs="Tahoma"/>
                <w:sz w:val="14"/>
                <w:lang w:val="pt-BR"/>
              </w:rPr>
              <w:t>Licença de Gerenciamento de Servidor Standard do System Center Data Protection Manager 2010</w:t>
            </w:r>
            <w:bookmarkEnd w:id="428"/>
            <w:bookmarkEnd w:id="429"/>
            <w:bookmarkEnd w:id="430"/>
            <w:r w:rsidRPr="00734B50">
              <w:rPr>
                <w:rFonts w:ascii="Tahoma" w:hAnsi="Tahoma" w:cs="Tahoma"/>
                <w:sz w:val="14"/>
                <w:lang w:val="pt-BR"/>
              </w:rPr>
              <w:t xml:space="preserve"> </w:t>
            </w:r>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color w:val="0000FF"/>
                <w:sz w:val="13"/>
                <w:szCs w:val="13"/>
                <w:u w:val="single"/>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AO, 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431" w:name="_Toc336338069"/>
            <w:bookmarkStart w:id="432" w:name="_Toc353470721"/>
            <w:bookmarkStart w:id="433" w:name="_Toc257333905"/>
            <w:r w:rsidRPr="00653421">
              <w:rPr>
                <w:rFonts w:ascii="Tahoma" w:hAnsi="Tahoma" w:cs="Tahoma"/>
                <w:sz w:val="14"/>
              </w:rPr>
              <w:t>System Center Essentials 2010</w:t>
            </w:r>
            <w:bookmarkEnd w:id="431"/>
            <w:bookmarkEnd w:id="432"/>
            <w:r w:rsidRPr="00653421">
              <w:rPr>
                <w:rFonts w:ascii="Tahoma" w:hAnsi="Tahoma" w:cs="Tahoma"/>
                <w:sz w:val="14"/>
              </w:rPr>
              <w:t xml:space="preserve"> </w:t>
            </w:r>
            <w:bookmarkEnd w:id="433"/>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color w:val="0000FF"/>
                <w:sz w:val="13"/>
                <w:szCs w:val="13"/>
                <w:u w:val="single"/>
              </w:rPr>
            </w:pPr>
            <w:hyperlink w:anchor="_79_System_Center" w:history="1">
              <w:r w:rsidR="00955428" w:rsidRPr="00653421">
                <w:rPr>
                  <w:rStyle w:val="Hyperlink"/>
                  <w:b/>
                  <w:sz w:val="13"/>
                  <w:szCs w:val="13"/>
                </w:rPr>
                <w:t>85</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BA1576">
            <w:pPr>
              <w:pStyle w:val="ProductNames"/>
              <w:spacing w:beforeLines="20" w:before="48" w:afterLines="20" w:after="48"/>
              <w:rPr>
                <w:rFonts w:ascii="Tahoma" w:hAnsi="Tahoma" w:cs="Tahoma"/>
                <w:sz w:val="14"/>
                <w:lang w:val="pt-BR"/>
              </w:rPr>
            </w:pPr>
            <w:bookmarkStart w:id="434" w:name="_Toc257333906"/>
            <w:bookmarkStart w:id="435" w:name="_Toc336338070"/>
            <w:bookmarkStart w:id="436" w:name="_Toc353470722"/>
            <w:r w:rsidRPr="00734B50">
              <w:rPr>
                <w:rFonts w:ascii="Tahoma" w:hAnsi="Tahoma" w:cs="Tahoma"/>
                <w:sz w:val="14"/>
                <w:lang w:val="pt-BR"/>
              </w:rPr>
              <w:t>ML de Cliente do System Center Essentials</w:t>
            </w:r>
            <w:r w:rsidR="00BA1576" w:rsidRPr="00734B50">
              <w:rPr>
                <w:rFonts w:ascii="Tahoma" w:hAnsi="Tahoma" w:cs="Tahoma"/>
                <w:sz w:val="14"/>
                <w:lang w:val="pt-BR"/>
              </w:rPr>
              <w:t> </w:t>
            </w:r>
            <w:r w:rsidRPr="00734B50">
              <w:rPr>
                <w:rFonts w:ascii="Tahoma" w:hAnsi="Tahoma" w:cs="Tahoma"/>
                <w:sz w:val="14"/>
                <w:lang w:val="pt-BR"/>
              </w:rPr>
              <w:t>2010</w:t>
            </w:r>
            <w:bookmarkEnd w:id="434"/>
            <w:bookmarkEnd w:id="435"/>
            <w:bookmarkEnd w:id="436"/>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437" w:name="_Toc257333908"/>
            <w:bookmarkStart w:id="438" w:name="_Toc336338071"/>
            <w:bookmarkStart w:id="439" w:name="_Toc353470723"/>
            <w:r w:rsidRPr="00734B50">
              <w:rPr>
                <w:rFonts w:ascii="Tahoma" w:hAnsi="Tahoma" w:cs="Tahoma"/>
                <w:sz w:val="14"/>
                <w:lang w:val="pt-BR"/>
              </w:rPr>
              <w:t>ML de Servidor do System Center Essentials 2010</w:t>
            </w:r>
            <w:bookmarkEnd w:id="437"/>
            <w:bookmarkEnd w:id="438"/>
            <w:bookmarkEnd w:id="439"/>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auto"/>
            <w:vAlign w:val="center"/>
          </w:tcPr>
          <w:p w:rsidR="001A63C6" w:rsidRPr="00734B50" w:rsidRDefault="001A63C6" w:rsidP="00BA1576">
            <w:pPr>
              <w:pStyle w:val="TableText"/>
              <w:widowControl w:val="0"/>
              <w:spacing w:before="30" w:after="3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440" w:name="_Toc336338072"/>
            <w:bookmarkStart w:id="441" w:name="_Toc353470724"/>
            <w:bookmarkStart w:id="442" w:name="_Toc257333910"/>
            <w:r w:rsidRPr="00734B50">
              <w:rPr>
                <w:rFonts w:ascii="Tahoma" w:hAnsi="Tahoma" w:cs="Tahoma"/>
                <w:sz w:val="14"/>
                <w:lang w:val="pt-BR"/>
              </w:rPr>
              <w:t>System Center Essentials 2010 com Tecnologia SQL Server 2008</w:t>
            </w:r>
            <w:bookmarkEnd w:id="440"/>
            <w:bookmarkEnd w:id="441"/>
            <w:r w:rsidRPr="00734B50">
              <w:rPr>
                <w:rFonts w:ascii="Tahoma" w:hAnsi="Tahoma" w:cs="Tahoma"/>
                <w:sz w:val="14"/>
                <w:lang w:val="pt-BR"/>
              </w:rPr>
              <w:t xml:space="preserve"> </w:t>
            </w:r>
            <w:bookmarkEnd w:id="442"/>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fr-FR"/>
              </w:rPr>
            </w:pPr>
            <w:bookmarkStart w:id="443" w:name="_Toc336338073"/>
            <w:bookmarkStart w:id="444" w:name="_Toc353470725"/>
            <w:r w:rsidRPr="00734B50">
              <w:rPr>
                <w:rFonts w:ascii="Tahoma" w:hAnsi="Tahoma" w:cs="Tahoma"/>
                <w:sz w:val="14"/>
                <w:lang w:val="fr-FR"/>
              </w:rPr>
              <w:t>Management License Suite do System Center Essentials Plus 2010 Client</w:t>
            </w:r>
            <w:bookmarkEnd w:id="443"/>
            <w:bookmarkEnd w:id="444"/>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sz w:val="13"/>
                <w:szCs w:val="13"/>
                <w:u w:val="single"/>
                <w:lang w:val="fr-F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445" w:name="_Toc336338077"/>
            <w:bookmarkStart w:id="446" w:name="_Toc353470726"/>
            <w:r w:rsidRPr="00734B50">
              <w:rPr>
                <w:rFonts w:ascii="Tahoma" w:hAnsi="Tahoma" w:cs="Tahoma"/>
                <w:sz w:val="14"/>
                <w:lang w:val="pt-BR"/>
              </w:rPr>
              <w:t>Licença de Gerenciamento de Servidor Standard do System Center Operations Manager 2007 R2</w:t>
            </w:r>
            <w:bookmarkEnd w:id="445"/>
            <w:bookmarkEnd w:id="446"/>
            <w:r w:rsidRPr="00734B50">
              <w:rPr>
                <w:rFonts w:ascii="Tahoma" w:hAnsi="Tahoma" w:cs="Tahoma"/>
                <w:sz w:val="14"/>
                <w:lang w:val="pt-BR"/>
              </w:rPr>
              <w:t xml:space="preserve"> </w:t>
            </w:r>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color w:val="000000"/>
                <w:sz w:val="13"/>
                <w:szCs w:val="13"/>
                <w:u w:val="single"/>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447" w:name="_Toc336338078"/>
            <w:bookmarkStart w:id="448" w:name="_Toc353470727"/>
            <w:r w:rsidRPr="00734B50">
              <w:rPr>
                <w:rFonts w:ascii="Tahoma" w:hAnsi="Tahoma" w:cs="Tahoma"/>
                <w:sz w:val="14"/>
                <w:lang w:val="pt-BR"/>
              </w:rPr>
              <w:t>Licença de Gerenciamento de Servidor Enterprise do System Center Operations Manager 2007 R2</w:t>
            </w:r>
            <w:bookmarkEnd w:id="447"/>
            <w:bookmarkEnd w:id="448"/>
            <w:r w:rsidRPr="00734B50">
              <w:rPr>
                <w:rFonts w:ascii="Tahoma" w:hAnsi="Tahoma" w:cs="Tahoma"/>
                <w:sz w:val="14"/>
                <w:lang w:val="pt-BR"/>
              </w:rPr>
              <w:t xml:space="preserve"> </w:t>
            </w:r>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color w:val="000000"/>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449" w:name="_Toc336338079"/>
            <w:bookmarkStart w:id="450" w:name="_Toc353470728"/>
            <w:r w:rsidRPr="00734B50">
              <w:rPr>
                <w:rFonts w:ascii="Tahoma" w:hAnsi="Tahoma" w:cs="Tahoma"/>
                <w:sz w:val="14"/>
                <w:lang w:val="pt-BR"/>
              </w:rPr>
              <w:t>Licença de Gerenciamento de Cliente do System Center Operations Manager 2007 R2 por OSE</w:t>
            </w:r>
            <w:bookmarkEnd w:id="449"/>
            <w:bookmarkEnd w:id="450"/>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color w:val="000000"/>
                <w:sz w:val="13"/>
                <w:szCs w:val="13"/>
                <w:u w:val="single"/>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AO, 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pt-BR"/>
              </w:rPr>
            </w:pPr>
            <w:bookmarkStart w:id="451" w:name="_Toc336338080"/>
            <w:bookmarkStart w:id="452" w:name="_Toc353470729"/>
            <w:r w:rsidRPr="00734B50">
              <w:rPr>
                <w:rFonts w:ascii="Tahoma" w:hAnsi="Tahoma" w:cs="Tahoma"/>
                <w:sz w:val="14"/>
                <w:lang w:val="pt-BR"/>
              </w:rPr>
              <w:t>Licença de Gerenciamento de Cliente do System Center Operations Manager 2007 R2 por Usuário</w:t>
            </w:r>
            <w:bookmarkEnd w:id="451"/>
            <w:bookmarkEnd w:id="452"/>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color w:val="000000"/>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pPr>
          </w:p>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453" w:name="_Toc336338081"/>
            <w:bookmarkStart w:id="454" w:name="_Toc353470730"/>
            <w:r w:rsidRPr="00653421">
              <w:rPr>
                <w:rFonts w:ascii="Tahoma" w:hAnsi="Tahoma" w:cs="Tahoma"/>
                <w:sz w:val="14"/>
              </w:rPr>
              <w:t>System Center Reporting Manager 2006</w:t>
            </w:r>
            <w:bookmarkEnd w:id="453"/>
            <w:bookmarkEnd w:id="454"/>
            <w:r w:rsidRPr="00653421">
              <w:rPr>
                <w:rFonts w:ascii="Tahoma" w:hAnsi="Tahoma" w:cs="Tahoma"/>
                <w:sz w:val="14"/>
              </w:rPr>
              <w:t xml:space="preserve"> </w:t>
            </w:r>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color w:val="0000FF"/>
                <w:sz w:val="13"/>
                <w:szCs w:val="13"/>
                <w:u w:val="single"/>
              </w:rPr>
            </w:pPr>
            <w:hyperlink w:anchor="_80_System_Center" w:history="1">
              <w:r w:rsidR="00955428" w:rsidRPr="00653421">
                <w:rPr>
                  <w:rStyle w:val="Hyperlink"/>
                  <w:b/>
                  <w:sz w:val="13"/>
                  <w:szCs w:val="13"/>
                </w:rPr>
                <w:t>86</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EF36CE">
            <w:pPr>
              <w:pStyle w:val="ProductNames"/>
              <w:spacing w:beforeLines="20" w:before="48" w:afterLines="20" w:after="48"/>
              <w:rPr>
                <w:rFonts w:ascii="Tahoma" w:hAnsi="Tahoma" w:cs="Tahoma"/>
                <w:sz w:val="14"/>
              </w:rPr>
            </w:pPr>
            <w:bookmarkStart w:id="455" w:name="_Toc336338082"/>
            <w:bookmarkStart w:id="456" w:name="_Toc353470731"/>
            <w:r w:rsidRPr="00653421">
              <w:rPr>
                <w:rFonts w:ascii="Tahoma" w:hAnsi="Tahoma" w:cs="Tahoma"/>
                <w:sz w:val="14"/>
              </w:rPr>
              <w:t>System Center Server Management Suite Enterprise</w:t>
            </w:r>
            <w:bookmarkEnd w:id="455"/>
            <w:bookmarkEnd w:id="456"/>
            <w:r w:rsidRPr="00653421">
              <w:rPr>
                <w:rFonts w:ascii="Tahoma" w:hAnsi="Tahoma" w:cs="Tahoma"/>
                <w:sz w:val="14"/>
              </w:rPr>
              <w:t xml:space="preserve"> </w:t>
            </w:r>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color w:val="0000FF"/>
                <w:sz w:val="13"/>
                <w:szCs w:val="13"/>
                <w:u w:val="single"/>
              </w:rPr>
            </w:pPr>
            <w:hyperlink w:anchor="Srv_85SysCtrSvrMgmtSuiteEnterprise" w:history="1">
              <w:r w:rsidR="00955428" w:rsidRPr="00653421">
                <w:rPr>
                  <w:rStyle w:val="Hyperlink"/>
                  <w:b/>
                  <w:sz w:val="13"/>
                  <w:szCs w:val="13"/>
                </w:rPr>
                <w:t>87</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tcPr>
          <w:p w:rsidR="001A63C6" w:rsidRPr="00653421" w:rsidRDefault="001A63C6" w:rsidP="00EF36CE">
            <w:pPr>
              <w:pStyle w:val="Heading4"/>
              <w:spacing w:beforeLines="20" w:before="48" w:afterLines="20" w:after="48"/>
              <w:ind w:left="0" w:firstLine="0"/>
              <w:rPr>
                <w:rFonts w:ascii="Tahoma" w:hAnsi="Tahoma" w:cs="Tahoma"/>
                <w:b w:val="0"/>
                <w:sz w:val="18"/>
                <w:szCs w:val="18"/>
              </w:rPr>
            </w:pPr>
            <w:bookmarkStart w:id="457" w:name="_Toc336338083"/>
            <w:bookmarkStart w:id="458" w:name="_Toc353470732"/>
            <w:r w:rsidRPr="00653421">
              <w:rPr>
                <w:rFonts w:ascii="Tahoma" w:hAnsi="Tahoma" w:cs="Tahoma"/>
                <w:b w:val="0"/>
                <w:sz w:val="14"/>
                <w:szCs w:val="18"/>
              </w:rPr>
              <w:t>System Center Server Management Suite Datacenter</w:t>
            </w:r>
            <w:bookmarkEnd w:id="457"/>
            <w:bookmarkEnd w:id="458"/>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sz w:val="13"/>
                <w:szCs w:val="13"/>
                <w:u w:val="single"/>
              </w:rPr>
            </w:pPr>
            <w:hyperlink w:anchor="_88_System_Center" w:history="1">
              <w:r w:rsidR="00955428" w:rsidRPr="00653421">
                <w:rPr>
                  <w:rStyle w:val="Hyperlink"/>
                  <w:b/>
                  <w:sz w:val="13"/>
                  <w:szCs w:val="13"/>
                </w:rPr>
                <w:t>88</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C41785">
            <w:pPr>
              <w:pStyle w:val="ProductNames"/>
              <w:spacing w:beforeLines="10" w:before="24" w:afterLines="10" w:after="24"/>
              <w:rPr>
                <w:rFonts w:ascii="Tahoma" w:hAnsi="Tahoma" w:cs="Tahoma"/>
                <w:b/>
                <w:sz w:val="14"/>
                <w:lang w:val="pt-BR"/>
              </w:rPr>
            </w:pPr>
            <w:bookmarkStart w:id="459" w:name="_Toc336338086"/>
            <w:bookmarkStart w:id="460" w:name="_Toc353470733"/>
            <w:r w:rsidRPr="00734B50">
              <w:rPr>
                <w:rFonts w:ascii="Tahoma" w:hAnsi="Tahoma" w:cs="Tahoma"/>
                <w:sz w:val="14"/>
                <w:lang w:val="pt-BR"/>
              </w:rPr>
              <w:t>Licença de Gerenciamento de Cliente (ML</w:t>
            </w:r>
            <w:r w:rsidR="00C41785" w:rsidRPr="00734B50">
              <w:rPr>
                <w:rFonts w:ascii="Tahoma" w:hAnsi="Tahoma" w:cs="Tahoma"/>
                <w:sz w:val="14"/>
                <w:lang w:val="pt-BR"/>
              </w:rPr>
              <w:t> </w:t>
            </w:r>
            <w:r w:rsidRPr="00734B50">
              <w:rPr>
                <w:rFonts w:ascii="Tahoma" w:hAnsi="Tahoma" w:cs="Tahoma"/>
                <w:sz w:val="14"/>
                <w:lang w:val="pt-BR"/>
              </w:rPr>
              <w:t>de Cliente) do System Center Service</w:t>
            </w:r>
            <w:r w:rsidR="00C41785" w:rsidRPr="00734B50">
              <w:rPr>
                <w:rFonts w:ascii="Tahoma" w:hAnsi="Tahoma" w:cs="Tahoma"/>
                <w:sz w:val="14"/>
                <w:lang w:val="pt-BR"/>
              </w:rPr>
              <w:t> </w:t>
            </w:r>
            <w:r w:rsidRPr="00734B50">
              <w:rPr>
                <w:rFonts w:ascii="Tahoma" w:hAnsi="Tahoma" w:cs="Tahoma"/>
                <w:sz w:val="14"/>
                <w:lang w:val="pt-BR"/>
              </w:rPr>
              <w:t>Manager 2010 por OSE</w:t>
            </w:r>
            <w:bookmarkEnd w:id="459"/>
            <w:bookmarkEnd w:id="460"/>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pPr>
          </w:p>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C41785">
            <w:pPr>
              <w:pStyle w:val="ProductNames"/>
              <w:spacing w:beforeLines="10" w:before="24" w:afterLines="10" w:after="24"/>
              <w:rPr>
                <w:rFonts w:ascii="Tahoma" w:hAnsi="Tahoma" w:cs="Tahoma"/>
                <w:b/>
                <w:sz w:val="14"/>
                <w:lang w:val="pt-BR"/>
              </w:rPr>
            </w:pPr>
            <w:bookmarkStart w:id="461" w:name="_Toc336338087"/>
            <w:bookmarkStart w:id="462" w:name="_Toc353470734"/>
            <w:r w:rsidRPr="00734B50">
              <w:rPr>
                <w:rFonts w:ascii="Tahoma" w:hAnsi="Tahoma" w:cs="Tahoma"/>
                <w:sz w:val="14"/>
                <w:lang w:val="pt-BR"/>
              </w:rPr>
              <w:t>Licença de Gerenciamento de Cliente (ML</w:t>
            </w:r>
            <w:r w:rsidR="00C41785" w:rsidRPr="00734B50">
              <w:rPr>
                <w:rFonts w:ascii="Tahoma" w:hAnsi="Tahoma" w:cs="Tahoma"/>
                <w:sz w:val="14"/>
                <w:lang w:val="pt-BR"/>
              </w:rPr>
              <w:t> </w:t>
            </w:r>
            <w:r w:rsidRPr="00734B50">
              <w:rPr>
                <w:rFonts w:ascii="Tahoma" w:hAnsi="Tahoma" w:cs="Tahoma"/>
                <w:sz w:val="14"/>
                <w:lang w:val="pt-BR"/>
              </w:rPr>
              <w:t>de Cliente) do System Center Service</w:t>
            </w:r>
            <w:r w:rsidR="00C41785" w:rsidRPr="00734B50">
              <w:rPr>
                <w:rFonts w:ascii="Tahoma" w:hAnsi="Tahoma" w:cs="Tahoma"/>
                <w:sz w:val="14"/>
                <w:lang w:val="pt-BR"/>
              </w:rPr>
              <w:t> </w:t>
            </w:r>
            <w:r w:rsidRPr="00734B50">
              <w:rPr>
                <w:rFonts w:ascii="Tahoma" w:hAnsi="Tahoma" w:cs="Tahoma"/>
                <w:sz w:val="14"/>
                <w:lang w:val="pt-BR"/>
              </w:rPr>
              <w:t>Manager 2010 por Usuário</w:t>
            </w:r>
            <w:bookmarkEnd w:id="461"/>
            <w:bookmarkEnd w:id="462"/>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pPr>
          </w:p>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C41785">
            <w:pPr>
              <w:pStyle w:val="Heading3"/>
              <w:spacing w:beforeLines="20" w:before="48" w:afterLines="20" w:after="48"/>
              <w:rPr>
                <w:rFonts w:ascii="Tahoma" w:hAnsi="Tahoma" w:cs="Tahoma"/>
                <w:b w:val="0"/>
                <w:sz w:val="14"/>
                <w:szCs w:val="16"/>
                <w:lang w:val="pt-BR"/>
              </w:rPr>
            </w:pPr>
            <w:bookmarkStart w:id="463" w:name="_Toc336338088"/>
            <w:bookmarkStart w:id="464" w:name="_Toc353470735"/>
            <w:r w:rsidRPr="00734B50">
              <w:rPr>
                <w:rFonts w:ascii="Tahoma" w:hAnsi="Tahoma" w:cs="Tahoma"/>
                <w:b w:val="0"/>
                <w:sz w:val="14"/>
                <w:szCs w:val="16"/>
                <w:lang w:val="pt-BR"/>
              </w:rPr>
              <w:t>Licença de Gerenciamento de Servidor (ML</w:t>
            </w:r>
            <w:r w:rsidR="00C41785" w:rsidRPr="00734B50">
              <w:rPr>
                <w:rFonts w:ascii="Tahoma" w:hAnsi="Tahoma" w:cs="Tahoma"/>
                <w:b w:val="0"/>
                <w:sz w:val="14"/>
                <w:szCs w:val="16"/>
                <w:lang w:val="pt-BR"/>
              </w:rPr>
              <w:t> </w:t>
            </w:r>
            <w:r w:rsidRPr="00734B50">
              <w:rPr>
                <w:rFonts w:ascii="Tahoma" w:hAnsi="Tahoma" w:cs="Tahoma"/>
                <w:b w:val="0"/>
                <w:sz w:val="14"/>
                <w:szCs w:val="16"/>
                <w:lang w:val="pt-BR"/>
              </w:rPr>
              <w:t>de Servidor) do System Center Service</w:t>
            </w:r>
            <w:r w:rsidR="00C41785" w:rsidRPr="00734B50">
              <w:rPr>
                <w:rFonts w:ascii="Tahoma" w:hAnsi="Tahoma" w:cs="Tahoma"/>
                <w:b w:val="0"/>
                <w:sz w:val="14"/>
                <w:szCs w:val="16"/>
                <w:lang w:val="pt-BR"/>
              </w:rPr>
              <w:t> </w:t>
            </w:r>
            <w:r w:rsidRPr="00734B50">
              <w:rPr>
                <w:rFonts w:ascii="Tahoma" w:hAnsi="Tahoma" w:cs="Tahoma"/>
                <w:b w:val="0"/>
                <w:sz w:val="14"/>
                <w:szCs w:val="16"/>
                <w:lang w:val="pt-BR"/>
              </w:rPr>
              <w:t>Manager 2010 por OSE</w:t>
            </w:r>
            <w:bookmarkEnd w:id="463"/>
            <w:bookmarkEnd w:id="464"/>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pPr>
          </w:p>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6864A1" w:rsidRPr="00653421" w:rsidTr="00BA1576">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734B50" w:rsidRDefault="001A63C6" w:rsidP="00EF36CE">
            <w:pPr>
              <w:pStyle w:val="Heading2"/>
              <w:spacing w:beforeLines="20" w:before="48" w:afterLines="20" w:after="48"/>
              <w:ind w:left="0"/>
              <w:rPr>
                <w:rFonts w:ascii="Tahoma" w:hAnsi="Tahoma" w:cs="Tahoma"/>
                <w:b w:val="0"/>
                <w:sz w:val="14"/>
                <w:szCs w:val="14"/>
                <w:lang w:val="pt-BR"/>
              </w:rPr>
            </w:pPr>
            <w:bookmarkStart w:id="465" w:name="_Toc336338089"/>
            <w:bookmarkStart w:id="466" w:name="_Toc353470736"/>
            <w:r w:rsidRPr="00734B50">
              <w:rPr>
                <w:rFonts w:ascii="Tahoma" w:hAnsi="Tahoma" w:cs="Tahoma"/>
                <w:b w:val="0"/>
                <w:sz w:val="14"/>
                <w:szCs w:val="14"/>
                <w:lang w:val="pt-BR"/>
              </w:rPr>
              <w:t>Licença de Gerenciamento de Cliente do System Center Virtual Machine Manager 2008 R2 por OSE</w:t>
            </w:r>
            <w:bookmarkEnd w:id="465"/>
            <w:bookmarkEnd w:id="466"/>
          </w:p>
        </w:tc>
        <w:tc>
          <w:tcPr>
            <w:tcW w:w="360" w:type="dxa"/>
            <w:tcBorders>
              <w:bottom w:val="single" w:sz="2"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87_System_Center" w:history="1">
              <w:r w:rsidR="00955428" w:rsidRPr="00653421">
                <w:rPr>
                  <w:rStyle w:val="Hyperlink"/>
                  <w:rFonts w:cs="Tahoma"/>
                  <w:b/>
                  <w:sz w:val="13"/>
                  <w:szCs w:val="13"/>
                </w:rPr>
                <w:t>89</w:t>
              </w:r>
            </w:hyperlink>
          </w:p>
        </w:tc>
        <w:tc>
          <w:tcPr>
            <w:tcW w:w="450" w:type="dxa"/>
            <w:tcBorders>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left w:val="single" w:sz="5" w:space="0" w:color="auto"/>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630" w:type="dxa"/>
            <w:tcBorders>
              <w:left w:val="single" w:sz="5" w:space="0" w:color="auto"/>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1</w:t>
            </w:r>
          </w:p>
        </w:tc>
        <w:tc>
          <w:tcPr>
            <w:tcW w:w="540" w:type="dxa"/>
            <w:tcBorders>
              <w:bottom w:val="single" w:sz="2" w:space="0" w:color="auto"/>
              <w:right w:val="single" w:sz="5"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540" w:type="dxa"/>
            <w:tcBorders>
              <w:left w:val="single" w:sz="5" w:space="0" w:color="auto"/>
              <w:bottom w:val="single" w:sz="2" w:space="0" w:color="auto"/>
              <w:right w:val="single" w:sz="5"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720" w:type="dxa"/>
            <w:tcBorders>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3"/>
              </w:rPr>
              <w:t>A</w:t>
            </w:r>
          </w:p>
        </w:tc>
        <w:tc>
          <w:tcPr>
            <w:tcW w:w="540" w:type="dxa"/>
            <w:tcBorders>
              <w:bottom w:val="single" w:sz="2"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r>
      <w:tr w:rsidR="006864A1"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95190D">
            <w:pPr>
              <w:pStyle w:val="Heading2"/>
              <w:keepNext/>
              <w:keepLines/>
              <w:spacing w:beforeLines="20" w:before="48" w:afterLines="20" w:after="48"/>
              <w:ind w:left="0"/>
              <w:rPr>
                <w:rFonts w:ascii="Tahoma" w:hAnsi="Tahoma" w:cs="Tahoma"/>
                <w:b w:val="0"/>
                <w:sz w:val="14"/>
                <w:szCs w:val="14"/>
                <w:lang w:val="pt-BR"/>
              </w:rPr>
            </w:pPr>
            <w:bookmarkStart w:id="467" w:name="_Toc336338090"/>
            <w:bookmarkStart w:id="468" w:name="_Toc353470737"/>
            <w:r w:rsidRPr="00734B50">
              <w:rPr>
                <w:rFonts w:ascii="Tahoma" w:hAnsi="Tahoma" w:cs="Tahoma"/>
                <w:b w:val="0"/>
                <w:sz w:val="14"/>
                <w:szCs w:val="14"/>
                <w:lang w:val="pt-BR"/>
              </w:rPr>
              <w:lastRenderedPageBreak/>
              <w:t>Licença de Gerenciamento de Cliente do System Center Virtual Machine Manager 2008 R2 por Usuário</w:t>
            </w:r>
            <w:bookmarkEnd w:id="467"/>
            <w:bookmarkEnd w:id="468"/>
          </w:p>
        </w:tc>
        <w:tc>
          <w:tcPr>
            <w:tcW w:w="360" w:type="dxa"/>
            <w:tcBorders>
              <w:bottom w:val="single" w:sz="4" w:space="0" w:color="auto"/>
            </w:tcBorders>
            <w:shd w:val="clear" w:color="auto" w:fill="auto"/>
            <w:vAlign w:val="center"/>
          </w:tcPr>
          <w:p w:rsidR="001A63C6" w:rsidRPr="00653421" w:rsidRDefault="0033195D" w:rsidP="00BA1576">
            <w:pPr>
              <w:pStyle w:val="TableText"/>
              <w:keepNext/>
              <w:keepLines/>
              <w:widowControl w:val="0"/>
              <w:spacing w:before="30" w:after="30"/>
              <w:rPr>
                <w:rStyle w:val="EndnoteReference"/>
                <w:rFonts w:cs="Tahoma"/>
                <w:b w:val="0"/>
                <w:sz w:val="13"/>
                <w:szCs w:val="13"/>
                <w:u w:val="single"/>
              </w:rPr>
            </w:pPr>
            <w:hyperlink w:anchor="_87_System_Center" w:history="1">
              <w:r w:rsidR="00955428" w:rsidRPr="00653421">
                <w:rPr>
                  <w:rStyle w:val="Hyperlink"/>
                  <w:rFonts w:cs="Tahoma"/>
                  <w:b/>
                  <w:sz w:val="13"/>
                  <w:szCs w:val="13"/>
                </w:rPr>
                <w:t>89</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szCs w:val="13"/>
              </w:rPr>
            </w:pPr>
            <w:r w:rsidRPr="00653421">
              <w:rPr>
                <w:rFonts w:ascii="Tahoma"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r w:rsidRPr="00653421">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r w:rsidRPr="00653421">
              <w:rPr>
                <w:rFonts w:ascii="Tahoma" w:hAnsi="Tahoma" w:cs="Tahoma"/>
                <w:sz w:val="14"/>
                <w:szCs w:val="14"/>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c>
          <w:tcPr>
            <w:tcW w:w="72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4"/>
                <w:szCs w:val="14"/>
              </w:rPr>
            </w:pPr>
          </w:p>
        </w:tc>
      </w:tr>
      <w:tr w:rsidR="006864A1"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B75E3C">
            <w:pPr>
              <w:pStyle w:val="ProductNames"/>
              <w:spacing w:beforeLines="20" w:before="48" w:afterLines="20" w:after="48"/>
              <w:rPr>
                <w:rFonts w:ascii="Tahoma" w:hAnsi="Tahoma" w:cs="Tahoma"/>
                <w:sz w:val="14"/>
                <w:szCs w:val="14"/>
                <w:lang w:val="pt-BR"/>
              </w:rPr>
            </w:pPr>
            <w:bookmarkStart w:id="469" w:name="_Toc336338091"/>
            <w:bookmarkStart w:id="470" w:name="_Toc353470738"/>
            <w:r w:rsidRPr="00734B50">
              <w:rPr>
                <w:rFonts w:ascii="Tahoma" w:hAnsi="Tahoma" w:cs="Tahoma"/>
                <w:color w:val="000000"/>
                <w:sz w:val="14"/>
                <w:szCs w:val="14"/>
                <w:lang w:val="pt-BR"/>
              </w:rPr>
              <w:t>Licença de Gerenciamento de Servidor Enterprise do System Center Virtual Machine Manager 2008 R2</w:t>
            </w:r>
            <w:bookmarkEnd w:id="469"/>
            <w:bookmarkEnd w:id="470"/>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b w:val="0"/>
                <w:sz w:val="13"/>
                <w:szCs w:val="13"/>
                <w:u w:val="single"/>
              </w:rPr>
            </w:pPr>
            <w:hyperlink w:anchor="_87_System_Center" w:history="1">
              <w:r w:rsidR="00FB6AC4" w:rsidRPr="00653421">
                <w:rPr>
                  <w:rStyle w:val="Hyperlink"/>
                  <w:rFonts w:cs="Tahoma"/>
                  <w:b/>
                  <w:sz w:val="13"/>
                  <w:szCs w:val="13"/>
                </w:rPr>
                <w:t>89</w:t>
              </w:r>
            </w:hyperlink>
            <w:hyperlink w:anchor="Srv_100SysCenterVMM2008R2"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4"/>
                <w:szCs w:val="14"/>
              </w:rPr>
              <w:t>10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4"/>
                <w:szCs w:val="14"/>
              </w:rPr>
            </w:pPr>
          </w:p>
        </w:tc>
      </w:tr>
      <w:tr w:rsidR="006864A1" w:rsidRPr="00653421" w:rsidTr="00BA1576">
        <w:trPr>
          <w:trHeight w:val="368"/>
        </w:trPr>
        <w:tc>
          <w:tcPr>
            <w:tcW w:w="2734" w:type="dxa"/>
            <w:gridSpan w:val="2"/>
            <w:tcBorders>
              <w:bottom w:val="single" w:sz="4" w:space="0" w:color="auto"/>
            </w:tcBorders>
            <w:shd w:val="clear" w:color="auto" w:fill="auto"/>
            <w:vAlign w:val="center"/>
          </w:tcPr>
          <w:p w:rsidR="001A63C6" w:rsidRPr="00734B50" w:rsidRDefault="001A63C6" w:rsidP="00EF36CE">
            <w:pPr>
              <w:pStyle w:val="ProductNames"/>
              <w:spacing w:beforeLines="20" w:before="48" w:afterLines="20" w:after="48"/>
              <w:rPr>
                <w:rFonts w:ascii="Tahoma" w:hAnsi="Tahoma" w:cs="Tahoma"/>
                <w:sz w:val="14"/>
                <w:lang w:val="fr-FR"/>
              </w:rPr>
            </w:pPr>
            <w:bookmarkStart w:id="471" w:name="_Toc336338093"/>
            <w:bookmarkStart w:id="472" w:name="_Toc353470739"/>
            <w:r w:rsidRPr="00734B50">
              <w:rPr>
                <w:rFonts w:ascii="Tahoma" w:hAnsi="Tahoma" w:cs="Tahoma"/>
                <w:sz w:val="14"/>
                <w:szCs w:val="18"/>
                <w:lang w:val="fr-FR"/>
              </w:rPr>
              <w:t>System Center 2012 Client Management Suite (ML de Cliente) por OSE</w:t>
            </w:r>
            <w:bookmarkEnd w:id="471"/>
            <w:bookmarkEnd w:id="472"/>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00"/>
                <w:sz w:val="13"/>
                <w:szCs w:val="13"/>
                <w:u w:val="single"/>
              </w:rPr>
            </w:pPr>
            <w:hyperlink w:anchor="_91_89_System" w:history="1">
              <w:r w:rsidR="002E59B1" w:rsidRPr="0065342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A, E</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P</w:t>
            </w:r>
          </w:p>
        </w:tc>
        <w:tc>
          <w:tcPr>
            <w:tcW w:w="720" w:type="dxa"/>
            <w:tcBorders>
              <w:bottom w:val="single" w:sz="4" w:space="0" w:color="auto"/>
            </w:tcBorders>
            <w:shd w:val="clear" w:color="auto" w:fill="auto"/>
            <w:vAlign w:val="center"/>
          </w:tcPr>
          <w:p w:rsidR="001A63C6" w:rsidRPr="00653421" w:rsidRDefault="001A63C6" w:rsidP="00BA1576">
            <w:pPr>
              <w:spacing w:before="30" w:after="30"/>
              <w:jc w:val="center"/>
            </w:pPr>
            <w:r w:rsidRPr="00653421">
              <w:rPr>
                <w:rFonts w:ascii="Arial" w:hAnsi="Arial" w:cs="Arial"/>
                <w:sz w:val="13"/>
                <w:szCs w:val="13"/>
              </w:rPr>
              <w:t>AO, ST</w:t>
            </w:r>
          </w:p>
          <w:p w:rsidR="001A63C6" w:rsidRPr="00653421" w:rsidRDefault="001A63C6" w:rsidP="00BA1576">
            <w:pPr>
              <w:pStyle w:val="TableText"/>
              <w:widowControl w:val="0"/>
              <w:spacing w:before="30" w:after="30"/>
              <w:rPr>
                <w:rFonts w:ascii="Tahoma" w:hAnsi="Tahoma" w:cs="Tahoma"/>
                <w:sz w:val="13"/>
                <w:szCs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6864A1" w:rsidRPr="00653421" w:rsidTr="00BA1576">
        <w:trPr>
          <w:trHeight w:val="134"/>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473" w:name="_Toc336338094"/>
            <w:bookmarkStart w:id="474" w:name="_Toc353470740"/>
            <w:r w:rsidRPr="00653421">
              <w:rPr>
                <w:rFonts w:ascii="Tahoma" w:hAnsi="Tahoma" w:cs="Tahoma"/>
                <w:sz w:val="14"/>
                <w:szCs w:val="18"/>
              </w:rPr>
              <w:t>System Center 2012 Client Management Suite (ML de Cliente) por Usuário</w:t>
            </w:r>
            <w:bookmarkEnd w:id="473"/>
            <w:bookmarkEnd w:id="474"/>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00"/>
                <w:sz w:val="13"/>
                <w:szCs w:val="13"/>
                <w:u w:val="single"/>
              </w:rPr>
            </w:pPr>
            <w:hyperlink w:anchor="_91_89_System" w:history="1">
              <w:r w:rsidR="00FB6AC4" w:rsidRPr="0065342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6864A1" w:rsidRPr="00653421" w:rsidTr="00BA1576">
        <w:trPr>
          <w:trHeight w:val="134"/>
        </w:trPr>
        <w:tc>
          <w:tcPr>
            <w:tcW w:w="2734" w:type="dxa"/>
            <w:gridSpan w:val="2"/>
            <w:tcBorders>
              <w:bottom w:val="single" w:sz="4" w:space="0" w:color="auto"/>
            </w:tcBorders>
            <w:shd w:val="clear" w:color="auto" w:fill="auto"/>
            <w:vAlign w:val="center"/>
          </w:tcPr>
          <w:p w:rsidR="001A63C6" w:rsidRPr="00734B50" w:rsidRDefault="001A63C6" w:rsidP="00BA1576">
            <w:pPr>
              <w:pStyle w:val="ProductNames"/>
              <w:spacing w:beforeLines="20" w:before="48" w:afterLines="20" w:after="48"/>
              <w:rPr>
                <w:rFonts w:ascii="Tahoma" w:hAnsi="Tahoma" w:cs="Tahoma"/>
                <w:sz w:val="14"/>
                <w:lang w:val="pt-BR"/>
              </w:rPr>
            </w:pPr>
            <w:bookmarkStart w:id="475" w:name="_Toc336338095"/>
            <w:bookmarkStart w:id="476" w:name="_Toc353470741"/>
            <w:r w:rsidRPr="00734B50">
              <w:rPr>
                <w:rFonts w:ascii="Tahoma" w:hAnsi="Tahoma" w:cs="Tahoma"/>
                <w:sz w:val="14"/>
                <w:szCs w:val="14"/>
                <w:lang w:val="pt-BR"/>
              </w:rPr>
              <w:t xml:space="preserve">Licença de Gerenciamento de Cliente </w:t>
            </w:r>
            <w:r w:rsidR="00465D54" w:rsidRPr="00734B50">
              <w:rPr>
                <w:rFonts w:ascii="Tahoma" w:hAnsi="Tahoma" w:cs="Tahoma"/>
                <w:sz w:val="14"/>
                <w:szCs w:val="14"/>
                <w:lang w:val="pt-BR"/>
              </w:rPr>
              <w:br/>
            </w:r>
            <w:r w:rsidRPr="00734B50">
              <w:rPr>
                <w:rFonts w:ascii="Tahoma" w:hAnsi="Tahoma" w:cs="Tahoma"/>
                <w:sz w:val="14"/>
                <w:szCs w:val="14"/>
                <w:lang w:val="pt-BR"/>
              </w:rPr>
              <w:t>(ML de Cliente) do System Center 2012 Configuration Manager (Somente para</w:t>
            </w:r>
            <w:r w:rsidR="00BA1576" w:rsidRPr="00734B50">
              <w:rPr>
                <w:rFonts w:ascii="Tahoma" w:hAnsi="Tahoma" w:cs="Tahoma"/>
                <w:sz w:val="14"/>
                <w:szCs w:val="14"/>
                <w:lang w:val="pt-BR"/>
              </w:rPr>
              <w:t> </w:t>
            </w:r>
            <w:r w:rsidRPr="00734B50">
              <w:rPr>
                <w:rFonts w:ascii="Tahoma" w:hAnsi="Tahoma" w:cs="Tahoma"/>
                <w:sz w:val="14"/>
                <w:szCs w:val="14"/>
                <w:lang w:val="pt-BR"/>
              </w:rPr>
              <w:t>Aluno)</w:t>
            </w:r>
            <w:bookmarkEnd w:id="475"/>
            <w:bookmarkEnd w:id="476"/>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00"/>
                <w:sz w:val="13"/>
                <w:szCs w:val="13"/>
                <w:u w:val="single"/>
              </w:rPr>
            </w:pPr>
            <w:hyperlink w:anchor="_91_89_System" w:history="1">
              <w:r w:rsidR="00FB6AC4" w:rsidRPr="0065342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6864A1" w:rsidRPr="00653421" w:rsidTr="00BA1576">
        <w:trPr>
          <w:trHeight w:val="134"/>
        </w:trPr>
        <w:tc>
          <w:tcPr>
            <w:tcW w:w="2734" w:type="dxa"/>
            <w:gridSpan w:val="2"/>
            <w:tcBorders>
              <w:bottom w:val="single" w:sz="4" w:space="0" w:color="auto"/>
            </w:tcBorders>
            <w:shd w:val="clear" w:color="auto" w:fill="FABF8F"/>
            <w:vAlign w:val="center"/>
          </w:tcPr>
          <w:p w:rsidR="001A63C6" w:rsidRPr="00734B50" w:rsidRDefault="001A63C6" w:rsidP="00465D54">
            <w:pPr>
              <w:pStyle w:val="ProductNames"/>
              <w:spacing w:beforeLines="20" w:before="48" w:afterLines="20" w:after="48"/>
              <w:rPr>
                <w:rFonts w:ascii="Tahoma" w:hAnsi="Tahoma" w:cs="Tahoma"/>
                <w:sz w:val="14"/>
                <w:lang w:val="pt-BR"/>
              </w:rPr>
            </w:pPr>
            <w:bookmarkStart w:id="477" w:name="_Toc336338096"/>
            <w:bookmarkStart w:id="478" w:name="_Toc353470742"/>
            <w:r w:rsidRPr="00734B50">
              <w:rPr>
                <w:rFonts w:ascii="Tahoma" w:hAnsi="Tahoma" w:cs="Tahoma"/>
                <w:sz w:val="14"/>
                <w:lang w:val="pt-BR"/>
              </w:rPr>
              <w:t>Licença de Gerenciamento de Cliente do</w:t>
            </w:r>
            <w:r w:rsidR="00465D54" w:rsidRPr="00734B50">
              <w:rPr>
                <w:rFonts w:ascii="Tahoma" w:hAnsi="Tahoma" w:cs="Tahoma"/>
                <w:sz w:val="14"/>
                <w:lang w:val="pt-BR"/>
              </w:rPr>
              <w:t> </w:t>
            </w:r>
            <w:r w:rsidRPr="00734B50">
              <w:rPr>
                <w:rFonts w:ascii="Tahoma" w:hAnsi="Tahoma" w:cs="Tahoma"/>
                <w:sz w:val="14"/>
                <w:lang w:val="pt-BR"/>
              </w:rPr>
              <w:t>System Center 2012 Configuration Manager por OSE</w:t>
            </w:r>
            <w:bookmarkEnd w:id="477"/>
            <w:bookmarkEnd w:id="478"/>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00"/>
                <w:sz w:val="13"/>
                <w:szCs w:val="13"/>
                <w:u w:val="single"/>
              </w:rPr>
            </w:pPr>
            <w:hyperlink w:anchor="_91_89_System" w:history="1">
              <w:r w:rsidR="00FB6AC4" w:rsidRPr="00653421">
                <w:rPr>
                  <w:rStyle w:val="Hyperlink"/>
                  <w:rFonts w:cs="Tahoma"/>
                  <w:b/>
                  <w:sz w:val="13"/>
                  <w:szCs w:val="13"/>
                </w:rPr>
                <w:t>90</w:t>
              </w:r>
            </w:hyperlink>
            <w:hyperlink w:anchor="_91_89_System"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2</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1</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Arial" w:hAnsi="Arial" w:cs="Arial"/>
                <w:sz w:val="13"/>
                <w:szCs w:val="13"/>
              </w:rPr>
              <w:t>1</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6864A1" w:rsidRPr="00653421" w:rsidTr="00BA1576">
        <w:trPr>
          <w:trHeight w:val="134"/>
        </w:trPr>
        <w:tc>
          <w:tcPr>
            <w:tcW w:w="2734" w:type="dxa"/>
            <w:gridSpan w:val="2"/>
            <w:tcBorders>
              <w:bottom w:val="single" w:sz="4" w:space="0" w:color="auto"/>
            </w:tcBorders>
            <w:shd w:val="clear" w:color="auto" w:fill="FABF8F"/>
            <w:vAlign w:val="center"/>
          </w:tcPr>
          <w:p w:rsidR="001A63C6" w:rsidRPr="00734B50" w:rsidRDefault="001A63C6" w:rsidP="00465D54">
            <w:pPr>
              <w:pStyle w:val="ProductNames"/>
              <w:spacing w:beforeLines="20" w:before="48" w:afterLines="20" w:after="48"/>
              <w:rPr>
                <w:rFonts w:ascii="Tahoma" w:hAnsi="Tahoma" w:cs="Tahoma"/>
                <w:sz w:val="14"/>
                <w:lang w:val="pt-BR"/>
              </w:rPr>
            </w:pPr>
            <w:bookmarkStart w:id="479" w:name="_Toc336338097"/>
            <w:bookmarkStart w:id="480" w:name="_Toc353470743"/>
            <w:r w:rsidRPr="00734B50">
              <w:rPr>
                <w:rFonts w:ascii="Tahoma" w:hAnsi="Tahoma" w:cs="Tahoma"/>
                <w:sz w:val="14"/>
                <w:lang w:val="pt-BR"/>
              </w:rPr>
              <w:t>Licença de Gerenciamento de Cliente do</w:t>
            </w:r>
            <w:r w:rsidR="00465D54" w:rsidRPr="00734B50">
              <w:rPr>
                <w:rFonts w:ascii="Tahoma" w:hAnsi="Tahoma" w:cs="Tahoma"/>
                <w:sz w:val="14"/>
                <w:lang w:val="pt-BR"/>
              </w:rPr>
              <w:t> </w:t>
            </w:r>
            <w:r w:rsidRPr="00734B50">
              <w:rPr>
                <w:rFonts w:ascii="Tahoma" w:hAnsi="Tahoma" w:cs="Tahoma"/>
                <w:sz w:val="14"/>
                <w:lang w:val="pt-BR"/>
              </w:rPr>
              <w:t>System Center 2012 Configuration Manager por Usuário</w:t>
            </w:r>
            <w:bookmarkEnd w:id="479"/>
            <w:bookmarkEnd w:id="480"/>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b/>
                <w:color w:val="000000"/>
                <w:sz w:val="13"/>
                <w:szCs w:val="13"/>
                <w:u w:val="single"/>
              </w:rPr>
            </w:pPr>
            <w:hyperlink w:anchor="_91_89_System" w:history="1">
              <w:r w:rsidR="00FB6AC4" w:rsidRPr="0065342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E</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6864A1" w:rsidRPr="00653421" w:rsidTr="00BA1576">
        <w:trPr>
          <w:trHeight w:val="134"/>
        </w:trPr>
        <w:tc>
          <w:tcPr>
            <w:tcW w:w="2734" w:type="dxa"/>
            <w:gridSpan w:val="2"/>
            <w:tcBorders>
              <w:bottom w:val="single" w:sz="4" w:space="0" w:color="auto"/>
            </w:tcBorders>
            <w:shd w:val="clear" w:color="auto" w:fill="auto"/>
          </w:tcPr>
          <w:p w:rsidR="001A63C6" w:rsidRPr="00734B50" w:rsidRDefault="001A63C6" w:rsidP="00EF36CE">
            <w:pPr>
              <w:pStyle w:val="ProductNames"/>
              <w:spacing w:beforeLines="20" w:before="48" w:afterLines="20" w:after="48"/>
              <w:rPr>
                <w:rFonts w:ascii="Tahoma" w:hAnsi="Tahoma" w:cs="Tahoma"/>
                <w:sz w:val="14"/>
                <w:lang w:val="pt-BR"/>
              </w:rPr>
            </w:pPr>
            <w:bookmarkStart w:id="481" w:name="_Toc336338098"/>
            <w:bookmarkStart w:id="482" w:name="_Toc353470744"/>
            <w:r w:rsidRPr="00734B50">
              <w:rPr>
                <w:rFonts w:ascii="Tahoma" w:hAnsi="Tahoma" w:cs="Tahoma"/>
                <w:sz w:val="14"/>
                <w:lang w:val="pt-BR"/>
              </w:rPr>
              <w:t xml:space="preserve">Licença de Gerenciamento do System Center 2012 Datacenter Server </w:t>
            </w:r>
            <w:r w:rsidR="00465D54" w:rsidRPr="00734B50">
              <w:rPr>
                <w:rFonts w:ascii="Tahoma" w:hAnsi="Tahoma" w:cs="Tahoma"/>
                <w:sz w:val="14"/>
                <w:lang w:val="pt-BR"/>
              </w:rPr>
              <w:br/>
            </w:r>
            <w:r w:rsidRPr="00734B50">
              <w:rPr>
                <w:rFonts w:ascii="Tahoma" w:hAnsi="Tahoma" w:cs="Tahoma"/>
                <w:sz w:val="14"/>
                <w:lang w:val="pt-BR"/>
              </w:rPr>
              <w:t>(2 processadores)</w:t>
            </w:r>
            <w:bookmarkEnd w:id="481"/>
            <w:bookmarkEnd w:id="482"/>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color w:val="000000"/>
                <w:sz w:val="13"/>
                <w:szCs w:val="13"/>
                <w:u w:val="single"/>
              </w:rPr>
            </w:pPr>
            <w:hyperlink w:anchor="_91_89_System" w:history="1">
              <w:r w:rsidR="00FB6AC4" w:rsidRPr="0065342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63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13</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1136F4" w:rsidRPr="00653421" w:rsidTr="00BA1576">
        <w:trPr>
          <w:trHeight w:val="134"/>
        </w:trPr>
        <w:tc>
          <w:tcPr>
            <w:tcW w:w="2734" w:type="dxa"/>
            <w:gridSpan w:val="2"/>
            <w:tcBorders>
              <w:bottom w:val="single" w:sz="4" w:space="0" w:color="auto"/>
            </w:tcBorders>
            <w:shd w:val="clear" w:color="auto" w:fill="FABF8F"/>
            <w:vAlign w:val="center"/>
          </w:tcPr>
          <w:p w:rsidR="001136F4" w:rsidRPr="00653421" w:rsidRDefault="001136F4" w:rsidP="007E466C">
            <w:pPr>
              <w:pStyle w:val="ProductNames"/>
              <w:spacing w:before="60" w:after="60"/>
              <w:rPr>
                <w:rFonts w:ascii="Tahoma" w:hAnsi="Tahoma" w:cs="Tahoma"/>
                <w:sz w:val="14"/>
              </w:rPr>
            </w:pPr>
            <w:bookmarkStart w:id="483" w:name="_Toc353470745"/>
            <w:r w:rsidRPr="00653421">
              <w:rPr>
                <w:rFonts w:ascii="Tahoma" w:hAnsi="Tahoma" w:cs="Tahoma"/>
                <w:sz w:val="14"/>
              </w:rPr>
              <w:t>System Center 2012 Endpoint Protection</w:t>
            </w:r>
            <w:bookmarkEnd w:id="483"/>
          </w:p>
        </w:tc>
        <w:tc>
          <w:tcPr>
            <w:tcW w:w="360" w:type="dxa"/>
            <w:tcBorders>
              <w:bottom w:val="single" w:sz="4" w:space="0" w:color="auto"/>
            </w:tcBorders>
            <w:shd w:val="clear" w:color="auto" w:fill="FABF8F"/>
            <w:vAlign w:val="center"/>
          </w:tcPr>
          <w:p w:rsidR="001136F4" w:rsidRPr="00653421" w:rsidRDefault="0033195D" w:rsidP="00BA1576">
            <w:pPr>
              <w:pStyle w:val="TableText"/>
              <w:widowControl w:val="0"/>
              <w:spacing w:before="30" w:after="30"/>
              <w:rPr>
                <w:b/>
                <w:color w:val="000000"/>
                <w:sz w:val="13"/>
                <w:szCs w:val="13"/>
                <w:u w:val="single"/>
              </w:rPr>
            </w:pPr>
            <w:hyperlink w:anchor="_103_System_Center" w:history="1">
              <w:r w:rsidR="00955428" w:rsidRPr="00653421">
                <w:rPr>
                  <w:rStyle w:val="Hyperlink"/>
                  <w:b/>
                  <w:sz w:val="13"/>
                  <w:szCs w:val="13"/>
                </w:rPr>
                <w:t>91</w:t>
              </w:r>
            </w:hyperlink>
            <w:hyperlink w:anchor="Srv_102SysCtr2012EndpointProt" w:history="1"/>
          </w:p>
        </w:tc>
        <w:tc>
          <w:tcPr>
            <w:tcW w:w="450" w:type="dxa"/>
            <w:tcBorders>
              <w:bottom w:val="single" w:sz="4"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szCs w:val="13"/>
              </w:rPr>
            </w:pPr>
            <w:r w:rsidRPr="00653421">
              <w:rPr>
                <w:rFonts w:ascii="Tahoma" w:hAnsi="Tahoma" w:cs="Tahoma"/>
                <w:sz w:val="13"/>
                <w:szCs w:val="13"/>
              </w:rPr>
              <w:t>1 ponto</w:t>
            </w:r>
          </w:p>
        </w:tc>
        <w:tc>
          <w:tcPr>
            <w:tcW w:w="360" w:type="dxa"/>
            <w:tcBorders>
              <w:left w:val="single" w:sz="18" w:space="0" w:color="auto"/>
              <w:bottom w:val="single" w:sz="4"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szCs w:val="13"/>
              </w:rPr>
            </w:pPr>
          </w:p>
        </w:tc>
        <w:tc>
          <w:tcPr>
            <w:tcW w:w="630" w:type="dxa"/>
            <w:tcBorders>
              <w:left w:val="single" w:sz="18" w:space="0" w:color="auto"/>
              <w:bottom w:val="single" w:sz="4"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szCs w:val="13"/>
              </w:rPr>
            </w:pPr>
            <w:r w:rsidRPr="00653421">
              <w:rPr>
                <w:rFonts w:ascii="Tahoma" w:hAnsi="Tahoma" w:cs="Tahoma"/>
                <w:sz w:val="13"/>
                <w:szCs w:val="13"/>
              </w:rPr>
              <w:t>1</w:t>
            </w:r>
          </w:p>
        </w:tc>
        <w:tc>
          <w:tcPr>
            <w:tcW w:w="540" w:type="dxa"/>
            <w:tcBorders>
              <w:bottom w:val="single" w:sz="4" w:space="0" w:color="auto"/>
              <w:right w:val="single" w:sz="18"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rPr>
            </w:pPr>
            <w:r w:rsidRPr="00653421">
              <w:rPr>
                <w:rFonts w:ascii="Tahoma" w:hAnsi="Tahoma" w:cs="Tahoma"/>
                <w:sz w:val="13"/>
              </w:rPr>
              <w:t>AO, ST</w:t>
            </w:r>
          </w:p>
        </w:tc>
        <w:tc>
          <w:tcPr>
            <w:tcW w:w="540" w:type="dxa"/>
            <w:tcBorders>
              <w:bottom w:val="single" w:sz="4" w:space="0" w:color="auto"/>
            </w:tcBorders>
            <w:shd w:val="clear" w:color="auto" w:fill="FABF8F"/>
            <w:vAlign w:val="center"/>
          </w:tcPr>
          <w:p w:rsidR="001136F4" w:rsidRPr="00653421" w:rsidRDefault="001136F4" w:rsidP="00BA1576">
            <w:pPr>
              <w:pStyle w:val="TableText"/>
              <w:widowControl w:val="0"/>
              <w:spacing w:before="30" w:after="30"/>
              <w:rPr>
                <w:rFonts w:ascii="Tahoma" w:hAnsi="Tahoma" w:cs="Tahoma"/>
                <w:sz w:val="13"/>
              </w:rPr>
            </w:pPr>
          </w:p>
        </w:tc>
      </w:tr>
      <w:tr w:rsidR="00EF228F" w:rsidRPr="00653421" w:rsidTr="00BA1576">
        <w:trPr>
          <w:trHeight w:val="134"/>
        </w:trPr>
        <w:tc>
          <w:tcPr>
            <w:tcW w:w="2734" w:type="dxa"/>
            <w:gridSpan w:val="2"/>
            <w:tcBorders>
              <w:bottom w:val="single" w:sz="4" w:space="0" w:color="auto"/>
            </w:tcBorders>
            <w:shd w:val="clear" w:color="auto" w:fill="auto"/>
          </w:tcPr>
          <w:p w:rsidR="001A63C6" w:rsidRPr="00734B50" w:rsidRDefault="001A63C6" w:rsidP="00EF36CE">
            <w:pPr>
              <w:pStyle w:val="ProductNames"/>
              <w:spacing w:beforeLines="20" w:before="48" w:afterLines="20" w:after="48"/>
              <w:rPr>
                <w:rFonts w:ascii="Tahoma" w:hAnsi="Tahoma" w:cs="Tahoma"/>
                <w:sz w:val="14"/>
                <w:lang w:val="pt-BR"/>
              </w:rPr>
            </w:pPr>
            <w:bookmarkStart w:id="484" w:name="_Toc336338100"/>
            <w:bookmarkStart w:id="485" w:name="_Toc353470746"/>
            <w:r w:rsidRPr="00734B50">
              <w:rPr>
                <w:rFonts w:ascii="Tahoma" w:hAnsi="Tahoma" w:cs="Tahoma"/>
                <w:sz w:val="14"/>
                <w:lang w:val="pt-BR"/>
              </w:rPr>
              <w:t xml:space="preserve">Licença de Gerenciamento do System Center 2012 Standard Server </w:t>
            </w:r>
            <w:r w:rsidR="00465D54" w:rsidRPr="00734B50">
              <w:rPr>
                <w:rFonts w:ascii="Tahoma" w:hAnsi="Tahoma" w:cs="Tahoma"/>
                <w:sz w:val="14"/>
                <w:lang w:val="pt-BR"/>
              </w:rPr>
              <w:br/>
            </w:r>
            <w:r w:rsidRPr="00734B50">
              <w:rPr>
                <w:rFonts w:ascii="Tahoma" w:hAnsi="Tahoma" w:cs="Tahoma"/>
                <w:sz w:val="14"/>
                <w:lang w:val="pt-BR"/>
              </w:rPr>
              <w:t>(2 processadores)</w:t>
            </w:r>
            <w:bookmarkEnd w:id="484"/>
            <w:bookmarkEnd w:id="485"/>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b/>
                <w:color w:val="000000"/>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23</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8</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9E5BF9" w:rsidRPr="00653421" w:rsidTr="00BA1576">
        <w:trPr>
          <w:trHeight w:val="134"/>
        </w:trPr>
        <w:tc>
          <w:tcPr>
            <w:tcW w:w="2734" w:type="dxa"/>
            <w:gridSpan w:val="2"/>
            <w:tcBorders>
              <w:bottom w:val="single" w:sz="4" w:space="0" w:color="auto"/>
            </w:tcBorders>
            <w:shd w:val="clear" w:color="auto" w:fill="FABF8F"/>
            <w:vAlign w:val="center"/>
          </w:tcPr>
          <w:p w:rsidR="001A63C6" w:rsidRPr="00653421" w:rsidRDefault="001A63C6" w:rsidP="00EF36CE">
            <w:pPr>
              <w:pStyle w:val="ProductNames"/>
              <w:spacing w:beforeLines="20" w:before="48" w:afterLines="20" w:after="48"/>
              <w:rPr>
                <w:rFonts w:ascii="Tahoma" w:hAnsi="Tahoma" w:cs="Tahoma"/>
                <w:sz w:val="14"/>
              </w:rPr>
            </w:pPr>
            <w:bookmarkStart w:id="486" w:name="_Toc336338101"/>
            <w:bookmarkStart w:id="487" w:name="_Toc353470747"/>
            <w:r w:rsidRPr="00653421">
              <w:rPr>
                <w:rFonts w:ascii="Tahoma" w:hAnsi="Tahoma" w:cs="Tahoma"/>
                <w:sz w:val="14"/>
              </w:rPr>
              <w:t>TechNet Plus Single User</w:t>
            </w:r>
            <w:bookmarkEnd w:id="486"/>
            <w:bookmarkEnd w:id="487"/>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b w:val="0"/>
                <w:color w:val="000000"/>
                <w:position w:val="-11"/>
                <w:sz w:val="13"/>
                <w:szCs w:val="13"/>
                <w:u w:val="single"/>
              </w:rPr>
            </w:pPr>
            <w:hyperlink w:anchor="_92_TechNet_Plus" w:history="1">
              <w:r w:rsidR="00955428" w:rsidRPr="0081353C">
                <w:rPr>
                  <w:rStyle w:val="Hyperlink"/>
                  <w:b/>
                  <w:sz w:val="13"/>
                  <w:szCs w:val="13"/>
                </w:rPr>
                <w:t>92</w:t>
              </w:r>
            </w:hyperlink>
            <w:hyperlink w:anchor="Srv_103TechNetPlusSingleUser"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p>
        </w:tc>
      </w:tr>
      <w:tr w:rsidR="00EF228F"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EF36CE">
            <w:pPr>
              <w:pStyle w:val="Heading2"/>
              <w:spacing w:beforeLines="20" w:before="48" w:afterLines="20" w:after="48"/>
              <w:ind w:left="0"/>
              <w:rPr>
                <w:rFonts w:ascii="Tahoma" w:hAnsi="Tahoma" w:cs="Tahoma"/>
                <w:b w:val="0"/>
                <w:sz w:val="14"/>
                <w:szCs w:val="14"/>
              </w:rPr>
            </w:pPr>
            <w:bookmarkStart w:id="488" w:name="_Toc336338102"/>
            <w:bookmarkStart w:id="489" w:name="_Toc353470748"/>
            <w:r w:rsidRPr="00653421">
              <w:rPr>
                <w:rFonts w:ascii="Tahoma" w:hAnsi="Tahoma" w:cs="Tahoma"/>
                <w:b w:val="0"/>
                <w:sz w:val="14"/>
                <w:szCs w:val="14"/>
              </w:rPr>
              <w:t>VDI Suite</w:t>
            </w:r>
            <w:bookmarkEnd w:id="488"/>
            <w:bookmarkEnd w:id="489"/>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b/>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1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spacing w:before="30" w:after="30"/>
              <w:rPr>
                <w:rFonts w:ascii="Tahoma" w:hAnsi="Tahoma" w:cs="Tahoma"/>
                <w:sz w:val="13"/>
                <w:szCs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15"/>
        </w:trPr>
        <w:tc>
          <w:tcPr>
            <w:tcW w:w="2734" w:type="dxa"/>
            <w:gridSpan w:val="2"/>
            <w:tcBorders>
              <w:bottom w:val="single" w:sz="4" w:space="0" w:color="auto"/>
            </w:tcBorders>
            <w:shd w:val="clear" w:color="auto" w:fill="FABF8F"/>
          </w:tcPr>
          <w:p w:rsidR="001A63C6" w:rsidRPr="00653421" w:rsidRDefault="001A63C6" w:rsidP="00EF36CE">
            <w:pPr>
              <w:pStyle w:val="Heading2"/>
              <w:spacing w:beforeLines="20" w:before="48" w:afterLines="20" w:after="48"/>
              <w:ind w:left="0"/>
              <w:rPr>
                <w:rFonts w:ascii="Tahoma" w:hAnsi="Tahoma" w:cs="Tahoma"/>
                <w:b w:val="0"/>
                <w:sz w:val="14"/>
                <w:szCs w:val="14"/>
              </w:rPr>
            </w:pPr>
            <w:bookmarkStart w:id="490" w:name="_Toc336338103"/>
            <w:bookmarkStart w:id="491" w:name="_Toc353470749"/>
            <w:r w:rsidRPr="00653421">
              <w:rPr>
                <w:rFonts w:ascii="Tahoma" w:hAnsi="Tahoma" w:cs="Tahoma"/>
                <w:b w:val="0"/>
                <w:sz w:val="14"/>
                <w:szCs w:val="14"/>
              </w:rPr>
              <w:t>VDI Suite com MDOP</w:t>
            </w:r>
            <w:bookmarkEnd w:id="490"/>
            <w:bookmarkEnd w:id="491"/>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b/>
                <w:sz w:val="13"/>
                <w:szCs w:val="13"/>
                <w:u w:val="single"/>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1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szCs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1</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E, P</w:t>
            </w:r>
          </w:p>
        </w:tc>
        <w:tc>
          <w:tcPr>
            <w:tcW w:w="720" w:type="dxa"/>
            <w:tcBorders>
              <w:bottom w:val="single" w:sz="4" w:space="0" w:color="auto"/>
            </w:tcBorders>
            <w:shd w:val="clear" w:color="auto" w:fill="FABF8F"/>
            <w:vAlign w:val="center"/>
          </w:tcPr>
          <w:p w:rsidR="001A63C6" w:rsidRPr="00653421" w:rsidRDefault="001A63C6" w:rsidP="00BA1576">
            <w:pPr>
              <w:pStyle w:val="TableText"/>
              <w:spacing w:before="30" w:after="30"/>
              <w:rPr>
                <w:rFonts w:ascii="Tahoma" w:hAnsi="Tahoma" w:cs="Tahoma"/>
                <w:sz w:val="13"/>
                <w:szCs w:val="13"/>
              </w:rPr>
            </w:pPr>
            <w:r w:rsidRPr="00653421">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260"/>
        </w:trPr>
        <w:tc>
          <w:tcPr>
            <w:tcW w:w="2734" w:type="dxa"/>
            <w:gridSpan w:val="2"/>
            <w:tcBorders>
              <w:bottom w:val="single" w:sz="4" w:space="0" w:color="auto"/>
            </w:tcBorders>
            <w:shd w:val="clear" w:color="auto" w:fill="auto"/>
          </w:tcPr>
          <w:p w:rsidR="001A63C6" w:rsidRPr="00653421" w:rsidRDefault="001A63C6" w:rsidP="00EF36CE">
            <w:pPr>
              <w:pStyle w:val="Heading2"/>
              <w:spacing w:beforeLines="20" w:before="48" w:afterLines="20" w:after="48"/>
              <w:ind w:left="0"/>
              <w:rPr>
                <w:rFonts w:ascii="Tahoma" w:hAnsi="Tahoma" w:cs="Tahoma"/>
                <w:b w:val="0"/>
                <w:sz w:val="14"/>
                <w:szCs w:val="14"/>
              </w:rPr>
            </w:pPr>
            <w:bookmarkStart w:id="492" w:name="_Toc336338104"/>
            <w:bookmarkStart w:id="493" w:name="_Toc353470750"/>
            <w:r w:rsidRPr="00653421">
              <w:rPr>
                <w:rFonts w:ascii="Tahoma" w:hAnsi="Tahoma" w:cs="Tahoma"/>
                <w:b w:val="0"/>
                <w:sz w:val="14"/>
                <w:szCs w:val="14"/>
              </w:rPr>
              <w:t>VDI Standard Suite</w:t>
            </w:r>
            <w:bookmarkEnd w:id="492"/>
            <w:bookmarkEnd w:id="493"/>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sz w:val="13"/>
                <w:szCs w:val="13"/>
              </w:rPr>
            </w:pPr>
            <w:hyperlink w:anchor="_93_VDI_Standard" w:history="1">
              <w:r w:rsidR="00955428" w:rsidRPr="00653421">
                <w:rPr>
                  <w:rStyle w:val="Hyperlink"/>
                  <w:b/>
                  <w:sz w:val="13"/>
                  <w:szCs w:val="13"/>
                </w:rPr>
                <w:t>93</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60"/>
        </w:trPr>
        <w:tc>
          <w:tcPr>
            <w:tcW w:w="2734" w:type="dxa"/>
            <w:gridSpan w:val="2"/>
            <w:tcBorders>
              <w:bottom w:val="single" w:sz="4" w:space="0" w:color="auto"/>
            </w:tcBorders>
            <w:shd w:val="clear" w:color="auto" w:fill="FABF8F"/>
          </w:tcPr>
          <w:p w:rsidR="001A63C6" w:rsidRPr="00734B50" w:rsidRDefault="001A63C6" w:rsidP="00EF36CE">
            <w:pPr>
              <w:pStyle w:val="Heading2"/>
              <w:spacing w:beforeLines="20" w:before="48" w:afterLines="20" w:after="48"/>
              <w:ind w:left="0"/>
              <w:rPr>
                <w:rFonts w:ascii="Tahoma" w:hAnsi="Tahoma" w:cs="Tahoma"/>
                <w:b w:val="0"/>
                <w:sz w:val="14"/>
                <w:szCs w:val="14"/>
                <w:lang w:val="fr-FR"/>
              </w:rPr>
            </w:pPr>
            <w:bookmarkStart w:id="494" w:name="_Toc336338105"/>
            <w:bookmarkStart w:id="495" w:name="_Toc353470751"/>
            <w:r w:rsidRPr="00734B50">
              <w:rPr>
                <w:rFonts w:ascii="Tahoma" w:hAnsi="Tahoma" w:cs="Tahoma"/>
                <w:b w:val="0"/>
                <w:sz w:val="14"/>
                <w:szCs w:val="14"/>
                <w:lang w:val="fr-FR"/>
              </w:rPr>
              <w:t>VDI Standard Suite com MDOP</w:t>
            </w:r>
            <w:bookmarkEnd w:id="494"/>
            <w:bookmarkEnd w:id="495"/>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sz w:val="13"/>
                <w:szCs w:val="13"/>
                <w:u w:val="single"/>
              </w:rPr>
            </w:pPr>
            <w:hyperlink w:anchor="_92_Visual_Studio" w:history="1">
              <w:r w:rsidR="00955428" w:rsidRPr="00653421">
                <w:rPr>
                  <w:rStyle w:val="Hyperlink"/>
                  <w:b/>
                  <w:sz w:val="13"/>
                  <w:szCs w:val="13"/>
                </w:rPr>
                <w:t>93</w:t>
              </w:r>
            </w:hyperlink>
            <w:hyperlink w:anchor="Srv_105VDIStandardandPremiumSuites" w:history="1"/>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EF228F" w:rsidRPr="00653421" w:rsidTr="00BA1576">
        <w:trPr>
          <w:trHeight w:val="260"/>
        </w:trPr>
        <w:tc>
          <w:tcPr>
            <w:tcW w:w="2734" w:type="dxa"/>
            <w:gridSpan w:val="2"/>
            <w:tcBorders>
              <w:bottom w:val="single" w:sz="4" w:space="0" w:color="auto"/>
            </w:tcBorders>
            <w:shd w:val="clear" w:color="auto" w:fill="auto"/>
          </w:tcPr>
          <w:p w:rsidR="001A63C6" w:rsidRPr="00653421" w:rsidRDefault="001A63C6" w:rsidP="00EF36CE">
            <w:pPr>
              <w:pStyle w:val="Heading2"/>
              <w:spacing w:beforeLines="20" w:before="48" w:afterLines="20" w:after="48"/>
              <w:ind w:left="0"/>
              <w:rPr>
                <w:rFonts w:ascii="Tahoma" w:hAnsi="Tahoma" w:cs="Tahoma"/>
                <w:b w:val="0"/>
                <w:sz w:val="14"/>
                <w:szCs w:val="14"/>
              </w:rPr>
            </w:pPr>
            <w:bookmarkStart w:id="496" w:name="_Toc336338106"/>
            <w:bookmarkStart w:id="497" w:name="_Toc353470752"/>
            <w:r w:rsidRPr="00653421">
              <w:rPr>
                <w:rFonts w:ascii="Tahoma" w:hAnsi="Tahoma" w:cs="Tahoma"/>
                <w:b w:val="0"/>
                <w:sz w:val="14"/>
                <w:szCs w:val="14"/>
              </w:rPr>
              <w:t>VDI Premium Suite</w:t>
            </w:r>
            <w:bookmarkEnd w:id="496"/>
            <w:bookmarkEnd w:id="497"/>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sz w:val="13"/>
                <w:szCs w:val="13"/>
                <w:u w:val="single"/>
              </w:rPr>
            </w:pPr>
            <w:hyperlink w:anchor="_92_Visual_Studio" w:history="1">
              <w:r w:rsidR="00955428" w:rsidRPr="00653421">
                <w:rPr>
                  <w:rStyle w:val="Hyperlink"/>
                  <w:b/>
                  <w:sz w:val="13"/>
                  <w:szCs w:val="13"/>
                </w:rPr>
                <w:t>93</w:t>
              </w:r>
            </w:hyperlink>
            <w:hyperlink w:anchor="Srv_105VDIStandardandPremiumSuites"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60"/>
        </w:trPr>
        <w:tc>
          <w:tcPr>
            <w:tcW w:w="2734" w:type="dxa"/>
            <w:gridSpan w:val="2"/>
            <w:tcBorders>
              <w:bottom w:val="single" w:sz="4" w:space="0" w:color="auto"/>
            </w:tcBorders>
            <w:shd w:val="clear" w:color="auto" w:fill="FABF8F"/>
          </w:tcPr>
          <w:p w:rsidR="001A63C6" w:rsidRPr="00734B50" w:rsidRDefault="001A63C6" w:rsidP="00EF36CE">
            <w:pPr>
              <w:pStyle w:val="Heading2"/>
              <w:spacing w:beforeLines="20" w:before="48" w:afterLines="20" w:after="48"/>
              <w:ind w:left="0"/>
              <w:rPr>
                <w:rFonts w:ascii="Tahoma" w:hAnsi="Tahoma" w:cs="Tahoma"/>
                <w:b w:val="0"/>
                <w:sz w:val="14"/>
                <w:szCs w:val="14"/>
                <w:lang w:val="pt-BR"/>
              </w:rPr>
            </w:pPr>
            <w:bookmarkStart w:id="498" w:name="_Toc336338107"/>
            <w:bookmarkStart w:id="499" w:name="_Toc353470753"/>
            <w:r w:rsidRPr="00734B50">
              <w:rPr>
                <w:rFonts w:ascii="Tahoma" w:hAnsi="Tahoma" w:cs="Tahoma"/>
                <w:b w:val="0"/>
                <w:sz w:val="14"/>
                <w:szCs w:val="14"/>
                <w:lang w:val="pt-BR"/>
              </w:rPr>
              <w:t>VDI Premium Suite com MDOP</w:t>
            </w:r>
            <w:bookmarkEnd w:id="498"/>
            <w:bookmarkEnd w:id="499"/>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sz w:val="13"/>
                <w:szCs w:val="13"/>
                <w:u w:val="single"/>
              </w:rPr>
            </w:pPr>
            <w:hyperlink w:anchor="_92_Visual_Studio" w:history="1">
              <w:r w:rsidR="00955428" w:rsidRPr="00653421">
                <w:rPr>
                  <w:rStyle w:val="Hyperlink"/>
                  <w:b/>
                  <w:sz w:val="13"/>
                  <w:szCs w:val="13"/>
                </w:rPr>
                <w:t>93</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auto"/>
          </w:tcPr>
          <w:p w:rsidR="001A63C6" w:rsidRPr="00653421" w:rsidRDefault="001A63C6" w:rsidP="00EF36CE">
            <w:pPr>
              <w:pStyle w:val="ProductNames"/>
              <w:spacing w:beforeLines="20" w:before="48" w:afterLines="20" w:after="48"/>
              <w:rPr>
                <w:rFonts w:ascii="Tahoma" w:hAnsi="Tahoma"/>
                <w:sz w:val="14"/>
              </w:rPr>
            </w:pPr>
            <w:bookmarkStart w:id="500" w:name="_Toc353470754"/>
            <w:r w:rsidRPr="00653421">
              <w:rPr>
                <w:rFonts w:ascii="Tahoma" w:hAnsi="Tahoma" w:cs="Tahoma"/>
                <w:sz w:val="14"/>
              </w:rPr>
              <w:t>Vexcel Server</w:t>
            </w:r>
            <w:bookmarkEnd w:id="500"/>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sz w:val="13"/>
                <w:szCs w:val="13"/>
                <w:u w:val="single"/>
              </w:rPr>
            </w:pPr>
            <w:hyperlink w:anchor="_94_Vexcel_Server" w:history="1">
              <w:r w:rsidR="00FB6AC4" w:rsidRPr="00653421">
                <w:rPr>
                  <w:rStyle w:val="Hyperlink"/>
                  <w:b/>
                  <w:sz w:val="13"/>
                  <w:szCs w:val="13"/>
                </w:rPr>
                <w:t>94</w:t>
              </w:r>
            </w:hyperlink>
            <w:hyperlink w:anchor="Srv_27BingMapsSvrandContentPack"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 ponto</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145"/>
        </w:trPr>
        <w:tc>
          <w:tcPr>
            <w:tcW w:w="2734" w:type="dxa"/>
            <w:gridSpan w:val="2"/>
            <w:tcBorders>
              <w:bottom w:val="single" w:sz="4" w:space="0" w:color="auto"/>
            </w:tcBorders>
            <w:shd w:val="clear" w:color="auto" w:fill="FABF8F"/>
          </w:tcPr>
          <w:p w:rsidR="001A63C6" w:rsidRPr="00734B50" w:rsidRDefault="001A63C6" w:rsidP="00EF36CE">
            <w:pPr>
              <w:pStyle w:val="ProductNames"/>
              <w:spacing w:beforeLines="20" w:before="48" w:afterLines="20" w:after="48"/>
              <w:rPr>
                <w:rFonts w:ascii="Tahoma" w:hAnsi="Tahoma"/>
                <w:sz w:val="14"/>
                <w:lang w:val="pt-BR"/>
              </w:rPr>
            </w:pPr>
            <w:bookmarkStart w:id="501" w:name="_Toc353470755"/>
            <w:r w:rsidRPr="00734B50">
              <w:rPr>
                <w:rFonts w:ascii="Tahoma" w:hAnsi="Tahoma" w:cs="Tahoma"/>
                <w:sz w:val="14"/>
                <w:lang w:val="pt-BR"/>
              </w:rPr>
              <w:t>Vexcel Server com Pacote de Conteúdo Aprimorado</w:t>
            </w:r>
            <w:bookmarkEnd w:id="501"/>
            <w:r w:rsidRPr="00734B50">
              <w:rPr>
                <w:rFonts w:ascii="Tahoma" w:hAnsi="Tahoma" w:cs="Tahoma"/>
                <w:sz w:val="14"/>
                <w:lang w:val="pt-BR"/>
              </w:rPr>
              <w:t xml:space="preserve"> </w:t>
            </w:r>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b w:val="0"/>
                <w:sz w:val="13"/>
                <w:szCs w:val="13"/>
                <w:u w:val="single"/>
              </w:rPr>
            </w:pPr>
            <w:hyperlink w:anchor="_94_Vexcel_Server" w:history="1">
              <w:r w:rsidR="00955428" w:rsidRPr="00653421">
                <w:rPr>
                  <w:rStyle w:val="Hyperlink"/>
                  <w:b/>
                  <w:sz w:val="13"/>
                  <w:szCs w:val="13"/>
                </w:rPr>
                <w:t>94</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2610" w:type="dxa"/>
            <w:gridSpan w:val="7"/>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 ponto</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200</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tcPr>
          <w:p w:rsidR="001A63C6" w:rsidRPr="00734B50" w:rsidRDefault="001A63C6" w:rsidP="00EF36CE">
            <w:pPr>
              <w:pStyle w:val="Heading2"/>
              <w:spacing w:beforeLines="20" w:before="48" w:afterLines="20" w:after="48"/>
              <w:ind w:left="0"/>
              <w:rPr>
                <w:rFonts w:ascii="Tahoma" w:hAnsi="Tahoma" w:cs="Tahoma"/>
                <w:b w:val="0"/>
                <w:sz w:val="14"/>
                <w:szCs w:val="14"/>
                <w:lang w:val="pt-BR"/>
              </w:rPr>
            </w:pPr>
            <w:bookmarkStart w:id="502" w:name="_Toc336338108"/>
            <w:bookmarkStart w:id="503" w:name="_Toc353470756"/>
            <w:r w:rsidRPr="00734B50">
              <w:rPr>
                <w:rFonts w:ascii="Tahoma" w:hAnsi="Tahoma" w:cs="Tahoma"/>
                <w:b w:val="0"/>
                <w:sz w:val="14"/>
                <w:szCs w:val="14"/>
                <w:lang w:val="pt-BR"/>
              </w:rPr>
              <w:t>Virtual Server 2005 R2 Enterprise Edition</w:t>
            </w:r>
            <w:bookmarkEnd w:id="502"/>
            <w:bookmarkEnd w:id="503"/>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6B1F3F"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EF36CE">
            <w:pPr>
              <w:pStyle w:val="Heading2"/>
              <w:spacing w:beforeLines="20" w:before="48" w:afterLines="20" w:after="48"/>
              <w:ind w:left="0"/>
              <w:rPr>
                <w:rFonts w:ascii="Tahoma" w:hAnsi="Tahoma" w:cs="Tahoma"/>
                <w:b w:val="0"/>
                <w:sz w:val="14"/>
                <w:szCs w:val="14"/>
              </w:rPr>
            </w:pPr>
            <w:bookmarkStart w:id="504" w:name="_Toc336338109"/>
            <w:bookmarkStart w:id="505" w:name="_Toc353470757"/>
            <w:r w:rsidRPr="00653421">
              <w:rPr>
                <w:rFonts w:ascii="Tahoma" w:hAnsi="Tahoma" w:cs="Tahoma"/>
                <w:b w:val="0"/>
                <w:sz w:val="14"/>
                <w:szCs w:val="14"/>
              </w:rPr>
              <w:t>Visual Studio</w:t>
            </w:r>
            <w:r w:rsidRPr="00653421">
              <w:rPr>
                <w:rFonts w:ascii="Tahoma" w:eastAsia="Times New Roman" w:hAnsi="Tahoma" w:cs="Tahoma"/>
                <w:b w:val="0"/>
                <w:color w:val="000000"/>
                <w:sz w:val="14"/>
                <w:szCs w:val="14"/>
                <w:vertAlign w:val="superscript"/>
              </w:rPr>
              <w:t>®</w:t>
            </w:r>
            <w:r w:rsidRPr="00653421">
              <w:rPr>
                <w:rFonts w:ascii="Tahoma" w:hAnsi="Tahoma" w:cs="Tahoma"/>
                <w:b w:val="0"/>
                <w:sz w:val="14"/>
                <w:szCs w:val="14"/>
              </w:rPr>
              <w:t xml:space="preserve"> Team Foundation Server 2012 com Tecnologia SQL Server 2012</w:t>
            </w:r>
            <w:bookmarkEnd w:id="504"/>
            <w:bookmarkEnd w:id="505"/>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734B50" w:rsidRDefault="001A63C6" w:rsidP="00EF36CE">
            <w:pPr>
              <w:pStyle w:val="Heading2"/>
              <w:spacing w:beforeLines="20" w:before="48" w:afterLines="20" w:after="48"/>
              <w:ind w:left="0"/>
              <w:rPr>
                <w:rFonts w:ascii="Tahoma" w:hAnsi="Tahoma" w:cs="Tahoma"/>
                <w:b w:val="0"/>
                <w:sz w:val="14"/>
                <w:szCs w:val="14"/>
                <w:lang w:val="pt-BR"/>
              </w:rPr>
            </w:pPr>
            <w:bookmarkStart w:id="506" w:name="_Toc254805933"/>
            <w:bookmarkStart w:id="507" w:name="_Toc336338110"/>
            <w:bookmarkStart w:id="508" w:name="_Toc353470758"/>
            <w:r w:rsidRPr="00734B50">
              <w:rPr>
                <w:rFonts w:ascii="Tahoma" w:hAnsi="Tahoma" w:cs="Tahoma"/>
                <w:b w:val="0"/>
                <w:sz w:val="14"/>
                <w:szCs w:val="14"/>
                <w:lang w:val="pt-BR"/>
              </w:rPr>
              <w:t>CAL do Dispositivo do Visual Studio</w:t>
            </w:r>
            <w:r w:rsidRPr="00734B50">
              <w:rPr>
                <w:rFonts w:ascii="Tahoma" w:hAnsi="Tahoma" w:cs="Tahoma"/>
                <w:b w:val="0"/>
                <w:sz w:val="14"/>
                <w:szCs w:val="14"/>
                <w:vertAlign w:val="superscript"/>
                <w:lang w:val="pt-BR"/>
              </w:rPr>
              <w:t>®</w:t>
            </w:r>
            <w:r w:rsidRPr="00734B50">
              <w:rPr>
                <w:rFonts w:ascii="Tahoma" w:hAnsi="Tahoma" w:cs="Tahoma"/>
                <w:b w:val="0"/>
                <w:sz w:val="14"/>
                <w:szCs w:val="14"/>
                <w:lang w:val="pt-BR"/>
              </w:rPr>
              <w:t xml:space="preserve"> Team Foundation Server 2012</w:t>
            </w:r>
            <w:bookmarkEnd w:id="506"/>
            <w:bookmarkEnd w:id="507"/>
            <w:bookmarkEnd w:id="508"/>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rFonts w:ascii="Tahoma" w:hAnsi="Tahoma"/>
                <w:sz w:val="13"/>
                <w:szCs w:val="13"/>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8</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6B1F3F"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EF36CE">
            <w:pPr>
              <w:pStyle w:val="Heading2"/>
              <w:spacing w:beforeLines="20" w:before="48" w:afterLines="20" w:after="48"/>
              <w:ind w:left="0"/>
              <w:rPr>
                <w:rFonts w:ascii="Tahoma" w:hAnsi="Tahoma" w:cs="Tahoma"/>
                <w:b w:val="0"/>
                <w:sz w:val="14"/>
                <w:szCs w:val="14"/>
                <w:lang w:val="pt-BR"/>
              </w:rPr>
            </w:pPr>
            <w:bookmarkStart w:id="509" w:name="_Toc254805934"/>
            <w:bookmarkStart w:id="510" w:name="_Toc336338111"/>
            <w:bookmarkStart w:id="511" w:name="_Toc353470759"/>
            <w:r w:rsidRPr="00734B50">
              <w:rPr>
                <w:rFonts w:ascii="Tahoma" w:hAnsi="Tahoma" w:cs="Tahoma"/>
                <w:b w:val="0"/>
                <w:sz w:val="14"/>
                <w:szCs w:val="14"/>
                <w:lang w:val="pt-BR"/>
              </w:rPr>
              <w:t>CAL do Usuário do Visual Studio</w:t>
            </w:r>
            <w:r w:rsidRPr="00734B50">
              <w:rPr>
                <w:rFonts w:ascii="Tahoma" w:hAnsi="Tahoma" w:cs="Tahoma"/>
                <w:b w:val="0"/>
                <w:sz w:val="14"/>
                <w:szCs w:val="14"/>
                <w:vertAlign w:val="superscript"/>
                <w:lang w:val="pt-BR"/>
              </w:rPr>
              <w:t>®</w:t>
            </w:r>
            <w:r w:rsidRPr="00734B50">
              <w:rPr>
                <w:rFonts w:ascii="Tahoma" w:hAnsi="Tahoma" w:cs="Tahoma"/>
                <w:b w:val="0"/>
                <w:sz w:val="14"/>
                <w:szCs w:val="14"/>
                <w:lang w:val="pt-BR"/>
              </w:rPr>
              <w:t xml:space="preserve"> Team Foundation Server 2012</w:t>
            </w:r>
            <w:bookmarkEnd w:id="509"/>
            <w:bookmarkEnd w:id="510"/>
            <w:bookmarkEnd w:id="511"/>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rFonts w:ascii="Tahoma" w:hAnsi="Tahoma"/>
                <w:sz w:val="13"/>
                <w:szCs w:val="13"/>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13</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10</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8</w:t>
            </w: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3</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10</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szCs w:val="13"/>
              </w:rPr>
            </w:pPr>
            <w:r w:rsidRPr="00653421">
              <w:rPr>
                <w:rFonts w:ascii="Tahoma" w:hAnsi="Tahoma" w:cs="Tahoma"/>
                <w:sz w:val="13"/>
                <w:szCs w:val="13"/>
              </w:rPr>
              <w:t>5</w:t>
            </w: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S</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494"/>
        </w:trPr>
        <w:tc>
          <w:tcPr>
            <w:tcW w:w="2734" w:type="dxa"/>
            <w:gridSpan w:val="2"/>
            <w:tcBorders>
              <w:bottom w:val="single" w:sz="4" w:space="0" w:color="auto"/>
            </w:tcBorders>
            <w:shd w:val="clear" w:color="auto" w:fill="auto"/>
          </w:tcPr>
          <w:p w:rsidR="001A63C6" w:rsidRPr="00653421" w:rsidRDefault="001A63C6" w:rsidP="00EF36CE">
            <w:pPr>
              <w:pStyle w:val="Heading2"/>
              <w:spacing w:beforeLines="20" w:before="48" w:afterLines="20" w:after="48"/>
              <w:ind w:left="0"/>
              <w:rPr>
                <w:rFonts w:ascii="Tahoma" w:hAnsi="Tahoma" w:cs="Tahoma"/>
                <w:b w:val="0"/>
                <w:sz w:val="14"/>
                <w:szCs w:val="14"/>
              </w:rPr>
            </w:pPr>
            <w:bookmarkStart w:id="512" w:name="_Toc336338113"/>
            <w:bookmarkStart w:id="513" w:name="_Toc353470760"/>
            <w:r w:rsidRPr="00653421">
              <w:rPr>
                <w:rFonts w:ascii="Tahoma" w:hAnsi="Tahoma" w:cs="Tahoma"/>
                <w:b w:val="0"/>
                <w:sz w:val="14"/>
                <w:szCs w:val="14"/>
              </w:rPr>
              <w:t>Assinatura do Web Antimalware para Forefront Threat Management Gateway Medium Business Edition (Dispositivo e Usuário)</w:t>
            </w:r>
            <w:bookmarkEnd w:id="512"/>
            <w:bookmarkEnd w:id="513"/>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Style w:val="EndnoteReference"/>
                <w:rFonts w:ascii="Tahoma" w:hAnsi="Tahoma" w:cs="Tahoma"/>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87"/>
        </w:trPr>
        <w:tc>
          <w:tcPr>
            <w:tcW w:w="2734" w:type="dxa"/>
            <w:gridSpan w:val="2"/>
            <w:tcBorders>
              <w:bottom w:val="single" w:sz="4" w:space="0" w:color="auto"/>
            </w:tcBorders>
            <w:shd w:val="clear" w:color="auto" w:fill="FABF8F"/>
            <w:vAlign w:val="center"/>
          </w:tcPr>
          <w:p w:rsidR="001A63C6" w:rsidRPr="00653421" w:rsidRDefault="001A63C6" w:rsidP="00EF36CE">
            <w:pPr>
              <w:pStyle w:val="Heading2"/>
              <w:spacing w:beforeLines="20" w:before="48" w:afterLines="20" w:after="48"/>
              <w:ind w:left="0"/>
              <w:rPr>
                <w:rFonts w:ascii="Tahoma" w:hAnsi="Tahoma" w:cs="Tahoma"/>
                <w:b w:val="0"/>
                <w:sz w:val="14"/>
              </w:rPr>
            </w:pPr>
            <w:bookmarkStart w:id="514" w:name="_Toc336338114"/>
            <w:bookmarkStart w:id="515" w:name="_Toc353470761"/>
            <w:r w:rsidRPr="00653421">
              <w:rPr>
                <w:rFonts w:ascii="Tahoma" w:hAnsi="Tahoma" w:cs="Tahoma"/>
                <w:b w:val="0"/>
                <w:sz w:val="14"/>
              </w:rPr>
              <w:t>Serviços do Windows Azure</w:t>
            </w:r>
            <w:bookmarkEnd w:id="514"/>
            <w:bookmarkEnd w:id="515"/>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95_Serviços_do" w:history="1">
              <w:r w:rsidR="00955428" w:rsidRPr="00653421">
                <w:rPr>
                  <w:rStyle w:val="Hyperlink"/>
                  <w:rFonts w:cs="Tahoma"/>
                  <w:b/>
                  <w:sz w:val="13"/>
                  <w:szCs w:val="13"/>
                </w:rPr>
                <w:t>95</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152"/>
        </w:trPr>
        <w:tc>
          <w:tcPr>
            <w:tcW w:w="2734" w:type="dxa"/>
            <w:gridSpan w:val="2"/>
            <w:tcBorders>
              <w:bottom w:val="single" w:sz="4" w:space="0" w:color="auto"/>
            </w:tcBorders>
            <w:shd w:val="clear" w:color="auto" w:fill="auto"/>
            <w:vAlign w:val="center"/>
          </w:tcPr>
          <w:p w:rsidR="001A63C6" w:rsidRPr="00653421" w:rsidRDefault="001A63C6" w:rsidP="00FB6AC4">
            <w:pPr>
              <w:pStyle w:val="Heading2"/>
              <w:spacing w:before="20" w:after="20"/>
              <w:ind w:left="0"/>
              <w:rPr>
                <w:rFonts w:ascii="Tahoma" w:hAnsi="Tahoma" w:cs="Tahoma"/>
                <w:b w:val="0"/>
                <w:sz w:val="14"/>
                <w:szCs w:val="14"/>
              </w:rPr>
            </w:pPr>
            <w:bookmarkStart w:id="516" w:name="_Toc336338115"/>
            <w:bookmarkStart w:id="517" w:name="_Toc353470762"/>
            <w:r w:rsidRPr="00653421">
              <w:rPr>
                <w:rFonts w:ascii="Tahoma" w:hAnsi="Tahoma" w:cs="Tahoma"/>
                <w:b w:val="0"/>
                <w:sz w:val="14"/>
              </w:rPr>
              <w:t>Windows</w:t>
            </w:r>
            <w:r w:rsidRPr="00653421">
              <w:rPr>
                <w:rFonts w:ascii="Tahoma" w:hAnsi="Tahoma" w:cs="Tahoma"/>
                <w:b w:val="0"/>
                <w:sz w:val="14"/>
                <w:vertAlign w:val="superscript"/>
              </w:rPr>
              <w:t>®</w:t>
            </w:r>
            <w:r w:rsidRPr="00653421">
              <w:rPr>
                <w:rFonts w:ascii="Tahoma" w:hAnsi="Tahoma" w:cs="Tahoma"/>
                <w:b w:val="0"/>
                <w:sz w:val="14"/>
              </w:rPr>
              <w:t xml:space="preserve"> Embedded Device Manager</w:t>
            </w:r>
            <w:r w:rsidR="00FB6AC4" w:rsidRPr="00653421">
              <w:rPr>
                <w:rFonts w:ascii="Tahoma" w:hAnsi="Tahoma" w:cs="Tahoma"/>
                <w:b w:val="0"/>
                <w:sz w:val="14"/>
              </w:rPr>
              <w:t> </w:t>
            </w:r>
            <w:r w:rsidRPr="00653421">
              <w:rPr>
                <w:rFonts w:ascii="Tahoma" w:hAnsi="Tahoma" w:cs="Tahoma"/>
                <w:b w:val="0"/>
                <w:sz w:val="14"/>
              </w:rPr>
              <w:t>2011</w:t>
            </w:r>
            <w:bookmarkEnd w:id="516"/>
            <w:bookmarkEnd w:id="517"/>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96_Windows_Embedded_1" w:history="1">
              <w:r w:rsidR="00955428" w:rsidRPr="00653421">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E04628" w:rsidTr="00BA1576">
        <w:trPr>
          <w:trHeight w:val="287"/>
        </w:trPr>
        <w:tc>
          <w:tcPr>
            <w:tcW w:w="2734" w:type="dxa"/>
            <w:gridSpan w:val="2"/>
            <w:tcBorders>
              <w:bottom w:val="single" w:sz="4" w:space="0" w:color="auto"/>
            </w:tcBorders>
            <w:shd w:val="clear" w:color="auto" w:fill="FABF8F"/>
            <w:vAlign w:val="center"/>
          </w:tcPr>
          <w:p w:rsidR="001A63C6" w:rsidRPr="00734B50" w:rsidRDefault="001A63C6" w:rsidP="001A63C6">
            <w:pPr>
              <w:pStyle w:val="Heading2"/>
              <w:spacing w:before="20" w:after="20"/>
              <w:ind w:left="0"/>
              <w:rPr>
                <w:rFonts w:ascii="Tahoma" w:hAnsi="Tahoma" w:cs="Tahoma"/>
                <w:b w:val="0"/>
                <w:sz w:val="14"/>
                <w:szCs w:val="14"/>
                <w:lang w:val="pt-BR"/>
              </w:rPr>
            </w:pPr>
            <w:bookmarkStart w:id="518" w:name="_Toc336338116"/>
            <w:bookmarkStart w:id="519" w:name="_Toc353470763"/>
            <w:r w:rsidRPr="00734B50">
              <w:rPr>
                <w:rFonts w:ascii="Tahoma" w:hAnsi="Tahoma" w:cs="Tahoma"/>
                <w:b w:val="0"/>
                <w:sz w:val="14"/>
                <w:lang w:val="pt-BR"/>
              </w:rPr>
              <w:lastRenderedPageBreak/>
              <w:t>Licença de Gerenciamento de Cliente do Windows</w:t>
            </w:r>
            <w:r w:rsidRPr="00734B50">
              <w:rPr>
                <w:rFonts w:ascii="Tahoma" w:hAnsi="Tahoma" w:cs="Tahoma"/>
                <w:b w:val="0"/>
                <w:sz w:val="14"/>
                <w:vertAlign w:val="superscript"/>
                <w:lang w:val="pt-BR"/>
              </w:rPr>
              <w:t>®</w:t>
            </w:r>
            <w:r w:rsidRPr="00734B50">
              <w:rPr>
                <w:rFonts w:ascii="Tahoma" w:hAnsi="Tahoma" w:cs="Tahoma"/>
                <w:b w:val="0"/>
                <w:sz w:val="14"/>
                <w:lang w:val="pt-BR"/>
              </w:rPr>
              <w:t xml:space="preserve"> Embedded Device Manager 2011 por OSE</w:t>
            </w:r>
            <w:bookmarkEnd w:id="518"/>
            <w:bookmarkEnd w:id="519"/>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b/>
                <w:color w:val="0000FF"/>
                <w:sz w:val="13"/>
                <w:szCs w:val="13"/>
                <w:lang w:val="pt-BR"/>
              </w:rPr>
            </w:pPr>
          </w:p>
        </w:tc>
        <w:tc>
          <w:tcPr>
            <w:tcW w:w="45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630" w:type="dxa"/>
            <w:tcBorders>
              <w:left w:val="single" w:sz="18" w:space="0" w:color="auto"/>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540" w:type="dxa"/>
            <w:tcBorders>
              <w:bottom w:val="single" w:sz="4" w:space="0" w:color="auto"/>
              <w:right w:val="single" w:sz="18"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72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c>
          <w:tcPr>
            <w:tcW w:w="54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Fonts w:ascii="Tahoma" w:hAnsi="Tahoma" w:cs="Tahoma"/>
                <w:sz w:val="13"/>
                <w:lang w:val="pt-BR"/>
              </w:rPr>
            </w:pPr>
          </w:p>
        </w:tc>
      </w:tr>
      <w:tr w:rsidR="001A63C6" w:rsidRPr="00653421" w:rsidTr="00BA1576">
        <w:trPr>
          <w:trHeight w:val="287"/>
        </w:trPr>
        <w:tc>
          <w:tcPr>
            <w:tcW w:w="2734" w:type="dxa"/>
            <w:gridSpan w:val="2"/>
            <w:tcBorders>
              <w:bottom w:val="single" w:sz="4" w:space="0" w:color="auto"/>
            </w:tcBorders>
            <w:shd w:val="clear" w:color="auto" w:fill="auto"/>
            <w:vAlign w:val="center"/>
          </w:tcPr>
          <w:p w:rsidR="001A63C6" w:rsidRPr="00734B50" w:rsidRDefault="001A63C6" w:rsidP="00515F76">
            <w:pPr>
              <w:pStyle w:val="Heading2"/>
              <w:keepNext/>
              <w:keepLines/>
              <w:spacing w:before="20" w:after="20"/>
              <w:ind w:left="0"/>
              <w:rPr>
                <w:rFonts w:ascii="Tahoma" w:hAnsi="Tahoma" w:cs="Tahoma"/>
                <w:b w:val="0"/>
                <w:sz w:val="14"/>
                <w:szCs w:val="14"/>
                <w:lang w:val="pt-BR"/>
              </w:rPr>
            </w:pPr>
            <w:bookmarkStart w:id="520" w:name="_Toc336338117"/>
            <w:bookmarkStart w:id="521" w:name="_Toc353470764"/>
            <w:r w:rsidRPr="00734B50">
              <w:rPr>
                <w:rFonts w:ascii="Tahoma" w:hAnsi="Tahoma" w:cs="Tahoma"/>
                <w:b w:val="0"/>
                <w:sz w:val="14"/>
                <w:lang w:val="pt-BR"/>
              </w:rPr>
              <w:t>Licença de Gerenciamento de Cliente do Windows</w:t>
            </w:r>
            <w:r w:rsidRPr="00734B50">
              <w:rPr>
                <w:rFonts w:ascii="Tahoma" w:hAnsi="Tahoma" w:cs="Tahoma"/>
                <w:b w:val="0"/>
                <w:sz w:val="14"/>
                <w:vertAlign w:val="superscript"/>
                <w:lang w:val="pt-BR"/>
              </w:rPr>
              <w:t>®</w:t>
            </w:r>
            <w:r w:rsidRPr="00734B50">
              <w:rPr>
                <w:rFonts w:ascii="Tahoma" w:hAnsi="Tahoma" w:cs="Tahoma"/>
                <w:b w:val="0"/>
                <w:sz w:val="14"/>
                <w:lang w:val="pt-BR"/>
              </w:rPr>
              <w:t xml:space="preserve"> Embedded Device Manager 2011 por Usuário</w:t>
            </w:r>
            <w:bookmarkEnd w:id="520"/>
            <w:bookmarkEnd w:id="521"/>
          </w:p>
        </w:tc>
        <w:tc>
          <w:tcPr>
            <w:tcW w:w="360" w:type="dxa"/>
            <w:tcBorders>
              <w:bottom w:val="single" w:sz="4" w:space="0" w:color="auto"/>
            </w:tcBorders>
            <w:shd w:val="clear" w:color="auto" w:fill="auto"/>
            <w:vAlign w:val="center"/>
          </w:tcPr>
          <w:p w:rsidR="001A63C6" w:rsidRPr="00653421" w:rsidRDefault="0033195D" w:rsidP="00BA1576">
            <w:pPr>
              <w:pStyle w:val="TableText"/>
              <w:keepNext/>
              <w:keepLines/>
              <w:widowControl w:val="0"/>
              <w:spacing w:before="30" w:after="30"/>
              <w:rPr>
                <w:rFonts w:cs="Tahoma"/>
                <w:b/>
                <w:color w:val="0000FF"/>
                <w:sz w:val="13"/>
                <w:szCs w:val="13"/>
              </w:rPr>
            </w:pPr>
            <w:hyperlink w:anchor="_96_Windows_Embedded" w:history="1">
              <w:r w:rsidR="00955428" w:rsidRPr="00653421">
                <w:rPr>
                  <w:rStyle w:val="Hyperlink"/>
                  <w:rFonts w:cs="Tahoma"/>
                  <w:b/>
                  <w:sz w:val="13"/>
                  <w:szCs w:val="13"/>
                </w:rPr>
                <w:t>97</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p>
        </w:tc>
      </w:tr>
      <w:tr w:rsidR="00B33D0E" w:rsidRPr="00653421" w:rsidTr="00BA1576">
        <w:trPr>
          <w:trHeight w:val="287"/>
        </w:trPr>
        <w:tc>
          <w:tcPr>
            <w:tcW w:w="2734" w:type="dxa"/>
            <w:gridSpan w:val="2"/>
            <w:tcBorders>
              <w:bottom w:val="single" w:sz="4" w:space="0" w:color="auto"/>
            </w:tcBorders>
            <w:shd w:val="clear" w:color="auto" w:fill="FABF8F"/>
            <w:vAlign w:val="center"/>
          </w:tcPr>
          <w:p w:rsidR="001A63C6" w:rsidRPr="00653421" w:rsidRDefault="001A63C6" w:rsidP="001A63C6">
            <w:pPr>
              <w:pStyle w:val="Heading2"/>
              <w:spacing w:before="20" w:after="20"/>
              <w:ind w:left="0"/>
              <w:rPr>
                <w:rFonts w:ascii="Tahoma" w:hAnsi="Tahoma" w:cs="Tahoma"/>
                <w:b w:val="0"/>
                <w:sz w:val="14"/>
                <w:szCs w:val="14"/>
              </w:rPr>
            </w:pPr>
            <w:bookmarkStart w:id="522" w:name="_Toc336338118"/>
            <w:bookmarkStart w:id="523" w:name="_Toc353470765"/>
            <w:r w:rsidRPr="00653421">
              <w:rPr>
                <w:rFonts w:ascii="Tahoma" w:hAnsi="Tahoma" w:cs="Tahoma"/>
                <w:b w:val="0"/>
                <w:sz w:val="14"/>
              </w:rPr>
              <w:t>Windows</w:t>
            </w:r>
            <w:r w:rsidRPr="00653421">
              <w:rPr>
                <w:rFonts w:ascii="Tahoma" w:hAnsi="Tahoma" w:cs="Tahoma"/>
                <w:b w:val="0"/>
                <w:sz w:val="14"/>
                <w:vertAlign w:val="superscript"/>
              </w:rPr>
              <w:t>®</w:t>
            </w:r>
            <w:r w:rsidRPr="00653421">
              <w:rPr>
                <w:rFonts w:ascii="Tahoma" w:hAnsi="Tahoma" w:cs="Tahoma"/>
                <w:b w:val="0"/>
                <w:sz w:val="14"/>
              </w:rPr>
              <w:t xml:space="preserve"> Embedded Device Manager 2011 com Tecnologia SQL Server</w:t>
            </w:r>
            <w:r w:rsidRPr="00653421">
              <w:rPr>
                <w:rFonts w:ascii="Tahoma" w:hAnsi="Tahoma" w:cs="Tahoma"/>
                <w:b w:val="0"/>
                <w:sz w:val="14"/>
                <w:vertAlign w:val="superscript"/>
              </w:rPr>
              <w:t>®</w:t>
            </w:r>
            <w:r w:rsidRPr="00653421">
              <w:rPr>
                <w:rFonts w:ascii="Tahoma" w:hAnsi="Tahoma" w:cs="Tahoma"/>
                <w:b w:val="0"/>
                <w:sz w:val="14"/>
              </w:rPr>
              <w:t xml:space="preserve"> 2008</w:t>
            </w:r>
            <w:bookmarkEnd w:id="522"/>
            <w:bookmarkEnd w:id="523"/>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Fonts w:cs="Tahoma"/>
                <w:b/>
                <w:color w:val="0000FF"/>
                <w:sz w:val="13"/>
                <w:szCs w:val="13"/>
                <w:u w:val="single"/>
              </w:rPr>
            </w:pPr>
            <w:hyperlink w:anchor="_96_Windows_Embedded" w:history="1">
              <w:r w:rsidR="00955428" w:rsidRPr="00653421">
                <w:rPr>
                  <w:rStyle w:val="Hyperlink"/>
                  <w:rFonts w:cs="Tahoma"/>
                  <w:b/>
                  <w:sz w:val="13"/>
                  <w:szCs w:val="13"/>
                </w:rPr>
                <w:t>97</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287"/>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24" w:name="_Toc336338119"/>
            <w:bookmarkStart w:id="525" w:name="_Toc353470766"/>
            <w:r w:rsidRPr="00653421">
              <w:rPr>
                <w:rFonts w:ascii="Tahoma" w:hAnsi="Tahoma" w:cs="Tahoma"/>
                <w:b w:val="0"/>
                <w:sz w:val="14"/>
                <w:szCs w:val="14"/>
              </w:rPr>
              <w:t>Windows Essential Business Server 2008 Standard</w:t>
            </w:r>
            <w:bookmarkEnd w:id="524"/>
            <w:bookmarkEnd w:id="525"/>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98_Windows_EBS" w:history="1">
              <w:r w:rsidR="00955428" w:rsidRPr="00653421">
                <w:rPr>
                  <w:rStyle w:val="Hyperlink"/>
                  <w:rFonts w:cs="Tahoma"/>
                  <w:b/>
                  <w:sz w:val="13"/>
                  <w:szCs w:val="13"/>
                </w:rPr>
                <w:t>98</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87"/>
        </w:trPr>
        <w:tc>
          <w:tcPr>
            <w:tcW w:w="2734" w:type="dxa"/>
            <w:gridSpan w:val="2"/>
            <w:tcBorders>
              <w:bottom w:val="single" w:sz="4" w:space="0" w:color="auto"/>
            </w:tcBorders>
            <w:shd w:val="clear" w:color="auto" w:fill="FABF8F"/>
            <w:vAlign w:val="center"/>
          </w:tcPr>
          <w:p w:rsidR="001A63C6" w:rsidRPr="00653421" w:rsidRDefault="001A63C6" w:rsidP="001A63C6">
            <w:pPr>
              <w:pStyle w:val="Heading2"/>
              <w:spacing w:before="20" w:after="20"/>
              <w:ind w:left="0"/>
              <w:rPr>
                <w:rFonts w:ascii="Tahoma" w:hAnsi="Tahoma" w:cs="Tahoma"/>
                <w:b w:val="0"/>
                <w:sz w:val="14"/>
                <w:szCs w:val="14"/>
              </w:rPr>
            </w:pPr>
            <w:bookmarkStart w:id="526" w:name="_Toc336338120"/>
            <w:bookmarkStart w:id="527" w:name="_Toc353470767"/>
            <w:r w:rsidRPr="00653421">
              <w:rPr>
                <w:rFonts w:ascii="Tahoma" w:hAnsi="Tahoma" w:cs="Tahoma"/>
                <w:b w:val="0"/>
                <w:sz w:val="14"/>
                <w:szCs w:val="14"/>
              </w:rPr>
              <w:t>Windows Essential Business Server 2008 CAL Suite</w:t>
            </w:r>
            <w:bookmarkEnd w:id="526"/>
            <w:bookmarkEnd w:id="527"/>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1A63C6" w:rsidRPr="00653421" w:rsidTr="00BA1576">
        <w:trPr>
          <w:trHeight w:val="287"/>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28" w:name="_Toc336338121"/>
            <w:bookmarkStart w:id="529" w:name="_Toc353470768"/>
            <w:r w:rsidRPr="00653421">
              <w:rPr>
                <w:rFonts w:ascii="Tahoma" w:hAnsi="Tahoma" w:cs="Tahoma"/>
                <w:b w:val="0"/>
                <w:sz w:val="14"/>
                <w:szCs w:val="14"/>
              </w:rPr>
              <w:t>Windows Essential Business Server 2008 CAL Suite (5 clientes)</w:t>
            </w:r>
            <w:bookmarkEnd w:id="528"/>
            <w:bookmarkEnd w:id="529"/>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p>
        </w:tc>
      </w:tr>
      <w:tr w:rsidR="00B33D0E" w:rsidRPr="00653421" w:rsidTr="00BA1576">
        <w:trPr>
          <w:trHeight w:val="287"/>
        </w:trPr>
        <w:tc>
          <w:tcPr>
            <w:tcW w:w="2734" w:type="dxa"/>
            <w:gridSpan w:val="2"/>
            <w:tcBorders>
              <w:bottom w:val="single" w:sz="4" w:space="0" w:color="auto"/>
            </w:tcBorders>
            <w:shd w:val="clear" w:color="auto" w:fill="FABF8F"/>
            <w:vAlign w:val="center"/>
          </w:tcPr>
          <w:p w:rsidR="001A63C6" w:rsidRPr="00653421" w:rsidRDefault="001A63C6" w:rsidP="001A63C6">
            <w:pPr>
              <w:pStyle w:val="Heading2"/>
              <w:spacing w:before="20" w:after="20"/>
              <w:ind w:left="0"/>
              <w:rPr>
                <w:rFonts w:ascii="Tahoma" w:hAnsi="Tahoma" w:cs="Tahoma"/>
                <w:b w:val="0"/>
                <w:sz w:val="14"/>
                <w:szCs w:val="14"/>
              </w:rPr>
            </w:pPr>
            <w:bookmarkStart w:id="530" w:name="_Toc336338122"/>
            <w:bookmarkStart w:id="531" w:name="_Toc353470769"/>
            <w:r w:rsidRPr="00653421">
              <w:rPr>
                <w:rFonts w:ascii="Tahoma" w:hAnsi="Tahoma" w:cs="Tahoma"/>
                <w:b w:val="0"/>
                <w:color w:val="000000"/>
                <w:sz w:val="14"/>
                <w:szCs w:val="14"/>
              </w:rPr>
              <w:t>Windows Essential Business Server 2008 CAL Suite (20 clientes)</w:t>
            </w:r>
            <w:bookmarkEnd w:id="530"/>
            <w:bookmarkEnd w:id="531"/>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p>
        </w:tc>
      </w:tr>
      <w:tr w:rsidR="001A63C6" w:rsidRPr="00653421" w:rsidTr="00BA1576">
        <w:trPr>
          <w:trHeight w:val="287"/>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32" w:name="_Toc336338123"/>
            <w:bookmarkStart w:id="533" w:name="_Toc353470770"/>
            <w:r w:rsidRPr="00653421">
              <w:rPr>
                <w:rFonts w:ascii="Tahoma" w:hAnsi="Tahoma" w:cs="Tahoma"/>
                <w:b w:val="0"/>
                <w:sz w:val="14"/>
                <w:szCs w:val="14"/>
              </w:rPr>
              <w:t>Windows Essential Business Server 2008 CAL Suite (50 clientes)</w:t>
            </w:r>
            <w:bookmarkEnd w:id="532"/>
            <w:bookmarkEnd w:id="533"/>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p>
        </w:tc>
      </w:tr>
      <w:tr w:rsidR="00B33D0E" w:rsidRPr="00653421" w:rsidTr="00BA1576">
        <w:trPr>
          <w:trHeight w:val="287"/>
        </w:trPr>
        <w:tc>
          <w:tcPr>
            <w:tcW w:w="2734" w:type="dxa"/>
            <w:gridSpan w:val="2"/>
            <w:tcBorders>
              <w:bottom w:val="single" w:sz="4" w:space="0" w:color="auto"/>
            </w:tcBorders>
            <w:shd w:val="clear" w:color="auto" w:fill="FABF8F"/>
            <w:vAlign w:val="center"/>
          </w:tcPr>
          <w:p w:rsidR="001A63C6" w:rsidRPr="00653421" w:rsidRDefault="001A63C6" w:rsidP="001A63C6">
            <w:pPr>
              <w:pStyle w:val="Heading2"/>
              <w:spacing w:before="20" w:after="20"/>
              <w:ind w:left="0"/>
              <w:rPr>
                <w:rFonts w:ascii="Tahoma" w:hAnsi="Tahoma" w:cs="Tahoma"/>
                <w:b w:val="0"/>
                <w:sz w:val="14"/>
                <w:szCs w:val="14"/>
              </w:rPr>
            </w:pPr>
            <w:bookmarkStart w:id="534" w:name="_Toc336338124"/>
            <w:bookmarkStart w:id="535" w:name="_Toc353470771"/>
            <w:r w:rsidRPr="00653421">
              <w:rPr>
                <w:rFonts w:ascii="Tahoma" w:hAnsi="Tahoma" w:cs="Tahoma"/>
                <w:b w:val="0"/>
                <w:sz w:val="14"/>
                <w:szCs w:val="14"/>
              </w:rPr>
              <w:t>Windows Essential Business Server 2008 Premium</w:t>
            </w:r>
            <w:bookmarkEnd w:id="534"/>
            <w:bookmarkEnd w:id="535"/>
            <w:r w:rsidRPr="00653421">
              <w:rPr>
                <w:rFonts w:ascii="Tahoma" w:hAnsi="Tahoma" w:cs="Tahoma"/>
                <w:b w:val="0"/>
                <w:sz w:val="14"/>
                <w:szCs w:val="14"/>
              </w:rPr>
              <w:t xml:space="preserve"> </w:t>
            </w:r>
          </w:p>
        </w:tc>
        <w:tc>
          <w:tcPr>
            <w:tcW w:w="360" w:type="dxa"/>
            <w:tcBorders>
              <w:bottom w:val="single" w:sz="4" w:space="0" w:color="auto"/>
            </w:tcBorders>
            <w:shd w:val="clear" w:color="auto" w:fill="FABF8F"/>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107_EBS_2008" w:history="1">
              <w:r w:rsidR="00955428" w:rsidRPr="00653421">
                <w:rPr>
                  <w:rStyle w:val="Hyperlink"/>
                  <w:rFonts w:cs="Tahoma"/>
                  <w:b/>
                  <w:sz w:val="13"/>
                  <w:szCs w:val="13"/>
                </w:rPr>
                <w:t>98</w:t>
              </w:r>
            </w:hyperlink>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87"/>
        </w:trPr>
        <w:tc>
          <w:tcPr>
            <w:tcW w:w="2734" w:type="dxa"/>
            <w:gridSpan w:val="2"/>
            <w:tcBorders>
              <w:bottom w:val="single" w:sz="4" w:space="0" w:color="auto"/>
            </w:tcBorders>
            <w:shd w:val="clear" w:color="auto" w:fill="FFFFFF"/>
            <w:vAlign w:val="center"/>
          </w:tcPr>
          <w:p w:rsidR="001A63C6" w:rsidRPr="00734B50" w:rsidRDefault="001A63C6" w:rsidP="001A63C6">
            <w:pPr>
              <w:pStyle w:val="Heading2"/>
              <w:spacing w:before="20" w:after="20"/>
              <w:ind w:left="0"/>
              <w:rPr>
                <w:rFonts w:ascii="Tahoma" w:hAnsi="Tahoma" w:cs="Tahoma"/>
                <w:b w:val="0"/>
                <w:sz w:val="14"/>
                <w:szCs w:val="14"/>
                <w:lang w:val="pt-BR"/>
              </w:rPr>
            </w:pPr>
            <w:bookmarkStart w:id="536" w:name="_Toc336338125"/>
            <w:bookmarkStart w:id="537" w:name="_Toc353470772"/>
            <w:r w:rsidRPr="00734B50">
              <w:rPr>
                <w:rFonts w:ascii="Tahoma" w:hAnsi="Tahoma" w:cs="Tahoma"/>
                <w:b w:val="0"/>
                <w:sz w:val="14"/>
                <w:szCs w:val="14"/>
                <w:lang w:val="pt-BR"/>
              </w:rPr>
              <w:t>Pacote de CALs do Windows Essential Business Server 2008 - Usuários ou Dispositivos</w:t>
            </w:r>
            <w:bookmarkEnd w:id="536"/>
            <w:bookmarkEnd w:id="537"/>
            <w:r w:rsidRPr="00734B50">
              <w:rPr>
                <w:rFonts w:ascii="Tahoma" w:hAnsi="Tahoma" w:cs="Tahoma"/>
                <w:b w:val="0"/>
                <w:sz w:val="14"/>
                <w:szCs w:val="14"/>
                <w:lang w:val="pt-BR"/>
              </w:rPr>
              <w:t xml:space="preserve"> </w:t>
            </w:r>
          </w:p>
        </w:tc>
        <w:tc>
          <w:tcPr>
            <w:tcW w:w="360" w:type="dxa"/>
            <w:tcBorders>
              <w:bottom w:val="single" w:sz="4" w:space="0" w:color="auto"/>
            </w:tcBorders>
            <w:shd w:val="clear" w:color="auto" w:fill="FFFFFF"/>
            <w:vAlign w:val="center"/>
          </w:tcPr>
          <w:p w:rsidR="001A63C6" w:rsidRPr="00734B50" w:rsidRDefault="001A63C6" w:rsidP="00BA1576">
            <w:pPr>
              <w:pStyle w:val="TableText"/>
              <w:widowControl w:val="0"/>
              <w:spacing w:before="30" w:after="30"/>
              <w:rPr>
                <w:rStyle w:val="EndnoteReference"/>
                <w:rFonts w:ascii="Tahoma" w:hAnsi="Tahoma" w:cs="Tahoma"/>
                <w:sz w:val="13"/>
                <w:lang w:val="pt-BR"/>
              </w:rPr>
            </w:pPr>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r>
      <w:tr w:rsidR="00B33D0E" w:rsidRPr="00653421" w:rsidTr="00BA1576">
        <w:trPr>
          <w:trHeight w:val="287"/>
        </w:trPr>
        <w:tc>
          <w:tcPr>
            <w:tcW w:w="2734" w:type="dxa"/>
            <w:gridSpan w:val="2"/>
            <w:tcBorders>
              <w:bottom w:val="single" w:sz="4" w:space="0" w:color="auto"/>
            </w:tcBorders>
            <w:shd w:val="clear" w:color="auto" w:fill="FABF8F"/>
            <w:vAlign w:val="center"/>
          </w:tcPr>
          <w:p w:rsidR="001A63C6" w:rsidRPr="00734B50" w:rsidRDefault="001A63C6" w:rsidP="001A63C6">
            <w:pPr>
              <w:pStyle w:val="Heading2"/>
              <w:spacing w:before="20" w:after="20"/>
              <w:ind w:left="0"/>
              <w:rPr>
                <w:rFonts w:ascii="Tahoma" w:hAnsi="Tahoma" w:cs="Tahoma"/>
                <w:b w:val="0"/>
                <w:sz w:val="14"/>
                <w:szCs w:val="14"/>
                <w:lang w:val="pt-BR"/>
              </w:rPr>
            </w:pPr>
            <w:bookmarkStart w:id="538" w:name="_Toc336338126"/>
            <w:bookmarkStart w:id="539" w:name="_Toc353470773"/>
            <w:r w:rsidRPr="00734B50">
              <w:rPr>
                <w:rFonts w:ascii="Tahoma" w:hAnsi="Tahoma" w:cs="Tahoma"/>
                <w:b w:val="0"/>
                <w:sz w:val="14"/>
                <w:szCs w:val="14"/>
                <w:lang w:val="pt-BR"/>
              </w:rPr>
              <w:t>Windows Essential Business Server 2008 CAL Suite para Usuários ou Dispositivos Premium (5 clientes)</w:t>
            </w:r>
            <w:bookmarkEnd w:id="538"/>
            <w:bookmarkEnd w:id="539"/>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rFonts w:ascii="Tahoma" w:hAnsi="Tahoma" w:cs="Tahoma"/>
                <w:sz w:val="13"/>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p>
        </w:tc>
      </w:tr>
      <w:tr w:rsidR="00B33D0E" w:rsidRPr="00653421" w:rsidTr="00BA1576">
        <w:trPr>
          <w:trHeight w:val="287"/>
        </w:trPr>
        <w:tc>
          <w:tcPr>
            <w:tcW w:w="2734" w:type="dxa"/>
            <w:gridSpan w:val="2"/>
            <w:tcBorders>
              <w:bottom w:val="single" w:sz="4" w:space="0" w:color="auto"/>
            </w:tcBorders>
            <w:shd w:val="clear" w:color="auto" w:fill="FFFFFF"/>
            <w:vAlign w:val="center"/>
          </w:tcPr>
          <w:p w:rsidR="001A63C6" w:rsidRPr="00734B50" w:rsidRDefault="001A63C6" w:rsidP="001A63C6">
            <w:pPr>
              <w:pStyle w:val="Heading2"/>
              <w:spacing w:before="20" w:after="20"/>
              <w:ind w:left="0"/>
              <w:rPr>
                <w:rFonts w:ascii="Tahoma" w:hAnsi="Tahoma" w:cs="Tahoma"/>
                <w:b w:val="0"/>
                <w:sz w:val="14"/>
                <w:szCs w:val="14"/>
                <w:lang w:val="pt-BR"/>
              </w:rPr>
            </w:pPr>
            <w:bookmarkStart w:id="540" w:name="_Toc336338127"/>
            <w:bookmarkStart w:id="541" w:name="_Toc353470774"/>
            <w:r w:rsidRPr="00734B50">
              <w:rPr>
                <w:rFonts w:ascii="Tahoma" w:hAnsi="Tahoma" w:cs="Tahoma"/>
                <w:b w:val="0"/>
                <w:sz w:val="14"/>
                <w:szCs w:val="14"/>
                <w:lang w:val="pt-BR"/>
              </w:rPr>
              <w:t>Windows Essential Business Server 2008 CAL Suite para Usuários ou Dispositivos Premium (20 clientes)</w:t>
            </w:r>
            <w:bookmarkEnd w:id="540"/>
            <w:bookmarkEnd w:id="541"/>
          </w:p>
        </w:tc>
        <w:tc>
          <w:tcPr>
            <w:tcW w:w="360" w:type="dxa"/>
            <w:tcBorders>
              <w:bottom w:val="single" w:sz="4" w:space="0" w:color="auto"/>
            </w:tcBorders>
            <w:shd w:val="clear" w:color="auto" w:fill="FFFFFF"/>
            <w:vAlign w:val="center"/>
          </w:tcPr>
          <w:p w:rsidR="001A63C6" w:rsidRPr="00734B50" w:rsidRDefault="001A63C6" w:rsidP="00BA1576">
            <w:pPr>
              <w:pStyle w:val="TableText"/>
              <w:widowControl w:val="0"/>
              <w:spacing w:before="30" w:after="30"/>
              <w:rPr>
                <w:rStyle w:val="EndnoteReference"/>
                <w:rFonts w:ascii="Tahoma" w:hAnsi="Tahoma" w:cs="Tahoma"/>
                <w:sz w:val="13"/>
                <w:lang w:val="pt-BR"/>
              </w:rPr>
            </w:pPr>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p>
        </w:tc>
      </w:tr>
      <w:tr w:rsidR="00B33D0E" w:rsidRPr="00653421" w:rsidTr="00BA1576">
        <w:trPr>
          <w:trHeight w:val="287"/>
        </w:trPr>
        <w:tc>
          <w:tcPr>
            <w:tcW w:w="2734" w:type="dxa"/>
            <w:gridSpan w:val="2"/>
            <w:tcBorders>
              <w:bottom w:val="single" w:sz="4" w:space="0" w:color="auto"/>
            </w:tcBorders>
            <w:shd w:val="clear" w:color="auto" w:fill="FABF8F"/>
            <w:vAlign w:val="center"/>
          </w:tcPr>
          <w:p w:rsidR="001A63C6" w:rsidRPr="00734B50" w:rsidRDefault="001A63C6" w:rsidP="001A63C6">
            <w:pPr>
              <w:pStyle w:val="Heading2"/>
              <w:spacing w:before="20" w:after="20"/>
              <w:ind w:left="0"/>
              <w:rPr>
                <w:rFonts w:ascii="Tahoma" w:hAnsi="Tahoma" w:cs="Tahoma"/>
                <w:b w:val="0"/>
                <w:sz w:val="14"/>
                <w:szCs w:val="14"/>
                <w:lang w:val="pt-BR"/>
              </w:rPr>
            </w:pPr>
            <w:bookmarkStart w:id="542" w:name="_Toc336338128"/>
            <w:bookmarkStart w:id="543" w:name="_Toc353470775"/>
            <w:r w:rsidRPr="00734B50">
              <w:rPr>
                <w:rFonts w:ascii="Tahoma" w:hAnsi="Tahoma" w:cs="Tahoma"/>
                <w:b w:val="0"/>
                <w:sz w:val="14"/>
                <w:szCs w:val="14"/>
                <w:lang w:val="pt-BR"/>
              </w:rPr>
              <w:t>Windows Essential Business Server 2008 CAL Suite para Usuários ou Dispositivos Premium (50 clientes)</w:t>
            </w:r>
            <w:bookmarkEnd w:id="542"/>
            <w:bookmarkEnd w:id="543"/>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rStyle w:val="EndnoteReference"/>
                <w:rFonts w:cs="Tahoma"/>
                <w:color w:val="0000FF"/>
                <w:sz w:val="13"/>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LO</w:t>
            </w:r>
          </w:p>
        </w:tc>
      </w:tr>
      <w:tr w:rsidR="00B33D0E" w:rsidRPr="00653421" w:rsidTr="00BA1576">
        <w:trPr>
          <w:trHeight w:val="145"/>
        </w:trPr>
        <w:tc>
          <w:tcPr>
            <w:tcW w:w="2734" w:type="dxa"/>
            <w:gridSpan w:val="2"/>
            <w:tcBorders>
              <w:bottom w:val="single" w:sz="4" w:space="0" w:color="auto"/>
            </w:tcBorders>
            <w:shd w:val="clear" w:color="auto" w:fill="FFFFFF"/>
            <w:vAlign w:val="center"/>
          </w:tcPr>
          <w:p w:rsidR="001A63C6" w:rsidRPr="00653421" w:rsidRDefault="001A63C6" w:rsidP="001A63C6">
            <w:pPr>
              <w:pStyle w:val="Heading2"/>
              <w:spacing w:before="20" w:after="20"/>
              <w:ind w:left="0"/>
              <w:rPr>
                <w:rFonts w:ascii="Tahoma" w:hAnsi="Tahoma" w:cs="Tahoma"/>
                <w:b w:val="0"/>
                <w:sz w:val="14"/>
                <w:szCs w:val="14"/>
              </w:rPr>
            </w:pPr>
            <w:bookmarkStart w:id="544" w:name="_Toc336338129"/>
            <w:bookmarkStart w:id="545" w:name="_Toc353470776"/>
            <w:r w:rsidRPr="00653421">
              <w:rPr>
                <w:rFonts w:ascii="Tahoma" w:hAnsi="Tahoma" w:cs="Tahoma"/>
                <w:b w:val="0"/>
                <w:sz w:val="14"/>
                <w:szCs w:val="14"/>
              </w:rPr>
              <w:t>Windows HPC Server 2008 R2 Suite</w:t>
            </w:r>
            <w:bookmarkEnd w:id="544"/>
            <w:bookmarkEnd w:id="545"/>
            <w:r w:rsidRPr="00653421">
              <w:rPr>
                <w:rFonts w:ascii="Tahoma" w:hAnsi="Tahoma" w:cs="Tahoma"/>
                <w:b w:val="0"/>
                <w:sz w:val="14"/>
                <w:szCs w:val="14"/>
              </w:rPr>
              <w:t xml:space="preserve"> </w:t>
            </w:r>
          </w:p>
        </w:tc>
        <w:tc>
          <w:tcPr>
            <w:tcW w:w="360" w:type="dxa"/>
            <w:tcBorders>
              <w:bottom w:val="single" w:sz="4" w:space="0" w:color="auto"/>
            </w:tcBorders>
            <w:shd w:val="clear" w:color="auto" w:fill="FFFFFF"/>
            <w:vAlign w:val="center"/>
          </w:tcPr>
          <w:p w:rsidR="001A63C6" w:rsidRPr="00653421" w:rsidRDefault="0033195D" w:rsidP="00BA1576">
            <w:pPr>
              <w:pStyle w:val="TableText"/>
              <w:widowControl w:val="0"/>
              <w:spacing w:before="30" w:after="30"/>
              <w:rPr>
                <w:b/>
                <w:sz w:val="13"/>
                <w:szCs w:val="13"/>
                <w:u w:val="single"/>
              </w:rPr>
            </w:pPr>
            <w:hyperlink w:anchor="_99_Windows_HPC" w:history="1">
              <w:r w:rsidR="00955428" w:rsidRPr="00653421">
                <w:rPr>
                  <w:rStyle w:val="Hyperlink"/>
                  <w:b/>
                  <w:sz w:val="13"/>
                  <w:szCs w:val="13"/>
                </w:rPr>
                <w:t>99</w:t>
              </w:r>
            </w:hyperlink>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FFFFF"/>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653421" w:rsidRDefault="001A63C6" w:rsidP="00465D54">
            <w:pPr>
              <w:pStyle w:val="Heading2"/>
              <w:spacing w:before="20" w:after="20"/>
              <w:ind w:left="0"/>
              <w:rPr>
                <w:rFonts w:ascii="Tahoma" w:hAnsi="Tahoma" w:cs="Tahoma"/>
                <w:b w:val="0"/>
                <w:sz w:val="14"/>
                <w:szCs w:val="14"/>
              </w:rPr>
            </w:pPr>
            <w:bookmarkStart w:id="546" w:name="_Toc353470777"/>
            <w:r w:rsidRPr="00653421">
              <w:rPr>
                <w:rFonts w:ascii="Tahoma" w:hAnsi="Tahoma" w:cs="Tahoma"/>
                <w:b w:val="0"/>
                <w:sz w:val="14"/>
              </w:rPr>
              <w:t>Complemento do Windows Intune para System Center Configuration Manager e System Center Endppoint Protection (por</w:t>
            </w:r>
            <w:r w:rsidR="00465D54" w:rsidRPr="00653421">
              <w:rPr>
                <w:rFonts w:ascii="Tahoma" w:hAnsi="Tahoma" w:cs="Tahoma"/>
                <w:b w:val="0"/>
                <w:sz w:val="14"/>
              </w:rPr>
              <w:t> </w:t>
            </w:r>
            <w:r w:rsidRPr="00653421">
              <w:rPr>
                <w:rFonts w:ascii="Tahoma" w:hAnsi="Tahoma" w:cs="Tahoma"/>
                <w:b w:val="0"/>
                <w:sz w:val="14"/>
              </w:rPr>
              <w:t>usuário)</w:t>
            </w:r>
            <w:bookmarkEnd w:id="546"/>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b/>
                <w:sz w:val="13"/>
                <w:szCs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47" w:name="_Toc353470778"/>
            <w:r w:rsidRPr="00653421">
              <w:rPr>
                <w:rFonts w:ascii="Tahoma" w:hAnsi="Tahoma" w:cs="Tahoma"/>
                <w:b w:val="0"/>
                <w:sz w:val="14"/>
                <w:szCs w:val="14"/>
              </w:rPr>
              <w:t>Windows Intune (por usuário)</w:t>
            </w:r>
            <w:bookmarkEnd w:id="547"/>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b/>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EOLS</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ABF8F"/>
            <w:vAlign w:val="center"/>
          </w:tcPr>
          <w:p w:rsidR="001A63C6" w:rsidRPr="00734B50" w:rsidRDefault="001A63C6" w:rsidP="00465D54">
            <w:pPr>
              <w:pStyle w:val="Heading2"/>
              <w:spacing w:before="20" w:after="20"/>
              <w:ind w:left="0"/>
              <w:rPr>
                <w:rFonts w:ascii="Tahoma" w:hAnsi="Tahoma" w:cs="Tahoma"/>
                <w:b w:val="0"/>
                <w:sz w:val="14"/>
                <w:szCs w:val="14"/>
                <w:lang w:val="pt-BR"/>
              </w:rPr>
            </w:pPr>
            <w:bookmarkStart w:id="548" w:name="_Toc336338132"/>
            <w:bookmarkStart w:id="549" w:name="_Toc341193035"/>
            <w:bookmarkStart w:id="550" w:name="_Toc353470779"/>
            <w:r w:rsidRPr="00734B50">
              <w:rPr>
                <w:rFonts w:ascii="Tahoma" w:hAnsi="Tahoma" w:cs="Tahoma"/>
                <w:b w:val="0"/>
                <w:sz w:val="14"/>
                <w:szCs w:val="14"/>
                <w:lang w:val="pt-BR"/>
              </w:rPr>
              <w:t>Armazenamento Extra de 1 GB de SL</w:t>
            </w:r>
            <w:r w:rsidR="00465D54" w:rsidRPr="00734B50">
              <w:rPr>
                <w:rFonts w:ascii="Tahoma" w:hAnsi="Tahoma" w:cs="Tahoma"/>
                <w:b w:val="0"/>
                <w:sz w:val="14"/>
                <w:szCs w:val="14"/>
                <w:lang w:val="pt-BR"/>
              </w:rPr>
              <w:t> </w:t>
            </w:r>
            <w:r w:rsidRPr="00734B50">
              <w:rPr>
                <w:rFonts w:ascii="Tahoma" w:hAnsi="Tahoma" w:cs="Tahoma"/>
                <w:b w:val="0"/>
                <w:sz w:val="14"/>
                <w:szCs w:val="14"/>
                <w:lang w:val="pt-BR"/>
              </w:rPr>
              <w:t>Complementar do Usuário do Windows</w:t>
            </w:r>
            <w:r w:rsidR="00465D54" w:rsidRPr="00734B50">
              <w:rPr>
                <w:rFonts w:ascii="Tahoma" w:hAnsi="Tahoma" w:cs="Tahoma"/>
                <w:b w:val="0"/>
                <w:sz w:val="14"/>
                <w:szCs w:val="14"/>
                <w:lang w:val="pt-BR"/>
              </w:rPr>
              <w:t> </w:t>
            </w:r>
            <w:r w:rsidRPr="00734B50">
              <w:rPr>
                <w:rFonts w:ascii="Tahoma" w:hAnsi="Tahoma" w:cs="Tahoma"/>
                <w:b w:val="0"/>
                <w:sz w:val="14"/>
                <w:szCs w:val="14"/>
                <w:lang w:val="pt-BR"/>
              </w:rPr>
              <w:t>Intune</w:t>
            </w:r>
            <w:bookmarkEnd w:id="548"/>
            <w:bookmarkEnd w:id="549"/>
            <w:bookmarkEnd w:id="550"/>
          </w:p>
        </w:tc>
        <w:tc>
          <w:tcPr>
            <w:tcW w:w="360" w:type="dxa"/>
            <w:tcBorders>
              <w:bottom w:val="single" w:sz="4" w:space="0" w:color="auto"/>
            </w:tcBorders>
            <w:shd w:val="clear" w:color="auto" w:fill="FABF8F"/>
            <w:vAlign w:val="center"/>
          </w:tcPr>
          <w:p w:rsidR="001A63C6" w:rsidRPr="00734B50" w:rsidRDefault="001A63C6" w:rsidP="00BA1576">
            <w:pPr>
              <w:pStyle w:val="TableText"/>
              <w:widowControl w:val="0"/>
              <w:spacing w:before="30" w:after="30"/>
              <w:rPr>
                <w:b/>
                <w:sz w:val="13"/>
                <w:szCs w:val="13"/>
                <w:lang w:val="pt-BR"/>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ABF8F"/>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51" w:name="_Toc336338133"/>
            <w:bookmarkStart w:id="552" w:name="_Toc353470780"/>
            <w:r w:rsidRPr="00653421">
              <w:rPr>
                <w:rFonts w:ascii="Tahoma" w:hAnsi="Tahoma" w:cs="Tahoma"/>
                <w:b w:val="0"/>
                <w:sz w:val="14"/>
                <w:szCs w:val="14"/>
              </w:rPr>
              <w:t>Windows MultiPoint Server 2012 Standard</w:t>
            </w:r>
            <w:bookmarkEnd w:id="551"/>
            <w:bookmarkEnd w:id="552"/>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sz w:val="13"/>
                <w:szCs w:val="13"/>
                <w:u w:val="single"/>
              </w:rPr>
            </w:pPr>
            <w:hyperlink w:anchor="_100_Windows_Multipoint" w:history="1">
              <w:r w:rsidR="006E7054" w:rsidRPr="00653421">
                <w:rPr>
                  <w:rStyle w:val="Hyperlink"/>
                  <w:b/>
                  <w:sz w:val="13"/>
                  <w:szCs w:val="13"/>
                </w:rPr>
                <w:t>100</w:t>
              </w:r>
            </w:hyperlink>
            <w:hyperlink w:anchor="_98_Windows_Multipoint" w:history="1"/>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8</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4B083" w:themeFill="accent2" w:themeFillTint="99"/>
            <w:vAlign w:val="center"/>
          </w:tcPr>
          <w:p w:rsidR="001A63C6" w:rsidRPr="00653421" w:rsidRDefault="001A63C6" w:rsidP="001A63C6">
            <w:pPr>
              <w:pStyle w:val="Heading2"/>
              <w:spacing w:before="20" w:after="20"/>
              <w:ind w:left="0"/>
              <w:rPr>
                <w:rFonts w:ascii="Tahoma" w:hAnsi="Tahoma" w:cs="Tahoma"/>
                <w:b w:val="0"/>
                <w:sz w:val="14"/>
                <w:szCs w:val="14"/>
              </w:rPr>
            </w:pPr>
            <w:bookmarkStart w:id="553" w:name="_Toc336338134"/>
            <w:bookmarkStart w:id="554" w:name="_Toc353470781"/>
            <w:r w:rsidRPr="00653421">
              <w:rPr>
                <w:rFonts w:ascii="Tahoma" w:hAnsi="Tahoma" w:cs="Tahoma"/>
                <w:b w:val="0"/>
                <w:sz w:val="14"/>
                <w:szCs w:val="14"/>
              </w:rPr>
              <w:t>Windows MultiPoint Server 2012 Premium</w:t>
            </w:r>
            <w:bookmarkEnd w:id="553"/>
            <w:bookmarkEnd w:id="554"/>
          </w:p>
        </w:tc>
        <w:tc>
          <w:tcPr>
            <w:tcW w:w="360" w:type="dxa"/>
            <w:tcBorders>
              <w:bottom w:val="single" w:sz="4" w:space="0" w:color="auto"/>
            </w:tcBorders>
            <w:shd w:val="clear" w:color="auto" w:fill="F4B083" w:themeFill="accent2" w:themeFillTint="99"/>
            <w:vAlign w:val="center"/>
          </w:tcPr>
          <w:p w:rsidR="001A63C6" w:rsidRPr="00653421" w:rsidRDefault="0033195D" w:rsidP="00BA1576">
            <w:pPr>
              <w:pStyle w:val="TableText"/>
              <w:widowControl w:val="0"/>
              <w:spacing w:before="30" w:after="30"/>
              <w:rPr>
                <w:b/>
                <w:sz w:val="13"/>
                <w:szCs w:val="13"/>
                <w:u w:val="single"/>
              </w:rPr>
            </w:pPr>
            <w:hyperlink w:anchor="_101_Windows_Multipoint" w:history="1">
              <w:r w:rsidR="00955428" w:rsidRPr="00653421">
                <w:rPr>
                  <w:rStyle w:val="Hyperlink"/>
                  <w:b/>
                  <w:sz w:val="13"/>
                  <w:szCs w:val="13"/>
                </w:rPr>
                <w:t>101</w:t>
              </w:r>
            </w:hyperlink>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20</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63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54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55" w:name="_Toc336338135"/>
            <w:bookmarkStart w:id="556" w:name="_Toc353470782"/>
            <w:r w:rsidRPr="00653421">
              <w:rPr>
                <w:rFonts w:ascii="Tahoma" w:hAnsi="Tahoma" w:cs="Tahoma"/>
                <w:b w:val="0"/>
                <w:sz w:val="14"/>
                <w:szCs w:val="14"/>
              </w:rPr>
              <w:t>CAL do Windows MultiPoint Server 2012</w:t>
            </w:r>
            <w:bookmarkEnd w:id="555"/>
            <w:bookmarkEnd w:id="556"/>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b/>
                <w:sz w:val="13"/>
                <w:szCs w:val="13"/>
                <w:u w:val="single"/>
              </w:rPr>
            </w:pPr>
            <w:hyperlink w:anchor="_102_CAL_do" w:history="1">
              <w:r w:rsidR="00955428" w:rsidRPr="00653421">
                <w:rPr>
                  <w:rStyle w:val="Hyperlink"/>
                  <w:b/>
                  <w:sz w:val="13"/>
                  <w:szCs w:val="13"/>
                </w:rPr>
                <w:t>102</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4B083" w:themeFill="accent2" w:themeFillTint="99"/>
            <w:vAlign w:val="center"/>
          </w:tcPr>
          <w:p w:rsidR="001A63C6" w:rsidRPr="00653421" w:rsidRDefault="001A63C6" w:rsidP="001A63C6">
            <w:pPr>
              <w:pStyle w:val="Heading2"/>
              <w:spacing w:before="20" w:after="20"/>
              <w:ind w:left="0"/>
              <w:rPr>
                <w:rFonts w:ascii="Tahoma" w:hAnsi="Tahoma" w:cs="Tahoma"/>
                <w:b w:val="0"/>
                <w:sz w:val="14"/>
                <w:szCs w:val="14"/>
              </w:rPr>
            </w:pPr>
            <w:bookmarkStart w:id="557" w:name="_Toc336338136"/>
            <w:bookmarkStart w:id="558" w:name="_Toc353470783"/>
            <w:r w:rsidRPr="00653421">
              <w:rPr>
                <w:rFonts w:ascii="Tahoma" w:hAnsi="Tahoma" w:cs="Tahoma"/>
                <w:b w:val="0"/>
                <w:sz w:val="14"/>
                <w:szCs w:val="14"/>
              </w:rPr>
              <w:t>CAL do Windows MultiPoint Server 2012 com CAL do Windows Server 2012</w:t>
            </w:r>
            <w:bookmarkEnd w:id="557"/>
            <w:bookmarkEnd w:id="558"/>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b/>
                <w:sz w:val="13"/>
                <w:szCs w:val="13"/>
              </w:rPr>
            </w:pP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59" w:name="_Toc336338137"/>
            <w:bookmarkStart w:id="560" w:name="_Toc353470784"/>
            <w:r w:rsidRPr="00653421">
              <w:rPr>
                <w:rFonts w:ascii="Tahoma" w:hAnsi="Tahoma" w:cs="Tahoma"/>
                <w:b w:val="0"/>
                <w:sz w:val="14"/>
                <w:szCs w:val="14"/>
              </w:rPr>
              <w:t>Windows MultiPoint Server 2012 Premium com Windows MultiPoint Server 2012 (CAL) (5 Clientes)</w:t>
            </w:r>
            <w:bookmarkEnd w:id="559"/>
            <w:bookmarkEnd w:id="560"/>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b/>
                <w:sz w:val="13"/>
                <w:szCs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63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13</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LO/OV</w:t>
            </w:r>
          </w:p>
        </w:tc>
      </w:tr>
      <w:tr w:rsidR="00B33D0E" w:rsidRPr="00653421" w:rsidTr="00BA1576">
        <w:trPr>
          <w:trHeight w:val="145"/>
        </w:trPr>
        <w:tc>
          <w:tcPr>
            <w:tcW w:w="2734" w:type="dxa"/>
            <w:gridSpan w:val="2"/>
            <w:tcBorders>
              <w:bottom w:val="single" w:sz="4" w:space="0" w:color="auto"/>
            </w:tcBorders>
            <w:shd w:val="clear" w:color="auto" w:fill="F4B083" w:themeFill="accent2" w:themeFillTint="99"/>
            <w:vAlign w:val="center"/>
          </w:tcPr>
          <w:p w:rsidR="001A63C6" w:rsidRPr="00653421" w:rsidRDefault="001A63C6" w:rsidP="001A63C6">
            <w:pPr>
              <w:pStyle w:val="Heading2"/>
              <w:spacing w:before="20" w:after="20"/>
              <w:ind w:left="0"/>
              <w:rPr>
                <w:rFonts w:ascii="Tahoma" w:hAnsi="Tahoma" w:cs="Tahoma"/>
                <w:b w:val="0"/>
                <w:sz w:val="14"/>
                <w:szCs w:val="14"/>
              </w:rPr>
            </w:pPr>
            <w:bookmarkStart w:id="561" w:name="_Toc336338138"/>
            <w:bookmarkStart w:id="562" w:name="_Toc353470785"/>
            <w:r w:rsidRPr="00653421">
              <w:rPr>
                <w:rFonts w:ascii="Tahoma" w:hAnsi="Tahoma" w:cs="Tahoma"/>
                <w:b w:val="0"/>
                <w:sz w:val="14"/>
                <w:szCs w:val="14"/>
              </w:rPr>
              <w:t>Windows MultiPoint Server 2012 Premium com Windows MultiPoint Server 2012 (CAL) (5 Clientes) com CAL do Windows Server 2012 (5 Clientes)</w:t>
            </w:r>
            <w:bookmarkEnd w:id="561"/>
            <w:bookmarkEnd w:id="562"/>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b/>
                <w:sz w:val="13"/>
                <w:szCs w:val="13"/>
              </w:rPr>
            </w:pP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63</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13</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63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54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LO/OV</w:t>
            </w: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63" w:name="_Toc336338139"/>
            <w:bookmarkStart w:id="564" w:name="_Toc353470786"/>
            <w:r w:rsidRPr="00653421">
              <w:rPr>
                <w:rFonts w:ascii="Tahoma" w:hAnsi="Tahoma" w:cs="Tahoma"/>
                <w:b w:val="0"/>
                <w:sz w:val="14"/>
                <w:szCs w:val="14"/>
              </w:rPr>
              <w:t>Windows Server™ 2008 R2 HPC Edition</w:t>
            </w:r>
            <w:bookmarkEnd w:id="563"/>
            <w:bookmarkEnd w:id="564"/>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103_Windows_Server" w:history="1">
              <w:r w:rsidR="00955428" w:rsidRPr="00653421">
                <w:rPr>
                  <w:rStyle w:val="Hyperlink"/>
                  <w:b/>
                  <w:sz w:val="13"/>
                  <w:szCs w:val="13"/>
                </w:rPr>
                <w:t>103</w:t>
              </w:r>
            </w:hyperlink>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sz w:val="13"/>
              </w:rPr>
              <w:t>09/10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4B083" w:themeFill="accent2" w:themeFillTint="99"/>
            <w:vAlign w:val="center"/>
          </w:tcPr>
          <w:p w:rsidR="001A63C6" w:rsidRPr="00653421" w:rsidRDefault="001A63C6" w:rsidP="001A63C6">
            <w:pPr>
              <w:pStyle w:val="Heading2"/>
              <w:spacing w:before="20" w:after="20"/>
              <w:ind w:left="0"/>
              <w:rPr>
                <w:rFonts w:ascii="Tahoma" w:hAnsi="Tahoma" w:cs="Tahoma"/>
                <w:b w:val="0"/>
                <w:sz w:val="14"/>
                <w:szCs w:val="14"/>
              </w:rPr>
            </w:pPr>
            <w:bookmarkStart w:id="565" w:name="_Toc336338140"/>
            <w:bookmarkStart w:id="566" w:name="_Toc353470787"/>
            <w:r w:rsidRPr="00653421">
              <w:rPr>
                <w:rFonts w:ascii="Tahoma" w:hAnsi="Tahoma" w:cs="Tahoma"/>
                <w:b w:val="0"/>
                <w:sz w:val="14"/>
                <w:szCs w:val="14"/>
              </w:rPr>
              <w:t>Windows Server™ 2008 R2 Enterprise</w:t>
            </w:r>
            <w:bookmarkEnd w:id="565"/>
            <w:bookmarkEnd w:id="566"/>
          </w:p>
        </w:tc>
        <w:tc>
          <w:tcPr>
            <w:tcW w:w="360" w:type="dxa"/>
            <w:tcBorders>
              <w:bottom w:val="single" w:sz="4" w:space="0" w:color="auto"/>
            </w:tcBorders>
            <w:shd w:val="clear" w:color="auto" w:fill="F4B083" w:themeFill="accent2" w:themeFillTint="99"/>
            <w:vAlign w:val="center"/>
          </w:tcPr>
          <w:p w:rsidR="001A63C6" w:rsidRPr="00653421" w:rsidRDefault="0033195D" w:rsidP="00BA1576">
            <w:pPr>
              <w:pStyle w:val="TableText"/>
              <w:widowControl w:val="0"/>
              <w:spacing w:before="30" w:after="30"/>
              <w:rPr>
                <w:rStyle w:val="EndnoteReference"/>
                <w:rFonts w:cs="Tahoma"/>
                <w:b w:val="0"/>
                <w:color w:val="0000FF"/>
                <w:sz w:val="13"/>
                <w:szCs w:val="13"/>
                <w:u w:val="single"/>
              </w:rPr>
            </w:pPr>
            <w:hyperlink w:anchor="_97_Windows_Server" w:history="1">
              <w:r w:rsidR="00955428" w:rsidRPr="00653421">
                <w:rPr>
                  <w:rStyle w:val="Hyperlink"/>
                  <w:b/>
                  <w:sz w:val="13"/>
                  <w:szCs w:val="13"/>
                </w:rPr>
                <w:t>10</w:t>
              </w:r>
            </w:hyperlink>
            <w:r w:rsidR="00955428" w:rsidRPr="00653421">
              <w:rPr>
                <w:rStyle w:val="Hyperlink"/>
                <w:b/>
                <w:sz w:val="13"/>
                <w:szCs w:val="13"/>
              </w:rPr>
              <w:t>4</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67" w:name="_Toc336338141"/>
            <w:bookmarkStart w:id="568" w:name="_Toc353470788"/>
            <w:r w:rsidRPr="00653421">
              <w:rPr>
                <w:rFonts w:ascii="Tahoma" w:hAnsi="Tahoma" w:cs="Tahoma"/>
                <w:b w:val="0"/>
                <w:sz w:val="14"/>
                <w:szCs w:val="14"/>
              </w:rPr>
              <w:t>Windows Server™ 2008 R2 Itanium Based</w:t>
            </w:r>
            <w:r w:rsidR="00465D54" w:rsidRPr="00653421">
              <w:rPr>
                <w:rFonts w:ascii="Tahoma" w:hAnsi="Tahoma" w:cs="Tahoma"/>
                <w:b w:val="0"/>
                <w:sz w:val="14"/>
                <w:szCs w:val="14"/>
              </w:rPr>
              <w:t> </w:t>
            </w:r>
            <w:r w:rsidRPr="00653421">
              <w:rPr>
                <w:rFonts w:ascii="Tahoma" w:hAnsi="Tahoma" w:cs="Tahoma"/>
                <w:b w:val="0"/>
                <w:sz w:val="14"/>
                <w:szCs w:val="14"/>
              </w:rPr>
              <w:t>Systems</w:t>
            </w:r>
            <w:bookmarkEnd w:id="567"/>
            <w:bookmarkEnd w:id="568"/>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sz w:val="13"/>
                <w:szCs w:val="13"/>
                <w:u w:val="single"/>
              </w:rPr>
            </w:pPr>
            <w:hyperlink w:anchor="Srv_1132WinSvr08R2Itanium" w:history="1">
              <w:r w:rsidR="00955428" w:rsidRPr="00653421">
                <w:rPr>
                  <w:rStyle w:val="Hyperlink"/>
                  <w:b/>
                  <w:sz w:val="13"/>
                  <w:szCs w:val="13"/>
                </w:rPr>
                <w:t>10</w:t>
              </w:r>
            </w:hyperlink>
            <w:r w:rsidR="00955428" w:rsidRPr="00653421">
              <w:rPr>
                <w:rStyle w:val="Hyperlink"/>
                <w:b/>
                <w:sz w:val="13"/>
                <w:szCs w:val="13"/>
              </w:rPr>
              <w:t>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B33D0E" w:rsidRPr="00653421" w:rsidTr="00BA1576">
        <w:trPr>
          <w:trHeight w:val="145"/>
        </w:trPr>
        <w:tc>
          <w:tcPr>
            <w:tcW w:w="2734" w:type="dxa"/>
            <w:gridSpan w:val="2"/>
            <w:tcBorders>
              <w:bottom w:val="single" w:sz="4" w:space="0" w:color="auto"/>
            </w:tcBorders>
            <w:shd w:val="clear" w:color="auto" w:fill="F4B083" w:themeFill="accent2" w:themeFillTint="99"/>
            <w:vAlign w:val="center"/>
          </w:tcPr>
          <w:p w:rsidR="001A63C6" w:rsidRPr="00734B50" w:rsidRDefault="001A63C6" w:rsidP="0095190D">
            <w:pPr>
              <w:pStyle w:val="Heading2"/>
              <w:keepNext/>
              <w:keepLines/>
              <w:spacing w:before="20" w:after="20"/>
              <w:ind w:left="0"/>
              <w:rPr>
                <w:rFonts w:ascii="Tahoma" w:hAnsi="Tahoma" w:cs="Tahoma"/>
                <w:b w:val="0"/>
                <w:sz w:val="14"/>
                <w:szCs w:val="14"/>
                <w:lang w:val="pt-BR"/>
              </w:rPr>
            </w:pPr>
            <w:bookmarkStart w:id="569" w:name="_Toc336338142"/>
            <w:bookmarkStart w:id="570" w:name="_Toc353470789"/>
            <w:r w:rsidRPr="00734B50">
              <w:rPr>
                <w:rFonts w:ascii="Tahoma" w:hAnsi="Tahoma" w:cs="Tahoma"/>
                <w:b w:val="0"/>
                <w:sz w:val="14"/>
                <w:szCs w:val="14"/>
                <w:lang w:val="pt-BR"/>
              </w:rPr>
              <w:lastRenderedPageBreak/>
              <w:t>CAL do Windows Server™ 2012 (Dispositivo e Usuário)</w:t>
            </w:r>
            <w:bookmarkEnd w:id="569"/>
            <w:bookmarkEnd w:id="570"/>
          </w:p>
        </w:tc>
        <w:tc>
          <w:tcPr>
            <w:tcW w:w="360" w:type="dxa"/>
            <w:tcBorders>
              <w:bottom w:val="single" w:sz="4" w:space="0" w:color="auto"/>
            </w:tcBorders>
            <w:shd w:val="clear" w:color="auto" w:fill="F4B083" w:themeFill="accent2" w:themeFillTint="99"/>
            <w:vAlign w:val="center"/>
          </w:tcPr>
          <w:p w:rsidR="001A63C6" w:rsidRPr="00653421" w:rsidRDefault="0033195D" w:rsidP="00BA1576">
            <w:pPr>
              <w:pStyle w:val="TableText"/>
              <w:keepNext/>
              <w:keepLines/>
              <w:widowControl w:val="0"/>
              <w:spacing w:before="30" w:after="30"/>
              <w:rPr>
                <w:b/>
                <w:sz w:val="13"/>
                <w:szCs w:val="13"/>
                <w:u w:val="single"/>
              </w:rPr>
            </w:pPr>
            <w:hyperlink w:anchor="_116_Windows_Server" w:history="1">
              <w:r w:rsidR="00955428" w:rsidRPr="00653421">
                <w:rPr>
                  <w:rStyle w:val="Hyperlink"/>
                  <w:b/>
                  <w:sz w:val="13"/>
                  <w:szCs w:val="13"/>
                </w:rPr>
                <w:t>10</w:t>
              </w:r>
            </w:hyperlink>
            <w:r w:rsidR="00955428" w:rsidRPr="00653421">
              <w:rPr>
                <w:rStyle w:val="Hyperlink"/>
                <w:b/>
                <w:sz w:val="13"/>
                <w:szCs w:val="13"/>
              </w:rPr>
              <w:t>6</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color w:val="000000"/>
                <w:sz w:val="13"/>
              </w:rPr>
            </w:pPr>
            <w:r w:rsidRPr="00653421">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D</w:t>
            </w:r>
          </w:p>
        </w:tc>
        <w:tc>
          <w:tcPr>
            <w:tcW w:w="54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4B083" w:themeFill="accent2" w:themeFillTint="99"/>
            <w:vAlign w:val="center"/>
          </w:tcPr>
          <w:p w:rsidR="001A63C6" w:rsidRPr="00653421" w:rsidRDefault="001A63C6" w:rsidP="00BA1576">
            <w:pPr>
              <w:pStyle w:val="TableText"/>
              <w:keepNext/>
              <w:keepLines/>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71" w:name="_Toc336338143"/>
            <w:bookmarkStart w:id="572" w:name="_Toc353470790"/>
            <w:r w:rsidRPr="00653421">
              <w:rPr>
                <w:rFonts w:ascii="Tahoma" w:hAnsi="Tahoma" w:cs="Tahoma"/>
                <w:b w:val="0"/>
                <w:sz w:val="14"/>
                <w:szCs w:val="14"/>
              </w:rPr>
              <w:t>Windows Server™ 2012 Datacenter</w:t>
            </w:r>
            <w:bookmarkEnd w:id="571"/>
            <w:bookmarkEnd w:id="572"/>
          </w:p>
        </w:tc>
        <w:tc>
          <w:tcPr>
            <w:tcW w:w="360" w:type="dxa"/>
            <w:tcBorders>
              <w:bottom w:val="single" w:sz="4" w:space="0" w:color="auto"/>
            </w:tcBorders>
            <w:shd w:val="clear" w:color="auto" w:fill="auto"/>
            <w:vAlign w:val="center"/>
          </w:tcPr>
          <w:p w:rsidR="001A63C6" w:rsidRPr="00653421" w:rsidRDefault="0033195D" w:rsidP="00BA1576">
            <w:pPr>
              <w:pStyle w:val="TableText"/>
              <w:widowControl w:val="0"/>
              <w:spacing w:before="30" w:after="30"/>
              <w:rPr>
                <w:rStyle w:val="EndnoteReference"/>
                <w:b w:val="0"/>
                <w:color w:val="0070C0"/>
                <w:sz w:val="13"/>
                <w:szCs w:val="13"/>
                <w:u w:val="single"/>
              </w:rPr>
            </w:pPr>
            <w:hyperlink w:anchor="_114_Windows_Server" w:history="1">
              <w:r w:rsidR="00955428" w:rsidRPr="00653421">
                <w:rPr>
                  <w:rStyle w:val="Hyperlink"/>
                  <w:b/>
                  <w:sz w:val="13"/>
                  <w:szCs w:val="13"/>
                </w:rPr>
                <w:t>10</w:t>
              </w:r>
            </w:hyperlink>
            <w:r w:rsidR="00955428" w:rsidRPr="00653421">
              <w:rPr>
                <w:rStyle w:val="Hyperlink"/>
                <w:b/>
                <w:sz w:val="13"/>
                <w:szCs w:val="13"/>
              </w:rPr>
              <w:t>7</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LO/OV</w:t>
            </w:r>
          </w:p>
        </w:tc>
      </w:tr>
      <w:tr w:rsidR="00B33D0E" w:rsidRPr="00653421" w:rsidTr="00BA1576">
        <w:trPr>
          <w:trHeight w:val="145"/>
        </w:trPr>
        <w:tc>
          <w:tcPr>
            <w:tcW w:w="2734" w:type="dxa"/>
            <w:gridSpan w:val="2"/>
            <w:tcBorders>
              <w:bottom w:val="single" w:sz="4" w:space="0" w:color="auto"/>
            </w:tcBorders>
            <w:shd w:val="clear" w:color="auto" w:fill="F4B083" w:themeFill="accent2" w:themeFillTint="99"/>
            <w:vAlign w:val="center"/>
          </w:tcPr>
          <w:p w:rsidR="001A63C6" w:rsidRPr="00653421" w:rsidRDefault="001A63C6" w:rsidP="001A63C6">
            <w:pPr>
              <w:pStyle w:val="Heading2"/>
              <w:spacing w:before="20" w:after="20"/>
              <w:ind w:left="0"/>
              <w:rPr>
                <w:rFonts w:ascii="Tahoma" w:hAnsi="Tahoma" w:cs="Tahoma"/>
                <w:b w:val="0"/>
                <w:sz w:val="14"/>
                <w:szCs w:val="14"/>
              </w:rPr>
            </w:pPr>
            <w:bookmarkStart w:id="573" w:name="_Toc336338144"/>
            <w:bookmarkStart w:id="574" w:name="_Toc353470791"/>
            <w:r w:rsidRPr="00653421">
              <w:rPr>
                <w:rFonts w:ascii="Tahoma" w:hAnsi="Tahoma" w:cs="Tahoma"/>
                <w:b w:val="0"/>
                <w:sz w:val="14"/>
                <w:szCs w:val="14"/>
              </w:rPr>
              <w:t>Windows Server™ 2012 Standard</w:t>
            </w:r>
            <w:bookmarkEnd w:id="573"/>
            <w:bookmarkEnd w:id="574"/>
          </w:p>
        </w:tc>
        <w:tc>
          <w:tcPr>
            <w:tcW w:w="360" w:type="dxa"/>
            <w:tcBorders>
              <w:bottom w:val="single" w:sz="4" w:space="0" w:color="auto"/>
            </w:tcBorders>
            <w:shd w:val="clear" w:color="auto" w:fill="F4B083" w:themeFill="accent2" w:themeFillTint="99"/>
            <w:vAlign w:val="center"/>
          </w:tcPr>
          <w:p w:rsidR="001A63C6" w:rsidRPr="00653421" w:rsidRDefault="0033195D" w:rsidP="00BA1576">
            <w:pPr>
              <w:pStyle w:val="TableText"/>
              <w:widowControl w:val="0"/>
              <w:spacing w:before="30" w:after="30"/>
              <w:rPr>
                <w:rStyle w:val="EndnoteReference"/>
                <w:b w:val="0"/>
                <w:color w:val="0070C0"/>
                <w:sz w:val="13"/>
                <w:szCs w:val="13"/>
                <w:u w:val="single"/>
                <w:vertAlign w:val="baseline"/>
              </w:rPr>
            </w:pPr>
            <w:hyperlink w:anchor="_118_Windows_Server" w:history="1">
              <w:r w:rsidR="00955428" w:rsidRPr="00653421">
                <w:rPr>
                  <w:rStyle w:val="Hyperlink"/>
                  <w:b/>
                  <w:sz w:val="13"/>
                  <w:szCs w:val="13"/>
                </w:rPr>
                <w:t>10</w:t>
              </w:r>
            </w:hyperlink>
            <w:r w:rsidR="00955428" w:rsidRPr="00653421">
              <w:rPr>
                <w:rStyle w:val="Hyperlink"/>
                <w:b/>
                <w:sz w:val="13"/>
                <w:szCs w:val="13"/>
              </w:rPr>
              <w:t>8</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30</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23</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8</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30</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63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54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145"/>
        </w:trPr>
        <w:tc>
          <w:tcPr>
            <w:tcW w:w="2734" w:type="dxa"/>
            <w:gridSpan w:val="2"/>
            <w:tcBorders>
              <w:bottom w:val="single" w:sz="4" w:space="0" w:color="auto"/>
            </w:tcBorders>
            <w:shd w:val="clear" w:color="auto" w:fill="auto"/>
            <w:vAlign w:val="center"/>
          </w:tcPr>
          <w:p w:rsidR="001A63C6" w:rsidRPr="00653421" w:rsidRDefault="001A63C6" w:rsidP="001A63C6">
            <w:pPr>
              <w:pStyle w:val="Heading2"/>
              <w:spacing w:before="20" w:after="20"/>
              <w:ind w:left="0"/>
              <w:rPr>
                <w:rFonts w:ascii="Tahoma" w:hAnsi="Tahoma" w:cs="Tahoma"/>
                <w:b w:val="0"/>
                <w:sz w:val="14"/>
                <w:szCs w:val="14"/>
              </w:rPr>
            </w:pPr>
            <w:bookmarkStart w:id="575" w:name="_Toc336338145"/>
            <w:bookmarkStart w:id="576" w:name="_Toc353470792"/>
            <w:r w:rsidRPr="00653421">
              <w:rPr>
                <w:rFonts w:ascii="Tahoma" w:hAnsi="Tahoma" w:cs="Tahoma"/>
                <w:b w:val="0"/>
                <w:sz w:val="14"/>
                <w:szCs w:val="14"/>
              </w:rPr>
              <w:t>External Connector do Windows Server™</w:t>
            </w:r>
            <w:bookmarkEnd w:id="575"/>
            <w:bookmarkEnd w:id="576"/>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Style w:val="EndnoteReference"/>
                <w:sz w:val="13"/>
                <w:szCs w:val="13"/>
                <w:u w:val="single"/>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63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13</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LO/OV</w:t>
            </w:r>
          </w:p>
        </w:tc>
      </w:tr>
      <w:tr w:rsidR="00B33D0E" w:rsidRPr="00653421" w:rsidTr="00BA1576">
        <w:trPr>
          <w:trHeight w:val="145"/>
        </w:trPr>
        <w:tc>
          <w:tcPr>
            <w:tcW w:w="2734" w:type="dxa"/>
            <w:gridSpan w:val="2"/>
            <w:tcBorders>
              <w:bottom w:val="single" w:sz="4" w:space="0" w:color="auto"/>
            </w:tcBorders>
            <w:shd w:val="clear" w:color="auto" w:fill="F4B083" w:themeFill="accent2" w:themeFillTint="99"/>
            <w:vAlign w:val="center"/>
          </w:tcPr>
          <w:p w:rsidR="001A63C6" w:rsidRPr="00734B50" w:rsidRDefault="001A63C6" w:rsidP="001A63C6">
            <w:pPr>
              <w:pStyle w:val="Heading2"/>
              <w:spacing w:before="20" w:after="20"/>
              <w:ind w:left="0"/>
              <w:rPr>
                <w:rFonts w:ascii="Tahoma" w:hAnsi="Tahoma" w:cs="Tahoma"/>
                <w:b w:val="0"/>
                <w:sz w:val="14"/>
                <w:szCs w:val="14"/>
                <w:lang w:val="pt-BR"/>
              </w:rPr>
            </w:pPr>
            <w:bookmarkStart w:id="577" w:name="_Toc336338146"/>
            <w:bookmarkStart w:id="578" w:name="_Toc353470793"/>
            <w:r w:rsidRPr="00734B50">
              <w:rPr>
                <w:rFonts w:ascii="Tahoma" w:hAnsi="Tahoma" w:cs="Tahoma"/>
                <w:b w:val="0"/>
                <w:sz w:val="14"/>
                <w:szCs w:val="14"/>
                <w:lang w:val="pt-BR"/>
              </w:rPr>
              <w:t>CAL de Serviços de Área de Trabalho Remota do Windows Server™ 2012</w:t>
            </w:r>
            <w:bookmarkEnd w:id="577"/>
            <w:bookmarkEnd w:id="578"/>
          </w:p>
        </w:tc>
        <w:tc>
          <w:tcPr>
            <w:tcW w:w="360" w:type="dxa"/>
            <w:tcBorders>
              <w:bottom w:val="single" w:sz="4" w:space="0" w:color="auto"/>
            </w:tcBorders>
            <w:shd w:val="clear" w:color="auto" w:fill="F4B083" w:themeFill="accent2" w:themeFillTint="99"/>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 D</w:t>
            </w:r>
          </w:p>
        </w:tc>
        <w:tc>
          <w:tcPr>
            <w:tcW w:w="54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431"/>
        </w:trPr>
        <w:tc>
          <w:tcPr>
            <w:tcW w:w="2734" w:type="dxa"/>
            <w:gridSpan w:val="2"/>
            <w:tcBorders>
              <w:bottom w:val="single" w:sz="4" w:space="0" w:color="auto"/>
            </w:tcBorders>
            <w:shd w:val="clear" w:color="auto" w:fill="auto"/>
            <w:vAlign w:val="center"/>
          </w:tcPr>
          <w:p w:rsidR="001A63C6" w:rsidRPr="00734B50" w:rsidRDefault="001A63C6" w:rsidP="0095190D">
            <w:pPr>
              <w:pStyle w:val="Heading2"/>
              <w:spacing w:before="20" w:after="20"/>
              <w:ind w:left="0"/>
              <w:rPr>
                <w:rFonts w:ascii="Tahoma" w:hAnsi="Tahoma" w:cs="Tahoma"/>
                <w:b w:val="0"/>
                <w:sz w:val="14"/>
                <w:szCs w:val="14"/>
                <w:lang w:val="pt-BR"/>
              </w:rPr>
            </w:pPr>
            <w:bookmarkStart w:id="579" w:name="_Toc336338147"/>
            <w:bookmarkStart w:id="580" w:name="_Toc353470794"/>
            <w:r w:rsidRPr="00734B50">
              <w:rPr>
                <w:rFonts w:ascii="Tahoma" w:hAnsi="Tahoma" w:cs="Tahoma"/>
                <w:b w:val="0"/>
                <w:sz w:val="14"/>
                <w:szCs w:val="14"/>
                <w:lang w:val="pt-BR"/>
              </w:rPr>
              <w:t>External Connector dos Serviços de Área</w:t>
            </w:r>
            <w:r w:rsidR="0095190D" w:rsidRPr="00734B50">
              <w:rPr>
                <w:rFonts w:ascii="Tahoma" w:hAnsi="Tahoma" w:cs="Tahoma"/>
                <w:b w:val="0"/>
                <w:sz w:val="14"/>
                <w:szCs w:val="14"/>
                <w:lang w:val="pt-BR"/>
              </w:rPr>
              <w:t> </w:t>
            </w:r>
            <w:r w:rsidRPr="00734B50">
              <w:rPr>
                <w:rFonts w:ascii="Tahoma" w:hAnsi="Tahoma" w:cs="Tahoma"/>
                <w:b w:val="0"/>
                <w:sz w:val="14"/>
                <w:szCs w:val="14"/>
                <w:lang w:val="pt-BR"/>
              </w:rPr>
              <w:t>de Trabalho Remota do Windows Server™ 2012</w:t>
            </w:r>
            <w:bookmarkEnd w:id="579"/>
            <w:bookmarkEnd w:id="580"/>
          </w:p>
        </w:tc>
        <w:tc>
          <w:tcPr>
            <w:tcW w:w="360" w:type="dxa"/>
            <w:tcBorders>
              <w:bottom w:val="single" w:sz="4" w:space="0" w:color="auto"/>
            </w:tcBorders>
            <w:shd w:val="clear" w:color="auto" w:fill="auto"/>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188</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150</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113</w:t>
            </w:r>
          </w:p>
        </w:tc>
        <w:tc>
          <w:tcPr>
            <w:tcW w:w="36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113</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38</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45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75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LO/OV</w:t>
            </w:r>
          </w:p>
        </w:tc>
      </w:tr>
      <w:tr w:rsidR="00B33D0E" w:rsidRPr="00653421" w:rsidTr="00BA1576">
        <w:trPr>
          <w:trHeight w:val="145"/>
        </w:trPr>
        <w:tc>
          <w:tcPr>
            <w:tcW w:w="2734" w:type="dxa"/>
            <w:gridSpan w:val="2"/>
            <w:tcBorders>
              <w:bottom w:val="single" w:sz="4" w:space="0" w:color="auto"/>
            </w:tcBorders>
            <w:shd w:val="clear" w:color="auto" w:fill="F4B083" w:themeFill="accent2" w:themeFillTint="99"/>
            <w:vAlign w:val="center"/>
          </w:tcPr>
          <w:p w:rsidR="001A63C6" w:rsidRPr="00734B50" w:rsidRDefault="001A63C6" w:rsidP="001A63C6">
            <w:pPr>
              <w:pStyle w:val="Heading2"/>
              <w:spacing w:before="20" w:after="20"/>
              <w:ind w:left="0"/>
              <w:rPr>
                <w:rFonts w:ascii="Tahoma" w:hAnsi="Tahoma" w:cs="Tahoma"/>
                <w:b w:val="0"/>
                <w:sz w:val="14"/>
                <w:szCs w:val="14"/>
                <w:lang w:val="pt-BR"/>
              </w:rPr>
            </w:pPr>
            <w:bookmarkStart w:id="581" w:name="_Toc336338148"/>
            <w:bookmarkStart w:id="582" w:name="_Toc353470795"/>
            <w:r w:rsidRPr="00734B50">
              <w:rPr>
                <w:rFonts w:ascii="Tahoma" w:hAnsi="Tahoma" w:cs="Tahoma"/>
                <w:b w:val="0"/>
                <w:sz w:val="14"/>
                <w:szCs w:val="14"/>
                <w:lang w:val="pt-BR"/>
              </w:rPr>
              <w:t>CAL dos Serviços de Gerenciamento de Direitos do Active Directory do Windows Server™ 2012</w:t>
            </w:r>
            <w:bookmarkEnd w:id="581"/>
            <w:bookmarkEnd w:id="582"/>
          </w:p>
        </w:tc>
        <w:tc>
          <w:tcPr>
            <w:tcW w:w="360" w:type="dxa"/>
            <w:tcBorders>
              <w:bottom w:val="single" w:sz="4" w:space="0" w:color="auto"/>
            </w:tcBorders>
            <w:shd w:val="clear" w:color="auto" w:fill="F4B083" w:themeFill="accent2" w:themeFillTint="99"/>
            <w:vAlign w:val="center"/>
          </w:tcPr>
          <w:p w:rsidR="001A63C6" w:rsidRPr="00734B50" w:rsidRDefault="001A63C6" w:rsidP="00BA1576">
            <w:pPr>
              <w:pStyle w:val="TableText"/>
              <w:widowControl w:val="0"/>
              <w:spacing w:before="30" w:after="30"/>
              <w:rPr>
                <w:rStyle w:val="EndnoteReference"/>
                <w:sz w:val="13"/>
                <w:szCs w:val="13"/>
                <w:u w:val="single"/>
                <w:lang w:val="pt-BR"/>
              </w:rPr>
            </w:pP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3</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F4B083" w:themeFill="accent2" w:themeFillTint="99"/>
            <w:vAlign w:val="center"/>
          </w:tcPr>
          <w:p w:rsidR="001A63C6" w:rsidRPr="00653421" w:rsidRDefault="001A63C6" w:rsidP="00BA1576">
            <w:pPr>
              <w:pStyle w:val="TableText"/>
              <w:widowControl w:val="0"/>
              <w:spacing w:before="30" w:after="30"/>
              <w:rPr>
                <w:rFonts w:ascii="Tahoma" w:hAnsi="Tahoma" w:cs="Tahoma"/>
                <w:color w:val="000000"/>
                <w:sz w:val="13"/>
              </w:rPr>
            </w:pPr>
          </w:p>
        </w:tc>
      </w:tr>
      <w:tr w:rsidR="001A63C6" w:rsidRPr="00653421" w:rsidTr="00BA1576">
        <w:trPr>
          <w:trHeight w:val="467"/>
        </w:trPr>
        <w:tc>
          <w:tcPr>
            <w:tcW w:w="2734" w:type="dxa"/>
            <w:gridSpan w:val="2"/>
            <w:tcBorders>
              <w:bottom w:val="single" w:sz="4" w:space="0" w:color="auto"/>
            </w:tcBorders>
            <w:shd w:val="clear" w:color="auto" w:fill="auto"/>
            <w:vAlign w:val="center"/>
          </w:tcPr>
          <w:p w:rsidR="001A63C6" w:rsidRPr="00734B50" w:rsidRDefault="001A63C6" w:rsidP="007E466C">
            <w:pPr>
              <w:pStyle w:val="Heading2"/>
              <w:keepNext/>
              <w:keepLines/>
              <w:spacing w:before="20" w:after="20"/>
              <w:ind w:left="0"/>
              <w:rPr>
                <w:rFonts w:ascii="Tahoma" w:hAnsi="Tahoma" w:cs="Tahoma"/>
                <w:b w:val="0"/>
                <w:sz w:val="14"/>
                <w:szCs w:val="14"/>
                <w:lang w:val="pt-BR"/>
              </w:rPr>
            </w:pPr>
            <w:bookmarkStart w:id="583" w:name="_Toc336338149"/>
            <w:bookmarkStart w:id="584" w:name="_Toc353470796"/>
            <w:r w:rsidRPr="00734B50">
              <w:rPr>
                <w:rFonts w:ascii="Tahoma" w:hAnsi="Tahoma" w:cs="Tahoma"/>
                <w:b w:val="0"/>
                <w:sz w:val="14"/>
                <w:szCs w:val="14"/>
                <w:lang w:val="pt-BR"/>
              </w:rPr>
              <w:t>External Connector dos Serviços de Gerenciamento de Direitos do Active Directory do Windows Server™</w:t>
            </w:r>
            <w:bookmarkEnd w:id="583"/>
            <w:bookmarkEnd w:id="584"/>
          </w:p>
        </w:tc>
        <w:tc>
          <w:tcPr>
            <w:tcW w:w="360" w:type="dxa"/>
            <w:tcBorders>
              <w:bottom w:val="single" w:sz="4" w:space="0" w:color="auto"/>
            </w:tcBorders>
            <w:shd w:val="clear" w:color="auto" w:fill="auto"/>
            <w:vAlign w:val="center"/>
          </w:tcPr>
          <w:p w:rsidR="001A63C6" w:rsidRPr="00734B50" w:rsidRDefault="001A63C6" w:rsidP="00BA1576">
            <w:pPr>
              <w:pStyle w:val="TableText"/>
              <w:keepNext/>
              <w:keepLines/>
              <w:widowControl w:val="0"/>
              <w:spacing w:before="30" w:after="3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color w:val="000000"/>
                <w:sz w:val="13"/>
              </w:rPr>
            </w:pPr>
            <w:r w:rsidRPr="0065342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313</w:t>
            </w: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250</w:t>
            </w: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188</w:t>
            </w:r>
          </w:p>
        </w:tc>
        <w:tc>
          <w:tcPr>
            <w:tcW w:w="36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188</w:t>
            </w: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63</w:t>
            </w:r>
          </w:p>
        </w:tc>
        <w:tc>
          <w:tcPr>
            <w:tcW w:w="36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125</w:t>
            </w:r>
          </w:p>
        </w:tc>
        <w:tc>
          <w:tcPr>
            <w:tcW w:w="45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250</w:t>
            </w:r>
          </w:p>
        </w:tc>
        <w:tc>
          <w:tcPr>
            <w:tcW w:w="36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125</w:t>
            </w:r>
          </w:p>
        </w:tc>
        <w:tc>
          <w:tcPr>
            <w:tcW w:w="630" w:type="dxa"/>
            <w:tcBorders>
              <w:left w:val="single" w:sz="18" w:space="0" w:color="auto"/>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125</w:t>
            </w:r>
          </w:p>
        </w:tc>
        <w:tc>
          <w:tcPr>
            <w:tcW w:w="540" w:type="dxa"/>
            <w:tcBorders>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A</w:t>
            </w:r>
          </w:p>
        </w:tc>
        <w:tc>
          <w:tcPr>
            <w:tcW w:w="540" w:type="dxa"/>
            <w:tcBorders>
              <w:left w:val="single" w:sz="18" w:space="0" w:color="auto"/>
              <w:bottom w:val="single" w:sz="4" w:space="0" w:color="auto"/>
              <w:right w:val="single" w:sz="18"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1A63C6" w:rsidRPr="00653421" w:rsidRDefault="001A63C6" w:rsidP="00BA1576">
            <w:pPr>
              <w:pStyle w:val="TableText"/>
              <w:keepNext/>
              <w:keepLines/>
              <w:widowControl w:val="0"/>
              <w:spacing w:before="30" w:after="30"/>
              <w:rPr>
                <w:rFonts w:ascii="Tahoma" w:hAnsi="Tahoma" w:cs="Tahoma"/>
                <w:color w:val="000000"/>
                <w:sz w:val="13"/>
              </w:rPr>
            </w:pPr>
            <w:r w:rsidRPr="00653421">
              <w:rPr>
                <w:rFonts w:ascii="Tahoma" w:hAnsi="Tahoma" w:cs="Tahoma"/>
                <w:color w:val="000000"/>
                <w:sz w:val="13"/>
              </w:rPr>
              <w:t>LO/OV</w:t>
            </w:r>
          </w:p>
        </w:tc>
      </w:tr>
      <w:tr w:rsidR="00A5643F" w:rsidRPr="00653421" w:rsidTr="00BA1576">
        <w:trPr>
          <w:gridBefore w:val="1"/>
          <w:wBefore w:w="20" w:type="dxa"/>
          <w:trHeight w:val="145"/>
        </w:trPr>
        <w:tc>
          <w:tcPr>
            <w:tcW w:w="2714" w:type="dxa"/>
            <w:tcBorders>
              <w:bottom w:val="single" w:sz="4" w:space="0" w:color="auto"/>
            </w:tcBorders>
            <w:shd w:val="clear" w:color="auto" w:fill="FABF8F"/>
            <w:vAlign w:val="center"/>
          </w:tcPr>
          <w:p w:rsidR="00A5643F" w:rsidRPr="00653421" w:rsidRDefault="00A5643F" w:rsidP="007E466C">
            <w:pPr>
              <w:pStyle w:val="Heading2"/>
              <w:keepNext/>
              <w:keepLines/>
              <w:spacing w:before="20" w:after="20"/>
              <w:ind w:left="0"/>
              <w:rPr>
                <w:rFonts w:ascii="Tahoma" w:hAnsi="Tahoma" w:cs="Tahoma"/>
                <w:b w:val="0"/>
                <w:sz w:val="14"/>
                <w:szCs w:val="14"/>
              </w:rPr>
            </w:pPr>
            <w:bookmarkStart w:id="585" w:name="_Toc353470797"/>
            <w:r w:rsidRPr="00653421">
              <w:rPr>
                <w:rFonts w:ascii="Tahoma" w:hAnsi="Tahoma" w:cs="Tahoma"/>
                <w:b w:val="0"/>
                <w:sz w:val="14"/>
                <w:szCs w:val="14"/>
              </w:rPr>
              <w:t>Windows Small Business Server 2008 Premium</w:t>
            </w:r>
            <w:bookmarkEnd w:id="585"/>
            <w:r w:rsidRPr="00653421">
              <w:rPr>
                <w:rFonts w:ascii="Tahoma" w:hAnsi="Tahoma" w:cs="Tahoma"/>
                <w:b w:val="0"/>
                <w:sz w:val="14"/>
                <w:szCs w:val="14"/>
              </w:rPr>
              <w:t xml:space="preserve"> </w:t>
            </w:r>
          </w:p>
        </w:tc>
        <w:tc>
          <w:tcPr>
            <w:tcW w:w="360" w:type="dxa"/>
            <w:tcBorders>
              <w:bottom w:val="single" w:sz="4" w:space="0" w:color="auto"/>
            </w:tcBorders>
            <w:shd w:val="clear" w:color="auto" w:fill="FABF8F"/>
            <w:vAlign w:val="center"/>
          </w:tcPr>
          <w:p w:rsidR="00A5643F" w:rsidRPr="00653421" w:rsidRDefault="0033195D" w:rsidP="00BA1576">
            <w:pPr>
              <w:pStyle w:val="TableText"/>
              <w:keepNext/>
              <w:keepLines/>
              <w:widowControl w:val="0"/>
              <w:spacing w:before="30" w:after="30"/>
              <w:rPr>
                <w:b/>
                <w:sz w:val="13"/>
                <w:szCs w:val="13"/>
                <w:u w:val="single"/>
              </w:rPr>
            </w:pPr>
            <w:hyperlink w:anchor="Srv_116WinSmallBizSVR2011Addon" w:history="1">
              <w:r w:rsidR="00955428" w:rsidRPr="00653421">
                <w:rPr>
                  <w:rStyle w:val="Hyperlink"/>
                  <w:b/>
                  <w:sz w:val="13"/>
                  <w:szCs w:val="13"/>
                </w:rPr>
                <w:t>10</w:t>
              </w:r>
            </w:hyperlink>
            <w:r w:rsidR="00955428" w:rsidRPr="00653421">
              <w:rPr>
                <w:rStyle w:val="Hyperlink"/>
                <w:b/>
                <w:sz w:val="13"/>
                <w:szCs w:val="13"/>
              </w:rPr>
              <w:t>9</w:t>
            </w:r>
          </w:p>
        </w:tc>
        <w:tc>
          <w:tcPr>
            <w:tcW w:w="450" w:type="dxa"/>
            <w:tcBorders>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r w:rsidRPr="00653421">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653421" w:rsidDel="001265B4" w:rsidRDefault="00A5643F" w:rsidP="00BA1576">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5643F" w:rsidRPr="00653421" w:rsidRDefault="00A5643F" w:rsidP="00BA1576">
            <w:pPr>
              <w:pStyle w:val="TableText"/>
              <w:keepNext/>
              <w:keepLines/>
              <w:widowControl w:val="0"/>
              <w:spacing w:before="30" w:after="30"/>
              <w:rPr>
                <w:rFonts w:ascii="Tahoma" w:hAnsi="Tahoma" w:cs="Tahoma"/>
                <w:sz w:val="13"/>
              </w:rPr>
            </w:pPr>
          </w:p>
        </w:tc>
      </w:tr>
      <w:tr w:rsidR="00A5643F" w:rsidRPr="00653421" w:rsidTr="00BA1576">
        <w:trPr>
          <w:gridBefore w:val="1"/>
          <w:wBefore w:w="20" w:type="dxa"/>
          <w:trHeight w:val="145"/>
        </w:trPr>
        <w:tc>
          <w:tcPr>
            <w:tcW w:w="2714" w:type="dxa"/>
            <w:tcBorders>
              <w:bottom w:val="single" w:sz="4" w:space="0" w:color="auto"/>
            </w:tcBorders>
            <w:shd w:val="clear" w:color="auto" w:fill="auto"/>
            <w:vAlign w:val="center"/>
          </w:tcPr>
          <w:p w:rsidR="00A5643F" w:rsidRPr="00734B50" w:rsidRDefault="00A5643F" w:rsidP="002E5D03">
            <w:pPr>
              <w:pStyle w:val="Heading2"/>
              <w:spacing w:before="20" w:after="20"/>
              <w:ind w:left="0"/>
              <w:rPr>
                <w:rFonts w:ascii="Tahoma" w:hAnsi="Tahoma" w:cs="Tahoma"/>
                <w:b w:val="0"/>
                <w:lang w:val="pt-BR"/>
              </w:rPr>
            </w:pPr>
            <w:bookmarkStart w:id="586" w:name="_Toc336338154"/>
            <w:bookmarkStart w:id="587" w:name="_Toc353470798"/>
            <w:r w:rsidRPr="00734B50">
              <w:rPr>
                <w:rFonts w:ascii="Tahoma" w:hAnsi="Tahoma" w:cs="Tahoma"/>
                <w:b w:val="0"/>
                <w:sz w:val="14"/>
                <w:lang w:val="pt-BR"/>
              </w:rPr>
              <w:t>Windows Small Business Server 2008 CAL Suite para Usuários ou Dispositivos Premium</w:t>
            </w:r>
            <w:bookmarkEnd w:id="586"/>
            <w:bookmarkEnd w:id="587"/>
          </w:p>
        </w:tc>
        <w:tc>
          <w:tcPr>
            <w:tcW w:w="360" w:type="dxa"/>
            <w:tcBorders>
              <w:bottom w:val="single" w:sz="4" w:space="0" w:color="auto"/>
            </w:tcBorders>
            <w:shd w:val="clear" w:color="auto" w:fill="auto"/>
            <w:vAlign w:val="center"/>
          </w:tcPr>
          <w:p w:rsidR="00A5643F" w:rsidRPr="00734B50" w:rsidRDefault="00A5643F" w:rsidP="00BA1576">
            <w:pPr>
              <w:pStyle w:val="TableText"/>
              <w:widowControl w:val="0"/>
              <w:spacing w:before="30" w:after="30"/>
              <w:rPr>
                <w:b/>
                <w:sz w:val="13"/>
                <w:szCs w:val="13"/>
                <w:lang w:val="pt-BR"/>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A5643F" w:rsidRPr="00653421" w:rsidDel="001265B4"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E, P</w:t>
            </w:r>
          </w:p>
        </w:tc>
        <w:tc>
          <w:tcPr>
            <w:tcW w:w="72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r>
      <w:tr w:rsidR="00A5643F" w:rsidRPr="00653421" w:rsidTr="00BA1576">
        <w:trPr>
          <w:gridBefore w:val="1"/>
          <w:wBefore w:w="20" w:type="dxa"/>
          <w:trHeight w:val="145"/>
        </w:trPr>
        <w:tc>
          <w:tcPr>
            <w:tcW w:w="2714" w:type="dxa"/>
            <w:tcBorders>
              <w:bottom w:val="single" w:sz="4" w:space="0" w:color="auto"/>
            </w:tcBorders>
            <w:shd w:val="clear" w:color="auto" w:fill="FABF8F"/>
            <w:vAlign w:val="center"/>
          </w:tcPr>
          <w:p w:rsidR="00A5643F" w:rsidRPr="00734B50" w:rsidRDefault="00A5643F" w:rsidP="002E5D03">
            <w:pPr>
              <w:pStyle w:val="Heading2"/>
              <w:spacing w:before="20" w:after="20"/>
              <w:ind w:left="0"/>
              <w:rPr>
                <w:rFonts w:ascii="Tahoma" w:hAnsi="Tahoma" w:cs="Tahoma"/>
                <w:b w:val="0"/>
                <w:sz w:val="14"/>
                <w:szCs w:val="14"/>
                <w:lang w:val="pt-BR"/>
              </w:rPr>
            </w:pPr>
            <w:bookmarkStart w:id="588" w:name="_Toc336338155"/>
            <w:bookmarkStart w:id="589" w:name="_Toc353470799"/>
            <w:r w:rsidRPr="00734B50">
              <w:rPr>
                <w:rFonts w:ascii="Tahoma" w:hAnsi="Tahoma" w:cs="Tahoma"/>
                <w:b w:val="0"/>
                <w:sz w:val="14"/>
                <w:lang w:val="pt-BR"/>
              </w:rPr>
              <w:t>Windows Small Business Server 2008 CAL Suite para Usuários ou Dispositivos Premium (5 Clientes)</w:t>
            </w:r>
            <w:bookmarkEnd w:id="588"/>
            <w:bookmarkEnd w:id="589"/>
          </w:p>
        </w:tc>
        <w:tc>
          <w:tcPr>
            <w:tcW w:w="360" w:type="dxa"/>
            <w:tcBorders>
              <w:bottom w:val="single" w:sz="4" w:space="0" w:color="auto"/>
            </w:tcBorders>
            <w:shd w:val="clear" w:color="auto" w:fill="FABF8F"/>
            <w:vAlign w:val="center"/>
          </w:tcPr>
          <w:p w:rsidR="00A5643F" w:rsidRPr="00734B50" w:rsidRDefault="00A5643F" w:rsidP="00BA1576">
            <w:pPr>
              <w:pStyle w:val="TableText"/>
              <w:widowControl w:val="0"/>
              <w:spacing w:before="30" w:after="30"/>
              <w:rPr>
                <w:b/>
                <w:sz w:val="13"/>
                <w:szCs w:val="13"/>
                <w:lang w:val="pt-BR"/>
              </w:rPr>
            </w:pP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450" w:type="dxa"/>
            <w:tcBorders>
              <w:bottom w:val="single" w:sz="4" w:space="0" w:color="auto"/>
            </w:tcBorders>
            <w:shd w:val="clear" w:color="auto" w:fill="FABF8F"/>
            <w:vAlign w:val="center"/>
          </w:tcPr>
          <w:p w:rsidR="00A5643F" w:rsidRPr="00653421" w:rsidDel="001265B4"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F76ED4" w:rsidRPr="00653421" w:rsidTr="00BA1576">
        <w:trPr>
          <w:gridBefore w:val="1"/>
          <w:wBefore w:w="20" w:type="dxa"/>
          <w:trHeight w:val="145"/>
        </w:trPr>
        <w:tc>
          <w:tcPr>
            <w:tcW w:w="2714" w:type="dxa"/>
            <w:tcBorders>
              <w:bottom w:val="single" w:sz="4" w:space="0" w:color="auto"/>
            </w:tcBorders>
            <w:shd w:val="clear" w:color="auto" w:fill="auto"/>
            <w:vAlign w:val="center"/>
          </w:tcPr>
          <w:p w:rsidR="00A5643F" w:rsidRPr="00734B50" w:rsidRDefault="00A5643F" w:rsidP="002E5D03">
            <w:pPr>
              <w:pStyle w:val="Heading2"/>
              <w:spacing w:before="20" w:after="20"/>
              <w:ind w:left="0"/>
              <w:rPr>
                <w:rFonts w:ascii="Tahoma" w:hAnsi="Tahoma" w:cs="Tahoma"/>
                <w:b w:val="0"/>
                <w:sz w:val="14"/>
                <w:szCs w:val="14"/>
                <w:lang w:val="pt-BR"/>
              </w:rPr>
            </w:pPr>
            <w:bookmarkStart w:id="590" w:name="_Toc336338156"/>
            <w:bookmarkStart w:id="591" w:name="_Toc353470800"/>
            <w:r w:rsidRPr="00734B50">
              <w:rPr>
                <w:rFonts w:ascii="Tahoma" w:hAnsi="Tahoma" w:cs="Tahoma"/>
                <w:b w:val="0"/>
                <w:sz w:val="14"/>
                <w:lang w:val="pt-BR"/>
              </w:rPr>
              <w:t>Windows Small Business Server 2008 CAL Suite para Usuários ou Dispositivos Premium (20 Clientes)</w:t>
            </w:r>
            <w:bookmarkEnd w:id="590"/>
            <w:bookmarkEnd w:id="591"/>
          </w:p>
        </w:tc>
        <w:tc>
          <w:tcPr>
            <w:tcW w:w="360" w:type="dxa"/>
            <w:tcBorders>
              <w:bottom w:val="single" w:sz="4" w:space="0" w:color="auto"/>
            </w:tcBorders>
            <w:shd w:val="clear" w:color="auto" w:fill="auto"/>
            <w:vAlign w:val="center"/>
          </w:tcPr>
          <w:p w:rsidR="00A5643F" w:rsidRPr="00734B50" w:rsidRDefault="00A5643F" w:rsidP="00BA1576">
            <w:pPr>
              <w:pStyle w:val="TableText"/>
              <w:widowControl w:val="0"/>
              <w:spacing w:before="30" w:after="30"/>
              <w:rPr>
                <w:b/>
                <w:sz w:val="13"/>
                <w:szCs w:val="13"/>
                <w:lang w:val="pt-BR"/>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450" w:type="dxa"/>
            <w:tcBorders>
              <w:bottom w:val="single" w:sz="4" w:space="0" w:color="auto"/>
            </w:tcBorders>
            <w:shd w:val="clear" w:color="auto" w:fill="auto"/>
            <w:vAlign w:val="center"/>
          </w:tcPr>
          <w:p w:rsidR="00A5643F" w:rsidRPr="00653421" w:rsidDel="001265B4"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F76ED4" w:rsidRPr="00653421" w:rsidTr="00BA1576">
        <w:trPr>
          <w:gridBefore w:val="1"/>
          <w:wBefore w:w="20" w:type="dxa"/>
          <w:trHeight w:val="145"/>
        </w:trPr>
        <w:tc>
          <w:tcPr>
            <w:tcW w:w="2714" w:type="dxa"/>
            <w:tcBorders>
              <w:bottom w:val="single" w:sz="4" w:space="0" w:color="auto"/>
            </w:tcBorders>
            <w:shd w:val="clear" w:color="auto" w:fill="FABF8F"/>
            <w:vAlign w:val="center"/>
          </w:tcPr>
          <w:p w:rsidR="00A5643F" w:rsidRPr="00653421" w:rsidRDefault="00A5643F" w:rsidP="002E5D03">
            <w:pPr>
              <w:pStyle w:val="Heading2"/>
              <w:spacing w:before="20" w:after="20"/>
              <w:ind w:left="0"/>
              <w:rPr>
                <w:rFonts w:ascii="Tahoma" w:hAnsi="Tahoma" w:cs="Tahoma"/>
                <w:b w:val="0"/>
                <w:sz w:val="14"/>
                <w:szCs w:val="14"/>
              </w:rPr>
            </w:pPr>
            <w:bookmarkStart w:id="592" w:name="_Toc336338157"/>
            <w:bookmarkStart w:id="593" w:name="_Toc353470801"/>
            <w:r w:rsidRPr="00653421">
              <w:rPr>
                <w:rFonts w:ascii="Tahoma" w:hAnsi="Tahoma" w:cs="Tahoma"/>
                <w:b w:val="0"/>
                <w:sz w:val="14"/>
                <w:szCs w:val="14"/>
              </w:rPr>
              <w:t>Windows Small Business Server 2011 Standard (5 clientes)</w:t>
            </w:r>
            <w:bookmarkEnd w:id="592"/>
            <w:bookmarkEnd w:id="593"/>
            <w:r w:rsidRPr="00653421">
              <w:rPr>
                <w:rFonts w:ascii="Tahoma" w:eastAsia="Times New Roman" w:hAnsi="Tahoma" w:cs="Tahoma"/>
                <w:b w:val="0"/>
                <w:sz w:val="14"/>
                <w:szCs w:val="14"/>
              </w:rPr>
              <w:t xml:space="preserve"> </w:t>
            </w:r>
          </w:p>
        </w:tc>
        <w:tc>
          <w:tcPr>
            <w:tcW w:w="360" w:type="dxa"/>
            <w:tcBorders>
              <w:bottom w:val="single" w:sz="4" w:space="0" w:color="auto"/>
            </w:tcBorders>
            <w:shd w:val="clear" w:color="auto" w:fill="FABF8F"/>
            <w:vAlign w:val="center"/>
          </w:tcPr>
          <w:p w:rsidR="00A5643F" w:rsidRPr="00653421" w:rsidRDefault="0033195D" w:rsidP="00BA1576">
            <w:pPr>
              <w:pStyle w:val="TableText"/>
              <w:widowControl w:val="0"/>
              <w:spacing w:before="30" w:after="30"/>
              <w:rPr>
                <w:rStyle w:val="EndnoteReference"/>
                <w:b w:val="0"/>
                <w:color w:val="0000FF"/>
                <w:sz w:val="13"/>
                <w:szCs w:val="13"/>
                <w:u w:val="single"/>
              </w:rPr>
            </w:pPr>
            <w:hyperlink w:anchor="_110_Windows_Small_1" w:history="1">
              <w:r w:rsidR="00955428" w:rsidRPr="00653421">
                <w:rPr>
                  <w:rStyle w:val="Hyperlink"/>
                  <w:b/>
                  <w:sz w:val="13"/>
                  <w:szCs w:val="13"/>
                </w:rPr>
                <w:t>110</w:t>
              </w:r>
            </w:hyperlink>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15</w:t>
            </w:r>
          </w:p>
        </w:tc>
        <w:tc>
          <w:tcPr>
            <w:tcW w:w="54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color w:val="000000"/>
                <w:sz w:val="13"/>
              </w:rPr>
              <w:t>LO/OV</w:t>
            </w:r>
          </w:p>
        </w:tc>
      </w:tr>
      <w:tr w:rsidR="00F76ED4" w:rsidRPr="00653421" w:rsidTr="00BA1576">
        <w:trPr>
          <w:gridBefore w:val="1"/>
          <w:wBefore w:w="20" w:type="dxa"/>
          <w:trHeight w:val="145"/>
        </w:trPr>
        <w:tc>
          <w:tcPr>
            <w:tcW w:w="2714" w:type="dxa"/>
            <w:tcBorders>
              <w:bottom w:val="single" w:sz="4" w:space="0" w:color="auto"/>
            </w:tcBorders>
            <w:shd w:val="clear" w:color="auto" w:fill="auto"/>
            <w:vAlign w:val="center"/>
          </w:tcPr>
          <w:p w:rsidR="00A5643F" w:rsidRPr="00653421" w:rsidRDefault="00A5643F" w:rsidP="002E5D03">
            <w:pPr>
              <w:pStyle w:val="Heading2"/>
              <w:spacing w:before="20" w:after="20"/>
              <w:ind w:left="0"/>
              <w:rPr>
                <w:rFonts w:ascii="Tahoma" w:hAnsi="Tahoma" w:cs="Tahoma"/>
                <w:b w:val="0"/>
                <w:sz w:val="14"/>
                <w:szCs w:val="14"/>
              </w:rPr>
            </w:pPr>
            <w:bookmarkStart w:id="594" w:name="_Toc336338158"/>
            <w:bookmarkStart w:id="595" w:name="_Toc353470802"/>
            <w:r w:rsidRPr="00653421">
              <w:rPr>
                <w:rFonts w:ascii="Tahoma" w:hAnsi="Tahoma" w:cs="Tahoma"/>
                <w:b w:val="0"/>
                <w:sz w:val="14"/>
                <w:szCs w:val="14"/>
              </w:rPr>
              <w:t>Windows Small Business Server 2011 CAL Suite (1 cliente)</w:t>
            </w:r>
            <w:bookmarkEnd w:id="594"/>
            <w:bookmarkEnd w:id="595"/>
          </w:p>
        </w:tc>
        <w:tc>
          <w:tcPr>
            <w:tcW w:w="360" w:type="dxa"/>
            <w:tcBorders>
              <w:bottom w:val="single" w:sz="4" w:space="0" w:color="auto"/>
            </w:tcBorders>
            <w:shd w:val="clear" w:color="auto" w:fill="auto"/>
            <w:vAlign w:val="center"/>
          </w:tcPr>
          <w:p w:rsidR="00A5643F" w:rsidRPr="00653421" w:rsidRDefault="0033195D" w:rsidP="00BA1576">
            <w:pPr>
              <w:pStyle w:val="TableText"/>
              <w:widowControl w:val="0"/>
              <w:spacing w:before="30" w:after="30"/>
              <w:rPr>
                <w:rStyle w:val="EndnoteReference"/>
                <w:b w:val="0"/>
                <w:color w:val="0000FF"/>
                <w:sz w:val="13"/>
                <w:szCs w:val="13"/>
                <w:u w:val="single"/>
              </w:rPr>
            </w:pPr>
            <w:hyperlink w:anchor="_111_Windows_Small" w:history="1">
              <w:r w:rsidR="00955428" w:rsidRPr="00653421">
                <w:rPr>
                  <w:rStyle w:val="Hyperlink"/>
                  <w:b/>
                  <w:sz w:val="13"/>
                  <w:szCs w:val="13"/>
                </w:rPr>
                <w:t>111</w:t>
              </w:r>
            </w:hyperlink>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E, P</w:t>
            </w:r>
          </w:p>
        </w:tc>
        <w:tc>
          <w:tcPr>
            <w:tcW w:w="72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r>
      <w:tr w:rsidR="00F76ED4" w:rsidRPr="00653421" w:rsidTr="00BA1576">
        <w:trPr>
          <w:gridBefore w:val="1"/>
          <w:wBefore w:w="20" w:type="dxa"/>
          <w:trHeight w:val="145"/>
        </w:trPr>
        <w:tc>
          <w:tcPr>
            <w:tcW w:w="2714" w:type="dxa"/>
            <w:tcBorders>
              <w:bottom w:val="single" w:sz="4" w:space="0" w:color="auto"/>
            </w:tcBorders>
            <w:shd w:val="clear" w:color="auto" w:fill="FABF8F"/>
            <w:vAlign w:val="center"/>
          </w:tcPr>
          <w:p w:rsidR="00A5643F" w:rsidRPr="00653421" w:rsidRDefault="00A5643F" w:rsidP="002E5D03">
            <w:pPr>
              <w:pStyle w:val="Heading2"/>
              <w:spacing w:before="20" w:after="20"/>
              <w:ind w:left="0"/>
              <w:rPr>
                <w:rFonts w:ascii="Tahoma" w:hAnsi="Tahoma" w:cs="Tahoma"/>
                <w:b w:val="0"/>
                <w:color w:val="000000"/>
                <w:sz w:val="14"/>
                <w:szCs w:val="14"/>
              </w:rPr>
            </w:pPr>
            <w:bookmarkStart w:id="596" w:name="_Toc336338159"/>
            <w:bookmarkStart w:id="597" w:name="_Toc353470803"/>
            <w:r w:rsidRPr="00653421">
              <w:rPr>
                <w:rFonts w:ascii="Tahoma" w:hAnsi="Tahoma" w:cs="Tahoma"/>
                <w:b w:val="0"/>
                <w:sz w:val="14"/>
                <w:szCs w:val="14"/>
              </w:rPr>
              <w:t>Windows Small Business Server 2011 CAL Suite (5 clientes)</w:t>
            </w:r>
            <w:bookmarkEnd w:id="596"/>
            <w:bookmarkEnd w:id="597"/>
          </w:p>
        </w:tc>
        <w:tc>
          <w:tcPr>
            <w:tcW w:w="360" w:type="dxa"/>
            <w:tcBorders>
              <w:bottom w:val="single" w:sz="4" w:space="0" w:color="auto"/>
            </w:tcBorders>
            <w:shd w:val="clear" w:color="auto" w:fill="FABF8F"/>
            <w:vAlign w:val="center"/>
          </w:tcPr>
          <w:p w:rsidR="00A5643F" w:rsidRPr="00653421" w:rsidRDefault="0033195D" w:rsidP="00BA1576">
            <w:pPr>
              <w:pStyle w:val="TableText"/>
              <w:widowControl w:val="0"/>
              <w:spacing w:before="30" w:after="30"/>
              <w:rPr>
                <w:rStyle w:val="EndnoteReference"/>
                <w:b w:val="0"/>
                <w:sz w:val="13"/>
                <w:szCs w:val="13"/>
                <w:u w:val="single"/>
              </w:rPr>
            </w:pPr>
            <w:hyperlink w:anchor="_119_Windows_Small" w:history="1">
              <w:r w:rsidR="00955428" w:rsidRPr="00653421">
                <w:rPr>
                  <w:rStyle w:val="Hyperlink"/>
                  <w:b/>
                  <w:sz w:val="13"/>
                  <w:szCs w:val="13"/>
                </w:rPr>
                <w:t>111</w:t>
              </w:r>
            </w:hyperlink>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FF0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color w:val="000000"/>
                <w:sz w:val="13"/>
              </w:rPr>
              <w:t>LO/OV</w:t>
            </w:r>
          </w:p>
        </w:tc>
      </w:tr>
      <w:tr w:rsidR="00F76ED4" w:rsidRPr="00653421" w:rsidTr="00BA1576">
        <w:trPr>
          <w:gridBefore w:val="1"/>
          <w:wBefore w:w="20" w:type="dxa"/>
          <w:trHeight w:val="145"/>
        </w:trPr>
        <w:tc>
          <w:tcPr>
            <w:tcW w:w="2714" w:type="dxa"/>
            <w:tcBorders>
              <w:bottom w:val="single" w:sz="4" w:space="0" w:color="auto"/>
            </w:tcBorders>
            <w:shd w:val="clear" w:color="auto" w:fill="auto"/>
          </w:tcPr>
          <w:p w:rsidR="00A5643F" w:rsidRPr="00653421" w:rsidRDefault="00A5643F" w:rsidP="002E5D03">
            <w:pPr>
              <w:pStyle w:val="Heading2"/>
              <w:spacing w:before="20" w:after="20"/>
              <w:ind w:left="0"/>
              <w:rPr>
                <w:rFonts w:ascii="Tahoma" w:hAnsi="Tahoma" w:cs="Tahoma"/>
                <w:b w:val="0"/>
                <w:color w:val="000000"/>
                <w:sz w:val="14"/>
                <w:szCs w:val="14"/>
              </w:rPr>
            </w:pPr>
            <w:bookmarkStart w:id="598" w:name="_Toc336338160"/>
            <w:bookmarkStart w:id="599" w:name="_Toc353470804"/>
            <w:r w:rsidRPr="00653421">
              <w:rPr>
                <w:rFonts w:ascii="Tahoma" w:hAnsi="Tahoma" w:cs="Tahoma"/>
                <w:b w:val="0"/>
                <w:sz w:val="14"/>
                <w:szCs w:val="14"/>
              </w:rPr>
              <w:t>Windows Small Business Server 2011 CAL Suite (20 clientes)</w:t>
            </w:r>
            <w:bookmarkEnd w:id="598"/>
            <w:bookmarkEnd w:id="599"/>
            <w:r w:rsidRPr="00653421">
              <w:rPr>
                <w:rFonts w:ascii="Tahoma" w:eastAsia="Times New Roman" w:hAnsi="Tahoma" w:cs="Tahoma"/>
                <w:b w:val="0"/>
                <w:sz w:val="14"/>
                <w:szCs w:val="14"/>
              </w:rPr>
              <w:t xml:space="preserve"> </w:t>
            </w:r>
          </w:p>
        </w:tc>
        <w:tc>
          <w:tcPr>
            <w:tcW w:w="360" w:type="dxa"/>
            <w:tcBorders>
              <w:bottom w:val="single" w:sz="4" w:space="0" w:color="auto"/>
            </w:tcBorders>
            <w:shd w:val="clear" w:color="auto" w:fill="auto"/>
            <w:vAlign w:val="center"/>
          </w:tcPr>
          <w:p w:rsidR="00A5643F" w:rsidRPr="00653421" w:rsidRDefault="0033195D" w:rsidP="00BA1576">
            <w:pPr>
              <w:pStyle w:val="TableText"/>
              <w:widowControl w:val="0"/>
              <w:spacing w:before="30" w:after="30"/>
              <w:rPr>
                <w:rStyle w:val="EndnoteReference"/>
                <w:b w:val="0"/>
                <w:sz w:val="13"/>
                <w:szCs w:val="13"/>
                <w:u w:val="single"/>
              </w:rPr>
            </w:pPr>
            <w:hyperlink w:anchor="_119_Windows_Small" w:history="1">
              <w:r w:rsidR="00955428" w:rsidRPr="00653421">
                <w:rPr>
                  <w:rStyle w:val="Hyperlink"/>
                  <w:b/>
                  <w:sz w:val="13"/>
                  <w:szCs w:val="13"/>
                </w:rPr>
                <w:t>111</w:t>
              </w:r>
            </w:hyperlink>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FF0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color w:val="000000"/>
                <w:sz w:val="13"/>
              </w:rPr>
              <w:t>LO/OV</w:t>
            </w:r>
          </w:p>
        </w:tc>
      </w:tr>
      <w:tr w:rsidR="00A5643F" w:rsidRPr="00653421" w:rsidTr="00BA1576">
        <w:trPr>
          <w:gridBefore w:val="1"/>
          <w:wBefore w:w="20" w:type="dxa"/>
          <w:trHeight w:val="145"/>
        </w:trPr>
        <w:tc>
          <w:tcPr>
            <w:tcW w:w="2714" w:type="dxa"/>
            <w:tcBorders>
              <w:bottom w:val="single" w:sz="4" w:space="0" w:color="auto"/>
            </w:tcBorders>
            <w:shd w:val="clear" w:color="auto" w:fill="FABF8F"/>
            <w:vAlign w:val="center"/>
          </w:tcPr>
          <w:p w:rsidR="00A5643F" w:rsidRPr="00653421" w:rsidRDefault="00A5643F" w:rsidP="002E5D03">
            <w:pPr>
              <w:pStyle w:val="Heading2"/>
              <w:spacing w:before="20" w:after="20"/>
              <w:ind w:left="0"/>
              <w:rPr>
                <w:rFonts w:ascii="Tahoma" w:hAnsi="Tahoma" w:cs="Tahoma"/>
                <w:b w:val="0"/>
                <w:sz w:val="14"/>
                <w:szCs w:val="14"/>
              </w:rPr>
            </w:pPr>
            <w:bookmarkStart w:id="600" w:name="_Toc336338161"/>
            <w:bookmarkStart w:id="601" w:name="_Toc353470805"/>
            <w:r w:rsidRPr="00653421">
              <w:rPr>
                <w:rFonts w:ascii="Tahoma" w:hAnsi="Tahoma" w:cs="Tahoma"/>
                <w:b w:val="0"/>
                <w:sz w:val="14"/>
                <w:szCs w:val="14"/>
              </w:rPr>
              <w:t>Complemento do Windows Small Business Server 2011 Premium (5 clientes)</w:t>
            </w:r>
            <w:bookmarkEnd w:id="600"/>
            <w:bookmarkEnd w:id="601"/>
          </w:p>
        </w:tc>
        <w:tc>
          <w:tcPr>
            <w:tcW w:w="360" w:type="dxa"/>
            <w:tcBorders>
              <w:bottom w:val="single" w:sz="4" w:space="0" w:color="auto"/>
            </w:tcBorders>
            <w:shd w:val="clear" w:color="auto" w:fill="FABF8F"/>
            <w:vAlign w:val="center"/>
          </w:tcPr>
          <w:p w:rsidR="00A5643F" w:rsidRPr="00653421" w:rsidRDefault="0033195D" w:rsidP="00BA1576">
            <w:pPr>
              <w:pStyle w:val="TableText"/>
              <w:widowControl w:val="0"/>
              <w:spacing w:before="30" w:after="30"/>
              <w:rPr>
                <w:rStyle w:val="EndnoteReference"/>
                <w:rFonts w:cs="Tahoma"/>
                <w:b w:val="0"/>
                <w:color w:val="0000FF"/>
                <w:sz w:val="13"/>
                <w:szCs w:val="13"/>
                <w:u w:val="single"/>
              </w:rPr>
            </w:pPr>
            <w:hyperlink w:anchor="_112_Pacote_de" w:history="1">
              <w:r w:rsidR="00955428" w:rsidRPr="00653421">
                <w:rPr>
                  <w:rStyle w:val="Hyperlink"/>
                  <w:b/>
                  <w:sz w:val="13"/>
                  <w:szCs w:val="13"/>
                </w:rPr>
                <w:t>112</w:t>
              </w:r>
            </w:hyperlink>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FF0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A5643F" w:rsidRPr="00653421" w:rsidTr="00BA1576">
        <w:trPr>
          <w:gridBefore w:val="1"/>
          <w:wBefore w:w="20" w:type="dxa"/>
          <w:trHeight w:val="145"/>
        </w:trPr>
        <w:tc>
          <w:tcPr>
            <w:tcW w:w="2714" w:type="dxa"/>
            <w:tcBorders>
              <w:bottom w:val="single" w:sz="4" w:space="0" w:color="auto"/>
            </w:tcBorders>
            <w:shd w:val="clear" w:color="auto" w:fill="auto"/>
            <w:vAlign w:val="center"/>
          </w:tcPr>
          <w:p w:rsidR="00A5643F" w:rsidRPr="00653421" w:rsidRDefault="00A5643F" w:rsidP="002E5D03">
            <w:pPr>
              <w:pStyle w:val="Heading2"/>
              <w:spacing w:before="20" w:after="20"/>
              <w:ind w:left="0"/>
              <w:rPr>
                <w:rFonts w:ascii="Tahoma" w:hAnsi="Tahoma" w:cs="Tahoma"/>
                <w:b w:val="0"/>
                <w:sz w:val="14"/>
                <w:szCs w:val="14"/>
              </w:rPr>
            </w:pPr>
            <w:bookmarkStart w:id="602" w:name="_Toc336338162"/>
            <w:bookmarkStart w:id="603" w:name="_Toc353470806"/>
            <w:r w:rsidRPr="00653421">
              <w:rPr>
                <w:rFonts w:ascii="Tahoma" w:hAnsi="Tahoma" w:cs="Tahoma"/>
                <w:b w:val="0"/>
                <w:sz w:val="14"/>
                <w:szCs w:val="14"/>
              </w:rPr>
              <w:t>Pacote de CALs do Complemento do Windows Small Business Server (SBS) 2011 Premium</w:t>
            </w:r>
            <w:bookmarkEnd w:id="602"/>
            <w:bookmarkEnd w:id="603"/>
            <w:r w:rsidRPr="00653421">
              <w:rPr>
                <w:rFonts w:ascii="Tahoma" w:hAnsi="Tahoma" w:cs="Tahoma"/>
                <w:b w:val="0"/>
                <w:sz w:val="14"/>
                <w:szCs w:val="14"/>
              </w:rPr>
              <w:t xml:space="preserve"> </w:t>
            </w:r>
          </w:p>
        </w:tc>
        <w:tc>
          <w:tcPr>
            <w:tcW w:w="360" w:type="dxa"/>
            <w:tcBorders>
              <w:bottom w:val="single" w:sz="4" w:space="0" w:color="auto"/>
            </w:tcBorders>
            <w:shd w:val="clear" w:color="auto" w:fill="auto"/>
            <w:vAlign w:val="center"/>
          </w:tcPr>
          <w:p w:rsidR="00A5643F" w:rsidRPr="00653421" w:rsidRDefault="0033195D" w:rsidP="00BA1576">
            <w:pPr>
              <w:pStyle w:val="TableText"/>
              <w:widowControl w:val="0"/>
              <w:spacing w:before="30" w:after="30"/>
              <w:rPr>
                <w:b/>
                <w:sz w:val="13"/>
                <w:szCs w:val="13"/>
                <w:u w:val="single"/>
              </w:rPr>
            </w:pPr>
            <w:hyperlink w:anchor="_113_Complemento_do" w:history="1">
              <w:r w:rsidR="00955428" w:rsidRPr="00653421">
                <w:rPr>
                  <w:rStyle w:val="Hyperlink"/>
                  <w:b/>
                  <w:sz w:val="13"/>
                  <w:szCs w:val="13"/>
                </w:rPr>
                <w:t>113</w:t>
              </w:r>
            </w:hyperlink>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FF0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w:t>
            </w: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w:t>
            </w:r>
          </w:p>
        </w:tc>
        <w:tc>
          <w:tcPr>
            <w:tcW w:w="63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E, P</w:t>
            </w:r>
          </w:p>
        </w:tc>
        <w:tc>
          <w:tcPr>
            <w:tcW w:w="72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A,ST</w:t>
            </w:r>
          </w:p>
        </w:tc>
        <w:tc>
          <w:tcPr>
            <w:tcW w:w="54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r>
      <w:tr w:rsidR="00A5643F" w:rsidRPr="00653421" w:rsidTr="00BA1576">
        <w:trPr>
          <w:gridBefore w:val="1"/>
          <w:wBefore w:w="20" w:type="dxa"/>
          <w:trHeight w:val="145"/>
        </w:trPr>
        <w:tc>
          <w:tcPr>
            <w:tcW w:w="2714" w:type="dxa"/>
            <w:tcBorders>
              <w:bottom w:val="single" w:sz="4" w:space="0" w:color="auto"/>
            </w:tcBorders>
            <w:shd w:val="clear" w:color="auto" w:fill="FABF8F"/>
            <w:vAlign w:val="center"/>
          </w:tcPr>
          <w:p w:rsidR="00A5643F" w:rsidRPr="00734B50" w:rsidRDefault="00A5643F" w:rsidP="002E5D03">
            <w:pPr>
              <w:pStyle w:val="Heading2"/>
              <w:spacing w:before="20" w:after="20"/>
              <w:ind w:left="0"/>
              <w:rPr>
                <w:rFonts w:ascii="Tahoma" w:hAnsi="Tahoma" w:cs="Tahoma"/>
                <w:b w:val="0"/>
                <w:sz w:val="14"/>
                <w:szCs w:val="14"/>
                <w:lang w:val="pt-BR"/>
              </w:rPr>
            </w:pPr>
            <w:bookmarkStart w:id="604" w:name="_Toc336338163"/>
            <w:bookmarkStart w:id="605" w:name="_Toc353470807"/>
            <w:r w:rsidRPr="00734B50">
              <w:rPr>
                <w:rFonts w:ascii="Tahoma" w:hAnsi="Tahoma" w:cs="Tahoma"/>
                <w:b w:val="0"/>
                <w:sz w:val="14"/>
                <w:szCs w:val="14"/>
                <w:lang w:val="pt-BR"/>
              </w:rPr>
              <w:t>Pacote de CALs do Complemento do Windows Small Business Server 2011 Premium (5 clientes)</w:t>
            </w:r>
            <w:bookmarkEnd w:id="604"/>
            <w:bookmarkEnd w:id="605"/>
          </w:p>
        </w:tc>
        <w:tc>
          <w:tcPr>
            <w:tcW w:w="360" w:type="dxa"/>
            <w:tcBorders>
              <w:bottom w:val="single" w:sz="4" w:space="0" w:color="auto"/>
            </w:tcBorders>
            <w:shd w:val="clear" w:color="auto" w:fill="FABF8F"/>
            <w:vAlign w:val="center"/>
          </w:tcPr>
          <w:p w:rsidR="00A5643F" w:rsidRPr="00653421" w:rsidRDefault="0033195D" w:rsidP="00BA1576">
            <w:pPr>
              <w:pStyle w:val="TableText"/>
              <w:widowControl w:val="0"/>
              <w:spacing w:before="30" w:after="30"/>
              <w:rPr>
                <w:b/>
                <w:sz w:val="13"/>
                <w:szCs w:val="13"/>
                <w:u w:val="single"/>
              </w:rPr>
            </w:pPr>
            <w:hyperlink w:anchor="_113_Complemento_do" w:history="1">
              <w:r w:rsidR="00955428" w:rsidRPr="00653421">
                <w:rPr>
                  <w:rStyle w:val="Hyperlink"/>
                  <w:b/>
                  <w:sz w:val="13"/>
                  <w:szCs w:val="13"/>
                </w:rPr>
                <w:t>113</w:t>
              </w:r>
            </w:hyperlink>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FF0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63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LO/OV</w:t>
            </w:r>
          </w:p>
        </w:tc>
      </w:tr>
      <w:tr w:rsidR="00A5643F" w:rsidRPr="00653421" w:rsidTr="00BA1576">
        <w:trPr>
          <w:gridBefore w:val="1"/>
          <w:wBefore w:w="20" w:type="dxa"/>
          <w:trHeight w:val="440"/>
        </w:trPr>
        <w:tc>
          <w:tcPr>
            <w:tcW w:w="2714" w:type="dxa"/>
            <w:tcBorders>
              <w:bottom w:val="single" w:sz="4" w:space="0" w:color="auto"/>
            </w:tcBorders>
            <w:shd w:val="clear" w:color="auto" w:fill="auto"/>
            <w:vAlign w:val="center"/>
          </w:tcPr>
          <w:p w:rsidR="00A5643F" w:rsidRPr="00734B50" w:rsidRDefault="00A5643F" w:rsidP="002E5D03">
            <w:pPr>
              <w:pStyle w:val="Heading2"/>
              <w:spacing w:before="20" w:after="20"/>
              <w:ind w:left="0"/>
              <w:rPr>
                <w:rFonts w:ascii="Tahoma" w:hAnsi="Tahoma" w:cs="Tahoma"/>
                <w:b w:val="0"/>
                <w:sz w:val="14"/>
                <w:szCs w:val="14"/>
                <w:lang w:val="pt-BR"/>
              </w:rPr>
            </w:pPr>
            <w:bookmarkStart w:id="606" w:name="_Toc336338164"/>
            <w:bookmarkStart w:id="607" w:name="_Toc353470808"/>
            <w:r w:rsidRPr="00734B50">
              <w:rPr>
                <w:rFonts w:ascii="Tahoma" w:hAnsi="Tahoma" w:cs="Tahoma"/>
                <w:b w:val="0"/>
                <w:sz w:val="14"/>
                <w:szCs w:val="14"/>
                <w:lang w:val="pt-BR"/>
              </w:rPr>
              <w:t>Pacote de CALs do Complemento do Windows Small Business Server 2011 Premium (20 clientes)</w:t>
            </w:r>
            <w:bookmarkEnd w:id="606"/>
            <w:bookmarkEnd w:id="607"/>
          </w:p>
        </w:tc>
        <w:tc>
          <w:tcPr>
            <w:tcW w:w="360" w:type="dxa"/>
            <w:tcBorders>
              <w:bottom w:val="single" w:sz="4" w:space="0" w:color="auto"/>
            </w:tcBorders>
            <w:shd w:val="clear" w:color="auto" w:fill="auto"/>
            <w:vAlign w:val="center"/>
          </w:tcPr>
          <w:p w:rsidR="00A5643F" w:rsidRPr="00653421" w:rsidRDefault="0033195D" w:rsidP="00BA1576">
            <w:pPr>
              <w:pStyle w:val="TableText"/>
              <w:widowControl w:val="0"/>
              <w:spacing w:before="30" w:after="30"/>
              <w:rPr>
                <w:b/>
                <w:sz w:val="13"/>
                <w:szCs w:val="13"/>
                <w:u w:val="single"/>
              </w:rPr>
            </w:pPr>
            <w:hyperlink w:anchor="_113_Complemento_do" w:history="1">
              <w:r w:rsidR="00955428" w:rsidRPr="00653421">
                <w:rPr>
                  <w:rStyle w:val="Hyperlink"/>
                  <w:b/>
                  <w:sz w:val="13"/>
                  <w:szCs w:val="13"/>
                </w:rPr>
                <w:t>113</w:t>
              </w:r>
            </w:hyperlink>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FF0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63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color w:val="000000"/>
                <w:sz w:val="13"/>
              </w:rPr>
              <w:t>LO/OV</w:t>
            </w:r>
          </w:p>
        </w:tc>
      </w:tr>
      <w:tr w:rsidR="00A5643F" w:rsidRPr="00653421" w:rsidTr="00BA1576">
        <w:trPr>
          <w:gridBefore w:val="1"/>
          <w:wBefore w:w="20" w:type="dxa"/>
          <w:trHeight w:val="440"/>
        </w:trPr>
        <w:tc>
          <w:tcPr>
            <w:tcW w:w="2714" w:type="dxa"/>
            <w:tcBorders>
              <w:bottom w:val="single" w:sz="4" w:space="0" w:color="auto"/>
            </w:tcBorders>
            <w:shd w:val="clear" w:color="auto" w:fill="FABF8F"/>
            <w:vAlign w:val="center"/>
          </w:tcPr>
          <w:p w:rsidR="00A5643F" w:rsidRPr="00653421" w:rsidRDefault="00A5643F" w:rsidP="002E5D03">
            <w:pPr>
              <w:pStyle w:val="Heading2"/>
              <w:spacing w:before="20" w:after="20"/>
              <w:ind w:left="0"/>
              <w:rPr>
                <w:rFonts w:ascii="Tahoma" w:hAnsi="Tahoma" w:cs="Tahoma"/>
                <w:b w:val="0"/>
                <w:sz w:val="14"/>
                <w:szCs w:val="14"/>
              </w:rPr>
            </w:pPr>
            <w:bookmarkStart w:id="608" w:name="_Toc336338165"/>
            <w:bookmarkStart w:id="609" w:name="_Toc353470809"/>
            <w:r w:rsidRPr="00653421">
              <w:rPr>
                <w:rFonts w:ascii="Tahoma" w:hAnsi="Tahoma" w:cs="Tahoma"/>
                <w:b w:val="0"/>
                <w:sz w:val="14"/>
                <w:szCs w:val="14"/>
              </w:rPr>
              <w:t>Windows Server Essentials 2012</w:t>
            </w:r>
            <w:bookmarkEnd w:id="608"/>
            <w:bookmarkEnd w:id="609"/>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b/>
                <w:sz w:val="13"/>
                <w:szCs w:val="13"/>
                <w:u w:val="single"/>
              </w:rPr>
            </w:pP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FF0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8000"/>
                <w:sz w:val="13"/>
              </w:rPr>
            </w:pPr>
          </w:p>
        </w:tc>
        <w:tc>
          <w:tcPr>
            <w:tcW w:w="36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b/>
                <w:color w:val="0000FF"/>
                <w:sz w:val="13"/>
              </w:rPr>
            </w:pPr>
          </w:p>
        </w:tc>
        <w:tc>
          <w:tcPr>
            <w:tcW w:w="36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45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630" w:type="dxa"/>
            <w:tcBorders>
              <w:left w:val="single" w:sz="18" w:space="0" w:color="auto"/>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P</w:t>
            </w:r>
          </w:p>
        </w:tc>
        <w:tc>
          <w:tcPr>
            <w:tcW w:w="72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FABF8F"/>
            <w:vAlign w:val="center"/>
          </w:tcPr>
          <w:p w:rsidR="00A5643F" w:rsidRPr="00653421" w:rsidRDefault="00A5643F" w:rsidP="00BA1576">
            <w:pPr>
              <w:pStyle w:val="TableText"/>
              <w:widowControl w:val="0"/>
              <w:spacing w:before="30" w:after="30"/>
              <w:rPr>
                <w:rFonts w:ascii="Tahoma" w:hAnsi="Tahoma" w:cs="Tahoma"/>
                <w:color w:val="000000"/>
                <w:sz w:val="13"/>
              </w:rPr>
            </w:pPr>
          </w:p>
        </w:tc>
      </w:tr>
      <w:tr w:rsidR="00A5643F" w:rsidRPr="00653421" w:rsidTr="00BA1576">
        <w:trPr>
          <w:gridBefore w:val="1"/>
          <w:wBefore w:w="20" w:type="dxa"/>
          <w:trHeight w:val="145"/>
        </w:trPr>
        <w:tc>
          <w:tcPr>
            <w:tcW w:w="2714" w:type="dxa"/>
            <w:shd w:val="clear" w:color="auto" w:fill="auto"/>
            <w:vAlign w:val="center"/>
          </w:tcPr>
          <w:p w:rsidR="00A5643F" w:rsidRPr="00653421" w:rsidRDefault="00A5643F" w:rsidP="002E5D03">
            <w:pPr>
              <w:pStyle w:val="Heading2"/>
              <w:spacing w:before="20" w:after="20"/>
              <w:ind w:left="0"/>
              <w:rPr>
                <w:rFonts w:ascii="Tahoma" w:hAnsi="Tahoma" w:cs="Tahoma"/>
                <w:b w:val="0"/>
                <w:sz w:val="14"/>
                <w:szCs w:val="14"/>
              </w:rPr>
            </w:pPr>
            <w:bookmarkStart w:id="610" w:name="_Toc336338166"/>
            <w:bookmarkStart w:id="611" w:name="_Toc353470810"/>
            <w:r w:rsidRPr="00653421">
              <w:rPr>
                <w:rFonts w:ascii="Tahoma" w:hAnsi="Tahoma" w:cs="Tahoma"/>
                <w:b w:val="0"/>
                <w:sz w:val="14"/>
                <w:szCs w:val="14"/>
              </w:rPr>
              <w:t>Windows Small Business Server 2011 Essentials</w:t>
            </w:r>
            <w:bookmarkEnd w:id="610"/>
            <w:bookmarkEnd w:id="611"/>
          </w:p>
        </w:tc>
        <w:tc>
          <w:tcPr>
            <w:tcW w:w="360" w:type="dxa"/>
            <w:shd w:val="clear" w:color="auto" w:fill="auto"/>
            <w:vAlign w:val="center"/>
          </w:tcPr>
          <w:p w:rsidR="00A5643F" w:rsidRPr="00653421" w:rsidRDefault="0033195D" w:rsidP="00BA1576">
            <w:pPr>
              <w:pStyle w:val="TableText"/>
              <w:widowControl w:val="0"/>
              <w:spacing w:before="30" w:after="30"/>
              <w:rPr>
                <w:b/>
                <w:sz w:val="13"/>
                <w:szCs w:val="13"/>
                <w:u w:val="single"/>
              </w:rPr>
            </w:pPr>
            <w:hyperlink w:anchor="_114_Pacote_de" w:history="1">
              <w:r w:rsidR="00955428" w:rsidRPr="00653421">
                <w:rPr>
                  <w:rStyle w:val="Hyperlink"/>
                  <w:b/>
                  <w:sz w:val="13"/>
                  <w:szCs w:val="13"/>
                </w:rPr>
                <w:t>114</w:t>
              </w:r>
            </w:hyperlink>
          </w:p>
        </w:tc>
        <w:tc>
          <w:tcPr>
            <w:tcW w:w="450" w:type="dxa"/>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05/11</w:t>
            </w:r>
          </w:p>
        </w:tc>
        <w:tc>
          <w:tcPr>
            <w:tcW w:w="360" w:type="dxa"/>
            <w:tcBorders>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tcBorders>
              <w:lef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720" w:type="dxa"/>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r>
      <w:tr w:rsidR="00CE1716" w:rsidRPr="00653421" w:rsidTr="00BA1576">
        <w:trPr>
          <w:gridBefore w:val="1"/>
          <w:wBefore w:w="20" w:type="dxa"/>
          <w:trHeight w:val="359"/>
        </w:trPr>
        <w:tc>
          <w:tcPr>
            <w:tcW w:w="2714" w:type="dxa"/>
            <w:tcBorders>
              <w:bottom w:val="single" w:sz="4" w:space="0" w:color="auto"/>
            </w:tcBorders>
            <w:shd w:val="clear" w:color="auto" w:fill="FABF8F"/>
            <w:vAlign w:val="center"/>
          </w:tcPr>
          <w:p w:rsidR="00CE1716" w:rsidRPr="00653421" w:rsidRDefault="00CE1716" w:rsidP="00E13599">
            <w:pPr>
              <w:pStyle w:val="Heading2"/>
              <w:keepNext/>
              <w:spacing w:before="20" w:after="20"/>
              <w:ind w:left="0"/>
              <w:rPr>
                <w:rFonts w:ascii="Tahoma" w:hAnsi="Tahoma" w:cs="Tahoma"/>
                <w:b w:val="0"/>
                <w:sz w:val="14"/>
                <w:szCs w:val="14"/>
              </w:rPr>
            </w:pPr>
            <w:bookmarkStart w:id="612" w:name="_Toc353470811"/>
            <w:r w:rsidRPr="00653421">
              <w:rPr>
                <w:rFonts w:ascii="Tahoma" w:hAnsi="Tahoma" w:cs="Tahoma"/>
                <w:b w:val="0"/>
                <w:sz w:val="14"/>
                <w:szCs w:val="14"/>
              </w:rPr>
              <w:t>Windows Web Server 2008 R2</w:t>
            </w:r>
            <w:bookmarkEnd w:id="612"/>
          </w:p>
        </w:tc>
        <w:tc>
          <w:tcPr>
            <w:tcW w:w="360" w:type="dxa"/>
            <w:tcBorders>
              <w:bottom w:val="single" w:sz="4" w:space="0" w:color="auto"/>
            </w:tcBorders>
            <w:shd w:val="clear" w:color="auto" w:fill="FABF8F"/>
            <w:vAlign w:val="center"/>
          </w:tcPr>
          <w:p w:rsidR="00CE1716" w:rsidRPr="00653421" w:rsidRDefault="0033195D" w:rsidP="00BA1576">
            <w:pPr>
              <w:pStyle w:val="TableText"/>
              <w:keepNext/>
              <w:widowControl w:val="0"/>
              <w:spacing w:before="30" w:after="30"/>
              <w:rPr>
                <w:rStyle w:val="EndnoteReference"/>
                <w:b w:val="0"/>
                <w:sz w:val="13"/>
                <w:szCs w:val="13"/>
                <w:u w:val="single"/>
              </w:rPr>
            </w:pPr>
            <w:hyperlink w:anchor="_115_Windows_Small" w:history="1">
              <w:r w:rsidR="00955428" w:rsidRPr="00653421">
                <w:rPr>
                  <w:rStyle w:val="Hyperlink"/>
                  <w:b/>
                  <w:sz w:val="13"/>
                  <w:szCs w:val="13"/>
                </w:rPr>
                <w:t>115</w:t>
              </w:r>
            </w:hyperlink>
          </w:p>
        </w:tc>
        <w:tc>
          <w:tcPr>
            <w:tcW w:w="450" w:type="dxa"/>
            <w:tcBorders>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color w:val="000000"/>
                <w:sz w:val="13"/>
              </w:rPr>
            </w:pPr>
            <w:r w:rsidRPr="00653421">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color w:val="000000"/>
                <w:sz w:val="13"/>
              </w:rPr>
            </w:pPr>
            <w:r w:rsidRPr="006534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360" w:type="dxa"/>
            <w:tcBorders>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sz w:val="13"/>
              </w:rPr>
            </w:pPr>
          </w:p>
        </w:tc>
        <w:tc>
          <w:tcPr>
            <w:tcW w:w="720" w:type="dxa"/>
            <w:tcBorders>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653421" w:rsidRDefault="00CE1716" w:rsidP="00BA1576">
            <w:pPr>
              <w:pStyle w:val="TableText"/>
              <w:keepNext/>
              <w:widowControl w:val="0"/>
              <w:spacing w:before="30" w:after="30"/>
              <w:rPr>
                <w:rFonts w:ascii="Tahoma" w:hAnsi="Tahoma" w:cs="Tahoma"/>
                <w:color w:val="000000"/>
                <w:sz w:val="13"/>
              </w:rPr>
            </w:pPr>
          </w:p>
        </w:tc>
      </w:tr>
      <w:tr w:rsidR="00A5643F" w:rsidRPr="00653421" w:rsidTr="00BA1576">
        <w:trPr>
          <w:gridBefore w:val="1"/>
          <w:wBefore w:w="20" w:type="dxa"/>
          <w:trHeight w:val="145"/>
        </w:trPr>
        <w:tc>
          <w:tcPr>
            <w:tcW w:w="2714" w:type="dxa"/>
            <w:tcBorders>
              <w:bottom w:val="single" w:sz="4" w:space="0" w:color="auto"/>
            </w:tcBorders>
            <w:shd w:val="clear" w:color="auto" w:fill="auto"/>
            <w:vAlign w:val="center"/>
          </w:tcPr>
          <w:p w:rsidR="00A5643F" w:rsidRPr="00653421" w:rsidRDefault="00A5643F" w:rsidP="002E5D03">
            <w:pPr>
              <w:pStyle w:val="Heading2"/>
              <w:spacing w:before="20" w:after="20"/>
              <w:ind w:left="0"/>
              <w:rPr>
                <w:rFonts w:ascii="Tahoma" w:hAnsi="Tahoma" w:cs="Tahoma"/>
                <w:b w:val="0"/>
                <w:sz w:val="14"/>
                <w:szCs w:val="14"/>
              </w:rPr>
            </w:pPr>
            <w:bookmarkStart w:id="613" w:name="_Toc353470812"/>
            <w:r w:rsidRPr="00653421">
              <w:rPr>
                <w:rFonts w:ascii="Tahoma" w:hAnsi="Tahoma" w:cs="Tahoma"/>
                <w:b w:val="0"/>
                <w:sz w:val="14"/>
                <w:szCs w:val="14"/>
              </w:rPr>
              <w:t>Yammer Enterprise</w:t>
            </w:r>
            <w:bookmarkEnd w:id="613"/>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b/>
                <w:sz w:val="13"/>
                <w:szCs w:val="13"/>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630" w:type="dxa"/>
            <w:tcBorders>
              <w:left w:val="single" w:sz="18" w:space="0" w:color="auto"/>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540" w:type="dxa"/>
            <w:tcBorders>
              <w:left w:val="single" w:sz="18" w:space="0" w:color="auto"/>
              <w:bottom w:val="single" w:sz="4" w:space="0" w:color="auto"/>
              <w:right w:val="single" w:sz="18"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p>
        </w:tc>
        <w:tc>
          <w:tcPr>
            <w:tcW w:w="72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sz w:val="13"/>
              </w:rPr>
            </w:pPr>
            <w:r w:rsidRPr="00653421">
              <w:rPr>
                <w:rFonts w:ascii="Tahoma" w:hAnsi="Tahoma" w:cs="Tahoma"/>
                <w:sz w:val="13"/>
              </w:rPr>
              <w:t>A</w:t>
            </w:r>
          </w:p>
        </w:tc>
        <w:tc>
          <w:tcPr>
            <w:tcW w:w="540" w:type="dxa"/>
            <w:tcBorders>
              <w:bottom w:val="single" w:sz="4" w:space="0" w:color="auto"/>
            </w:tcBorders>
            <w:shd w:val="clear" w:color="auto" w:fill="auto"/>
            <w:vAlign w:val="center"/>
          </w:tcPr>
          <w:p w:rsidR="00A5643F" w:rsidRPr="00653421" w:rsidRDefault="00A5643F" w:rsidP="00BA1576">
            <w:pPr>
              <w:pStyle w:val="TableText"/>
              <w:widowControl w:val="0"/>
              <w:spacing w:before="30" w:after="30"/>
              <w:rPr>
                <w:rFonts w:ascii="Tahoma" w:hAnsi="Tahoma" w:cs="Tahoma"/>
                <w:color w:val="000000"/>
                <w:sz w:val="13"/>
              </w:rPr>
            </w:pPr>
          </w:p>
        </w:tc>
      </w:tr>
    </w:tbl>
    <w:p w:rsidR="00612FCC" w:rsidRPr="00653421" w:rsidRDefault="009154DF" w:rsidP="0095190D">
      <w:bookmarkStart w:id="614" w:name="_Toc349586123"/>
      <w:bookmarkStart w:id="615" w:name="_Toc349586654"/>
      <w:bookmarkStart w:id="616" w:name="_Toc353470813"/>
      <w:bookmarkStart w:id="617" w:name="_Toc336338167"/>
      <w:r w:rsidRPr="00653421">
        <w:rPr>
          <w:noProof/>
          <w:sz w:val="14"/>
        </w:rPr>
        <mc:AlternateContent>
          <mc:Choice Requires="wps">
            <w:drawing>
              <wp:anchor distT="0" distB="0" distL="114300" distR="114300" simplePos="0" relativeHeight="251656704" behindDoc="0" locked="0" layoutInCell="1" allowOverlap="1" wp14:anchorId="500DE541" wp14:editId="4020D15E">
                <wp:simplePos x="0" y="0"/>
                <wp:positionH relativeFrom="column">
                  <wp:posOffset>-328295</wp:posOffset>
                </wp:positionH>
                <wp:positionV relativeFrom="paragraph">
                  <wp:posOffset>118745</wp:posOffset>
                </wp:positionV>
                <wp:extent cx="6547485" cy="318770"/>
                <wp:effectExtent l="0" t="0" r="0" b="508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0678" w:rsidRDefault="006E0678"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6E0678" w:rsidRDefault="006E0678" w:rsidP="00C8780F">
                            <w:pPr>
                              <w:rPr>
                                <w:rFonts w:cs="Tahoma"/>
                                <w:i/>
                                <w:color w:val="000000"/>
                                <w:sz w:val="14"/>
                                <w:szCs w:val="14"/>
                              </w:rPr>
                            </w:pPr>
                            <w:r>
                              <w:rPr>
                                <w:rFonts w:cs="Tahoma"/>
                                <w:i/>
                                <w:color w:val="000000"/>
                                <w:sz w:val="14"/>
                                <w:szCs w:val="14"/>
                              </w:rPr>
                              <w:t>*Para Select Plus, serão usados apenas os valores de ‘L’ e três anos para ‘L&amp;SA’/’SA’.</w:t>
                            </w:r>
                          </w:p>
                          <w:p w:rsidR="006E0678" w:rsidRDefault="006E0678"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0DE541" id="Text Box 59" o:spid="_x0000_s1029" type="#_x0000_t202" style="position:absolute;margin-left:-25.85pt;margin-top:9.35pt;width:515.55pt;height:25.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" filled="f" stroked="f">
                <v:textbox>
                  <w:txbxContent>
                    <w:p w:rsidR="006E0678" w:rsidRDefault="006E0678"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6E0678" w:rsidRDefault="006E0678" w:rsidP="00C8780F">
                      <w:pPr>
                        <w:rPr>
                          <w:rFonts w:cs="Tahoma"/>
                          <w:i/>
                          <w:color w:val="000000"/>
                          <w:sz w:val="14"/>
                          <w:szCs w:val="14"/>
                        </w:rPr>
                      </w:pPr>
                      <w:r>
                        <w:rPr>
                          <w:rFonts w:cs="Tahoma"/>
                          <w:i/>
                          <w:color w:val="000000"/>
                          <w:sz w:val="14"/>
                          <w:szCs w:val="14"/>
                        </w:rPr>
                        <w:t>*Para Select Plus, serão usados apenas os valores de ‘L’ e três anos para ‘L&amp;SA’/’SA’.</w:t>
                      </w:r>
                    </w:p>
                    <w:p w:rsidR="006E0678" w:rsidRDefault="006E0678" w:rsidP="00C8780F"/>
                  </w:txbxContent>
                </v:textbox>
                <w10:wrap type="topAndBottom"/>
              </v:shape>
            </w:pict>
          </mc:Fallback>
        </mc:AlternateContent>
      </w:r>
      <w:bookmarkEnd w:id="614"/>
      <w:bookmarkEnd w:id="615"/>
      <w:bookmarkEnd w:id="616"/>
      <w:r w:rsidR="00955428" w:rsidRPr="00653421">
        <w:br w:type="page"/>
      </w:r>
    </w:p>
    <w:p w:rsidR="00023FE7" w:rsidRPr="00653421" w:rsidRDefault="00A33112" w:rsidP="0095190D">
      <w:pPr>
        <w:pStyle w:val="Heading1"/>
        <w:rPr>
          <w:sz w:val="36"/>
          <w:szCs w:val="36"/>
          <w:lang w:val="x-none" w:eastAsia="x-none"/>
        </w:rPr>
      </w:pPr>
      <w:bookmarkStart w:id="618" w:name="_Toc349586124"/>
      <w:bookmarkStart w:id="619" w:name="_Toc353470814"/>
      <w:r w:rsidRPr="00653421">
        <w:rPr>
          <w:sz w:val="36"/>
          <w:szCs w:val="36"/>
          <w:lang w:val="x-none" w:eastAsia="x-none"/>
        </w:rPr>
        <w:lastRenderedPageBreak/>
        <w:t>SEÇÃO 1 – Alterações na LISTA DE PRODUTOS na</w:t>
      </w:r>
      <w:bookmarkEnd w:id="618"/>
      <w:r w:rsidRPr="00653421">
        <w:rPr>
          <w:sz w:val="36"/>
          <w:szCs w:val="36"/>
          <w:lang w:val="x-none" w:eastAsia="x-none"/>
        </w:rPr>
        <w:t xml:space="preserve"> lista de produtos nos últimos 12 meses</w:t>
      </w:r>
      <w:bookmarkEnd w:id="617"/>
      <w:bookmarkEnd w:id="619"/>
    </w:p>
    <w:p w:rsidR="0064651F" w:rsidRPr="00734B50" w:rsidRDefault="0064651F" w:rsidP="004759C6">
      <w:pPr>
        <w:pStyle w:val="Heading2"/>
        <w:ind w:left="0"/>
        <w:jc w:val="both"/>
        <w:rPr>
          <w:lang w:val="pt-BR"/>
        </w:rPr>
      </w:pPr>
      <w:bookmarkStart w:id="620" w:name="_Toc336338168"/>
    </w:p>
    <w:p w:rsidR="00290FC1" w:rsidRPr="00734B50" w:rsidRDefault="00290FC1" w:rsidP="00B65F35">
      <w:pPr>
        <w:pStyle w:val="Heading2"/>
        <w:ind w:left="0"/>
        <w:jc w:val="both"/>
        <w:rPr>
          <w:lang w:val="pt-BR"/>
        </w:rPr>
      </w:pPr>
      <w:bookmarkStart w:id="621" w:name="_Toc353470815"/>
      <w:r w:rsidRPr="00734B50">
        <w:rPr>
          <w:rFonts w:ascii="Tahoma" w:hAnsi="Tahoma" w:cs="Tahoma"/>
          <w:color w:val="FF6600"/>
          <w:lang w:val="pt-BR"/>
        </w:rPr>
        <w:t>ALTERAÇÕES EM MAIO DE 2013</w:t>
      </w:r>
      <w:bookmarkEnd w:id="621"/>
    </w:p>
    <w:p w:rsidR="00290FC1" w:rsidRPr="00734B50" w:rsidRDefault="00290FC1" w:rsidP="00B65F35">
      <w:pPr>
        <w:pStyle w:val="Heading2"/>
        <w:ind w:left="0"/>
        <w:jc w:val="both"/>
        <w:rPr>
          <w:lang w:val="pt-BR"/>
        </w:rPr>
      </w:pPr>
    </w:p>
    <w:p w:rsidR="00290FC1" w:rsidRPr="00734B50" w:rsidRDefault="00290FC1" w:rsidP="00290FC1">
      <w:pPr>
        <w:spacing w:after="60"/>
        <w:rPr>
          <w:lang w:val="pt-BR"/>
        </w:rPr>
      </w:pPr>
      <w:r w:rsidRPr="00734B50">
        <w:rPr>
          <w:b/>
          <w:lang w:val="pt-BR"/>
        </w:rPr>
        <w:t>Adições</w:t>
      </w:r>
    </w:p>
    <w:p w:rsidR="007E2DBF" w:rsidRPr="00734B50" w:rsidRDefault="007E2DBF" w:rsidP="007E2DBF">
      <w:pPr>
        <w:rPr>
          <w:lang w:val="pt-BR"/>
        </w:rPr>
      </w:pPr>
      <w:r w:rsidRPr="00734B50">
        <w:rPr>
          <w:lang w:val="pt-BR"/>
        </w:rPr>
        <w:t>30 Cupons de Exame do Learning Solutions MCP (SL de Usuário)</w:t>
      </w:r>
    </w:p>
    <w:p w:rsidR="007E2DBF" w:rsidRPr="00734B50" w:rsidRDefault="007E2DBF" w:rsidP="007E2DBF">
      <w:pPr>
        <w:rPr>
          <w:lang w:val="pt-BR"/>
        </w:rPr>
      </w:pPr>
      <w:r w:rsidRPr="00734B50">
        <w:rPr>
          <w:lang w:val="pt-BR"/>
        </w:rPr>
        <w:t>Licença do Site de Exame do Learning Solutions MOS 500 (SL de Serviços)</w:t>
      </w:r>
    </w:p>
    <w:p w:rsidR="007E2DBF" w:rsidRPr="00734B50" w:rsidRDefault="007E2DBF" w:rsidP="007E2DBF">
      <w:pPr>
        <w:rPr>
          <w:lang w:val="pt-BR"/>
        </w:rPr>
      </w:pPr>
      <w:r w:rsidRPr="00734B50">
        <w:rPr>
          <w:lang w:val="pt-BR"/>
        </w:rPr>
        <w:t>Licença do Site de Exame do Learning Solutions MTA 250 (SL de Serviços)</w:t>
      </w:r>
    </w:p>
    <w:p w:rsidR="00290FC1" w:rsidRPr="00734B50" w:rsidRDefault="00290FC1" w:rsidP="00290FC1">
      <w:pPr>
        <w:rPr>
          <w:lang w:val="pt-BR"/>
        </w:rPr>
      </w:pPr>
    </w:p>
    <w:p w:rsidR="00290FC1" w:rsidRPr="00734B50" w:rsidRDefault="00290FC1" w:rsidP="00290FC1">
      <w:pPr>
        <w:spacing w:after="60"/>
        <w:rPr>
          <w:lang w:val="pt-BR"/>
        </w:rPr>
      </w:pPr>
      <w:r w:rsidRPr="00734B50">
        <w:rPr>
          <w:b/>
          <w:lang w:val="pt-BR"/>
        </w:rPr>
        <w:t>Alterações</w:t>
      </w:r>
    </w:p>
    <w:p w:rsidR="00290FC1" w:rsidRPr="00734B50" w:rsidRDefault="007E2DBF" w:rsidP="00290FC1">
      <w:pPr>
        <w:rPr>
          <w:lang w:val="pt-BR"/>
        </w:rPr>
      </w:pPr>
      <w:r w:rsidRPr="00734B50">
        <w:rPr>
          <w:lang w:val="pt-BR"/>
        </w:rPr>
        <w:t>Cupons de Exame do Learning Solutions MCP 1 (SL de Serviços)</w:t>
      </w:r>
    </w:p>
    <w:p w:rsidR="007E2DBF" w:rsidRPr="00734B50" w:rsidRDefault="007E2DBF" w:rsidP="00290FC1">
      <w:pPr>
        <w:rPr>
          <w:lang w:val="pt-BR"/>
        </w:rPr>
      </w:pPr>
      <w:r w:rsidRPr="00734B50">
        <w:rPr>
          <w:lang w:val="pt-BR"/>
        </w:rPr>
        <w:t>Licença de Assinatura do Windows Companion</w:t>
      </w:r>
    </w:p>
    <w:p w:rsidR="007E2DBF" w:rsidRPr="00653421" w:rsidRDefault="007E2DBF" w:rsidP="00290FC1">
      <w:r w:rsidRPr="00653421">
        <w:t>Windows Desktop Optimization Pack para Software Assurance</w:t>
      </w:r>
    </w:p>
    <w:p w:rsidR="007E2DBF" w:rsidRPr="00653421" w:rsidRDefault="007E2DBF" w:rsidP="00290FC1">
      <w:r w:rsidRPr="00653421">
        <w:t>Windows 8 Enterprise Sideloading (pacote com 100)</w:t>
      </w:r>
    </w:p>
    <w:p w:rsidR="007E2DBF" w:rsidRPr="00734B50" w:rsidRDefault="007E2DBF" w:rsidP="00290FC1">
      <w:pPr>
        <w:rPr>
          <w:lang w:val="pt-BR"/>
        </w:rPr>
      </w:pPr>
      <w:r w:rsidRPr="00734B50">
        <w:rPr>
          <w:lang w:val="pt-BR"/>
        </w:rPr>
        <w:t>Windows</w:t>
      </w:r>
      <w:r w:rsidRPr="00734B50">
        <w:rPr>
          <w:vertAlign w:val="superscript"/>
          <w:lang w:val="pt-BR"/>
        </w:rPr>
        <w:t>®</w:t>
      </w:r>
      <w:r w:rsidRPr="00734B50">
        <w:rPr>
          <w:lang w:val="pt-BR"/>
        </w:rPr>
        <w:t xml:space="preserve"> 8 Pro com MDOP</w:t>
      </w:r>
    </w:p>
    <w:p w:rsidR="00D57D2B" w:rsidRPr="00734B50" w:rsidRDefault="00D57D2B" w:rsidP="00290FC1">
      <w:pPr>
        <w:rPr>
          <w:lang w:val="pt-BR"/>
        </w:rPr>
      </w:pPr>
    </w:p>
    <w:p w:rsidR="00D57D2B" w:rsidRPr="00734B50" w:rsidRDefault="00D57D2B" w:rsidP="00290FC1">
      <w:pPr>
        <w:rPr>
          <w:lang w:val="pt-BR"/>
        </w:rPr>
      </w:pPr>
    </w:p>
    <w:p w:rsidR="00B65F35" w:rsidRPr="00734B50" w:rsidRDefault="00B65F35" w:rsidP="00B65F35">
      <w:pPr>
        <w:pStyle w:val="Heading2"/>
        <w:ind w:left="0"/>
        <w:jc w:val="both"/>
        <w:rPr>
          <w:lang w:val="pt-BR"/>
        </w:rPr>
      </w:pPr>
      <w:bookmarkStart w:id="622" w:name="_Toc353470816"/>
      <w:r w:rsidRPr="00734B50">
        <w:rPr>
          <w:rFonts w:ascii="Tahoma" w:hAnsi="Tahoma" w:cs="Tahoma"/>
          <w:color w:val="FF6600"/>
          <w:lang w:val="pt-BR"/>
        </w:rPr>
        <w:t>ALTERAÇÕES EM ABRIL DE 2013</w:t>
      </w:r>
      <w:bookmarkEnd w:id="622"/>
    </w:p>
    <w:p w:rsidR="00B65F35" w:rsidRPr="00734B50" w:rsidRDefault="00B65F35" w:rsidP="004759C6">
      <w:pPr>
        <w:pStyle w:val="Heading2"/>
        <w:ind w:left="0"/>
        <w:jc w:val="both"/>
        <w:rPr>
          <w:lang w:val="pt-BR"/>
        </w:rPr>
      </w:pPr>
    </w:p>
    <w:p w:rsidR="00B65F35" w:rsidRPr="00734B50" w:rsidRDefault="00B65F35" w:rsidP="00B65F35">
      <w:pPr>
        <w:spacing w:after="60"/>
        <w:rPr>
          <w:lang w:val="pt-BR"/>
        </w:rPr>
      </w:pPr>
      <w:r w:rsidRPr="00734B50">
        <w:rPr>
          <w:b/>
          <w:lang w:val="pt-BR"/>
        </w:rPr>
        <w:t>Adições</w:t>
      </w:r>
    </w:p>
    <w:p w:rsidR="00D02D7A" w:rsidRPr="00734B50" w:rsidRDefault="00D02D7A" w:rsidP="00D02D7A">
      <w:pPr>
        <w:rPr>
          <w:lang w:val="pt-BR"/>
        </w:rPr>
      </w:pPr>
      <w:r w:rsidRPr="00734B50">
        <w:rPr>
          <w:lang w:val="pt-BR"/>
        </w:rPr>
        <w:t>Bing Maps Consumer Controlado por Assinatura Mensal de Ativos</w:t>
      </w:r>
    </w:p>
    <w:p w:rsidR="00D02D7A" w:rsidRPr="00734B50" w:rsidRDefault="00D02D7A" w:rsidP="00D02D7A">
      <w:pPr>
        <w:rPr>
          <w:lang w:val="pt-BR"/>
        </w:rPr>
      </w:pPr>
      <w:r w:rsidRPr="00734B50">
        <w:rPr>
          <w:lang w:val="pt-BR"/>
        </w:rPr>
        <w:t>Bing Maps Desktop com Pacote de Conteúdo Aprimorado</w:t>
      </w:r>
    </w:p>
    <w:p w:rsidR="00D02D7A" w:rsidRPr="00734B50" w:rsidRDefault="00D02D7A" w:rsidP="00D02D7A">
      <w:pPr>
        <w:rPr>
          <w:lang w:val="pt-BR"/>
        </w:rPr>
      </w:pPr>
      <w:r w:rsidRPr="00734B50">
        <w:rPr>
          <w:lang w:val="pt-BR"/>
        </w:rPr>
        <w:t>Bing Maps para Assinatura Mensal de Tarifa por Plataforma Enterprise</w:t>
      </w:r>
    </w:p>
    <w:p w:rsidR="00D02D7A" w:rsidRPr="00734B50" w:rsidRDefault="00D02D7A" w:rsidP="00D02D7A">
      <w:pPr>
        <w:rPr>
          <w:lang w:val="pt-BR"/>
        </w:rPr>
      </w:pPr>
      <w:r w:rsidRPr="00734B50">
        <w:rPr>
          <w:lang w:val="pt-BR"/>
        </w:rPr>
        <w:t>Assinatura Mensal de 100 Mil Transações de Uso de Site Público do Bing Maps</w:t>
      </w:r>
    </w:p>
    <w:p w:rsidR="00D02D7A" w:rsidRPr="00734B50" w:rsidRDefault="00D02D7A" w:rsidP="00D02D7A">
      <w:pPr>
        <w:rPr>
          <w:lang w:val="pt-BR"/>
        </w:rPr>
      </w:pPr>
      <w:r w:rsidRPr="00734B50">
        <w:rPr>
          <w:lang w:val="pt-BR"/>
        </w:rPr>
        <w:t>Assinatura Mensal de 250 Mil Transações de Uso de Site Público do Bing Maps</w:t>
      </w:r>
    </w:p>
    <w:p w:rsidR="00D02D7A" w:rsidRPr="00734B50" w:rsidRDefault="00D02D7A" w:rsidP="00D02D7A">
      <w:pPr>
        <w:rPr>
          <w:lang w:val="pt-BR"/>
        </w:rPr>
      </w:pPr>
      <w:r w:rsidRPr="00734B50">
        <w:rPr>
          <w:lang w:val="pt-BR"/>
        </w:rPr>
        <w:t>Assinatura Mensal de 420 Mil Transações de Uso de Site Público do Bing Maps</w:t>
      </w:r>
    </w:p>
    <w:p w:rsidR="00D02D7A" w:rsidRPr="00734B50" w:rsidRDefault="00D02D7A" w:rsidP="00D02D7A">
      <w:pPr>
        <w:rPr>
          <w:lang w:val="pt-BR"/>
        </w:rPr>
      </w:pPr>
      <w:r w:rsidRPr="00734B50">
        <w:rPr>
          <w:lang w:val="pt-BR"/>
        </w:rPr>
        <w:t>Assinatura Mensal de 840 Mil Transações de Uso de Site Público do Bing Maps</w:t>
      </w:r>
    </w:p>
    <w:p w:rsidR="00D02D7A" w:rsidRPr="00734B50" w:rsidRDefault="00D02D7A" w:rsidP="00D02D7A">
      <w:pPr>
        <w:rPr>
          <w:lang w:val="pt-BR"/>
        </w:rPr>
      </w:pPr>
      <w:r w:rsidRPr="00734B50">
        <w:rPr>
          <w:lang w:val="pt-BR"/>
        </w:rPr>
        <w:t>Assinatura Mensal de 2,5 Milhões de Transações de Uso de Site Público do Bing Maps</w:t>
      </w:r>
    </w:p>
    <w:p w:rsidR="00D02D7A" w:rsidRPr="00734B50" w:rsidRDefault="00D02D7A" w:rsidP="00D02D7A">
      <w:pPr>
        <w:rPr>
          <w:lang w:val="pt-BR"/>
        </w:rPr>
      </w:pPr>
      <w:r w:rsidRPr="00734B50">
        <w:rPr>
          <w:lang w:val="pt-BR"/>
        </w:rPr>
        <w:t>Assinatura Mensal de 4,2 Milhões Transações de Uso de Site Público do Bing Maps</w:t>
      </w:r>
    </w:p>
    <w:p w:rsidR="00D02D7A" w:rsidRPr="00734B50" w:rsidRDefault="00D02D7A" w:rsidP="00D02D7A">
      <w:pPr>
        <w:rPr>
          <w:lang w:val="pt-BR"/>
        </w:rPr>
      </w:pPr>
      <w:r w:rsidRPr="00734B50">
        <w:rPr>
          <w:lang w:val="pt-BR"/>
        </w:rPr>
        <w:t>Assinatura Mensal de 8,4 Milhões de Transações de Uso de Site Público do Bing Maps</w:t>
      </w:r>
    </w:p>
    <w:p w:rsidR="00D02D7A" w:rsidRPr="00734B50" w:rsidRDefault="00D02D7A" w:rsidP="00D02D7A">
      <w:pPr>
        <w:rPr>
          <w:lang w:val="pt-BR"/>
        </w:rPr>
      </w:pPr>
      <w:r w:rsidRPr="00734B50">
        <w:rPr>
          <w:lang w:val="pt-BR"/>
        </w:rPr>
        <w:t>Assinatura Mensal de Transações Ilimitadas de Uso de Site Público do Bing Maps</w:t>
      </w:r>
    </w:p>
    <w:p w:rsidR="00D02D7A" w:rsidRPr="00734B50" w:rsidRDefault="00D02D7A" w:rsidP="00D02D7A">
      <w:pPr>
        <w:rPr>
          <w:lang w:val="pt-BR"/>
        </w:rPr>
      </w:pPr>
      <w:r w:rsidRPr="00734B50">
        <w:rPr>
          <w:lang w:val="pt-BR"/>
        </w:rPr>
        <w:t>Assinatura Mensal de 100 Mil Transações de Uso de Site Interno do Bing Maps</w:t>
      </w:r>
    </w:p>
    <w:p w:rsidR="00D02D7A" w:rsidRPr="00734B50" w:rsidRDefault="00D02D7A" w:rsidP="00D02D7A">
      <w:pPr>
        <w:rPr>
          <w:lang w:val="pt-BR"/>
        </w:rPr>
      </w:pPr>
      <w:r w:rsidRPr="00734B50">
        <w:rPr>
          <w:lang w:val="pt-BR"/>
        </w:rPr>
        <w:t>Assinatura Mensal de 250 Mil Transações de Uso de Site Interno do Bing Maps</w:t>
      </w:r>
    </w:p>
    <w:p w:rsidR="00D02D7A" w:rsidRPr="00734B50" w:rsidRDefault="00D02D7A" w:rsidP="00D02D7A">
      <w:pPr>
        <w:rPr>
          <w:lang w:val="pt-BR"/>
        </w:rPr>
      </w:pPr>
      <w:r w:rsidRPr="00734B50">
        <w:rPr>
          <w:lang w:val="pt-BR"/>
        </w:rPr>
        <w:t>Assinatura Mensal de 420 Mil Transações de Uso de Site Interno do Bing Maps</w:t>
      </w:r>
    </w:p>
    <w:p w:rsidR="00D02D7A" w:rsidRPr="00734B50" w:rsidRDefault="00D02D7A" w:rsidP="00D02D7A">
      <w:pPr>
        <w:rPr>
          <w:lang w:val="pt-BR"/>
        </w:rPr>
      </w:pPr>
      <w:r w:rsidRPr="00734B50">
        <w:rPr>
          <w:lang w:val="pt-BR"/>
        </w:rPr>
        <w:t>Assinatura Mensal de 1,</w:t>
      </w:r>
      <w:r w:rsidR="00465D54" w:rsidRPr="00734B50">
        <w:rPr>
          <w:lang w:val="pt-BR"/>
        </w:rPr>
        <w:t>2</w:t>
      </w:r>
      <w:r w:rsidRPr="00734B50">
        <w:rPr>
          <w:lang w:val="pt-BR"/>
        </w:rPr>
        <w:t>5 Milhões de Transações de Uso de Site Interno do Bing Maps</w:t>
      </w:r>
    </w:p>
    <w:p w:rsidR="00D02D7A" w:rsidRPr="00734B50" w:rsidRDefault="00D02D7A" w:rsidP="00D02D7A">
      <w:pPr>
        <w:rPr>
          <w:lang w:val="pt-BR"/>
        </w:rPr>
      </w:pPr>
      <w:r w:rsidRPr="00734B50">
        <w:rPr>
          <w:lang w:val="pt-BR"/>
        </w:rPr>
        <w:t>Assinatura Mensal de 2,1 Milhões de Transações de Uso de Site Interno do Bing Maps</w:t>
      </w:r>
    </w:p>
    <w:p w:rsidR="00D02D7A" w:rsidRPr="00734B50" w:rsidRDefault="00D02D7A" w:rsidP="00D02D7A">
      <w:pPr>
        <w:rPr>
          <w:lang w:val="pt-BR"/>
        </w:rPr>
      </w:pPr>
      <w:r w:rsidRPr="00734B50">
        <w:rPr>
          <w:lang w:val="pt-BR"/>
        </w:rPr>
        <w:t>Assinatura Mensal de Transações Ilimitadas de Uso de Site Interno do Bing Maps</w:t>
      </w:r>
    </w:p>
    <w:p w:rsidR="00D02D7A" w:rsidRPr="00734B50" w:rsidRDefault="00D02D7A" w:rsidP="00D02D7A">
      <w:pPr>
        <w:rPr>
          <w:lang w:val="pt-BR"/>
        </w:rPr>
      </w:pPr>
      <w:r w:rsidRPr="00734B50">
        <w:rPr>
          <w:lang w:val="pt-BR"/>
        </w:rPr>
        <w:t>Bing Maps Conhecido por Assinatura Mensal de Usuários</w:t>
      </w:r>
    </w:p>
    <w:p w:rsidR="00D02D7A" w:rsidRPr="00734B50" w:rsidRDefault="00D02D7A" w:rsidP="00D02D7A">
      <w:pPr>
        <w:rPr>
          <w:lang w:val="pt-BR"/>
        </w:rPr>
      </w:pPr>
      <w:r w:rsidRPr="00734B50">
        <w:rPr>
          <w:lang w:val="pt-BR"/>
        </w:rPr>
        <w:t>Bing Maps por Assinatura Mensal de Pacote de 5 Mil Usuários Conhecidos</w:t>
      </w:r>
    </w:p>
    <w:p w:rsidR="00D02D7A" w:rsidRPr="00734B50" w:rsidRDefault="00D02D7A" w:rsidP="00D02D7A">
      <w:pPr>
        <w:rPr>
          <w:lang w:val="pt-BR"/>
        </w:rPr>
      </w:pPr>
      <w:r w:rsidRPr="00734B50">
        <w:rPr>
          <w:lang w:val="pt-BR"/>
        </w:rPr>
        <w:t>Bing Maps Light Conhecido por Assinatura Mensal de Usuários</w:t>
      </w:r>
    </w:p>
    <w:p w:rsidR="00D02D7A" w:rsidRPr="00734B50" w:rsidRDefault="00D02D7A" w:rsidP="00D02D7A">
      <w:pPr>
        <w:rPr>
          <w:lang w:val="pt-BR"/>
        </w:rPr>
      </w:pPr>
      <w:r w:rsidRPr="00734B50">
        <w:rPr>
          <w:lang w:val="pt-BR"/>
        </w:rPr>
        <w:t>Bing Maps Light Conhecido por Assinatura Mensal de Pacote de 5 Mil Usuários</w:t>
      </w:r>
    </w:p>
    <w:p w:rsidR="00D02D7A" w:rsidRPr="00734B50" w:rsidRDefault="00D02D7A" w:rsidP="00D02D7A">
      <w:pPr>
        <w:rPr>
          <w:lang w:val="pt-BR"/>
        </w:rPr>
      </w:pPr>
      <w:r w:rsidRPr="00734B50">
        <w:rPr>
          <w:lang w:val="pt-BR"/>
        </w:rPr>
        <w:t>Assinatura Mensal de Tarifa por Plataforma de Gerenciamento de Ativos Móveis do Bing Maps</w:t>
      </w:r>
    </w:p>
    <w:p w:rsidR="00D02D7A" w:rsidRPr="00734B50" w:rsidRDefault="00D02D7A" w:rsidP="00D02D7A">
      <w:pPr>
        <w:rPr>
          <w:lang w:val="pt-BR"/>
        </w:rPr>
      </w:pPr>
      <w:r w:rsidRPr="00734B50">
        <w:rPr>
          <w:lang w:val="pt-BR"/>
        </w:rPr>
        <w:t>Gerenciamento de Ativos Móveis do Bing Maps (América do Norte) com roteamento por Assinatura Mensal de Ativos</w:t>
      </w:r>
    </w:p>
    <w:p w:rsidR="00D02D7A" w:rsidRPr="00734B50" w:rsidRDefault="00D02D7A" w:rsidP="00D02D7A">
      <w:pPr>
        <w:rPr>
          <w:lang w:val="pt-BR"/>
        </w:rPr>
      </w:pPr>
      <w:r w:rsidRPr="00734B50">
        <w:rPr>
          <w:lang w:val="pt-BR"/>
        </w:rPr>
        <w:t>Gerenciamento de Ativos Móveis do Bing Maps (América do Norte) sem roteamento por Assinatura Mensal de Ativos</w:t>
      </w:r>
    </w:p>
    <w:p w:rsidR="00D02D7A" w:rsidRPr="00734B50" w:rsidRDefault="00D02D7A" w:rsidP="00D02D7A">
      <w:pPr>
        <w:rPr>
          <w:lang w:val="pt-BR"/>
        </w:rPr>
      </w:pPr>
      <w:r w:rsidRPr="00734B50">
        <w:rPr>
          <w:lang w:val="pt-BR"/>
        </w:rPr>
        <w:t>Gerenciamento de Ativos Móveis do Bing Maps (Europa) com roteamento por Assinatura Mensal de Ativos</w:t>
      </w:r>
    </w:p>
    <w:p w:rsidR="00D02D7A" w:rsidRPr="00734B50" w:rsidRDefault="00D02D7A" w:rsidP="00D02D7A">
      <w:pPr>
        <w:rPr>
          <w:lang w:val="pt-BR"/>
        </w:rPr>
      </w:pPr>
      <w:r w:rsidRPr="00734B50">
        <w:rPr>
          <w:lang w:val="pt-BR"/>
        </w:rPr>
        <w:t>Gerenciamento de Ativos Móveis do Bing Maps (Europa) sem roteamento por Assinatura Mensal de Ativos</w:t>
      </w:r>
    </w:p>
    <w:p w:rsidR="00D02D7A" w:rsidRPr="00653421" w:rsidRDefault="00D02D7A" w:rsidP="00D02D7A">
      <w:r w:rsidRPr="00653421">
        <w:t>Bing Maps Server</w:t>
      </w:r>
    </w:p>
    <w:p w:rsidR="00D02D7A" w:rsidRPr="00653421" w:rsidRDefault="00D02D7A" w:rsidP="00D02D7A">
      <w:r w:rsidRPr="00653421">
        <w:t>BizTalk</w:t>
      </w:r>
      <w:r w:rsidRPr="00653421">
        <w:rPr>
          <w:vertAlign w:val="superscript"/>
        </w:rPr>
        <w:t>®</w:t>
      </w:r>
      <w:r w:rsidRPr="00653421">
        <w:t xml:space="preserve"> Server 2013 Enterprise Edition </w:t>
      </w:r>
    </w:p>
    <w:p w:rsidR="00D02D7A" w:rsidRPr="00653421" w:rsidRDefault="00D02D7A" w:rsidP="00D02D7A">
      <w:r w:rsidRPr="00653421">
        <w:t>BizTalk</w:t>
      </w:r>
      <w:r w:rsidRPr="00653421">
        <w:rPr>
          <w:vertAlign w:val="superscript"/>
        </w:rPr>
        <w:t>®</w:t>
      </w:r>
      <w:r w:rsidRPr="00653421">
        <w:t xml:space="preserve"> Server 2013 Standard Edition </w:t>
      </w:r>
    </w:p>
    <w:p w:rsidR="00D02D7A" w:rsidRPr="00653421" w:rsidRDefault="00D02D7A" w:rsidP="00D02D7A">
      <w:r w:rsidRPr="00653421">
        <w:t>BizTalk</w:t>
      </w:r>
      <w:r w:rsidRPr="00653421">
        <w:rPr>
          <w:vertAlign w:val="superscript"/>
        </w:rPr>
        <w:t>®</w:t>
      </w:r>
      <w:r w:rsidRPr="00653421">
        <w:t xml:space="preserve"> Server 2013 Branch</w:t>
      </w:r>
    </w:p>
    <w:p w:rsidR="00D02D7A" w:rsidRPr="00653421" w:rsidRDefault="00D02D7A" w:rsidP="00D02D7A">
      <w:r w:rsidRPr="00653421">
        <w:t>BizTalk</w:t>
      </w:r>
      <w:r w:rsidRPr="00653421">
        <w:rPr>
          <w:vertAlign w:val="superscript"/>
        </w:rPr>
        <w:t>®</w:t>
      </w:r>
      <w:r w:rsidRPr="00653421">
        <w:t xml:space="preserve"> Server 2013 Branch IDC </w:t>
      </w:r>
    </w:p>
    <w:p w:rsidR="00D02D7A" w:rsidRPr="00653421" w:rsidRDefault="00D02D7A" w:rsidP="00D02D7A">
      <w:r w:rsidRPr="00653421">
        <w:t>BizTalk</w:t>
      </w:r>
      <w:r w:rsidRPr="00653421">
        <w:rPr>
          <w:vertAlign w:val="superscript"/>
        </w:rPr>
        <w:t>®</w:t>
      </w:r>
      <w:r w:rsidRPr="00653421">
        <w:t xml:space="preserve"> Server 2013 Standard Edition IDC </w:t>
      </w:r>
    </w:p>
    <w:p w:rsidR="00D02D7A" w:rsidRPr="00734B50" w:rsidRDefault="00D02D7A" w:rsidP="00D02D7A">
      <w:pPr>
        <w:rPr>
          <w:lang w:val="pt-BR"/>
        </w:rPr>
      </w:pPr>
      <w:r w:rsidRPr="00734B50">
        <w:rPr>
          <w:lang w:val="pt-BR"/>
        </w:rPr>
        <w:t>Office 365 Enterprise E1 (SL de Usuário) (Pool de Aplicativos)</w:t>
      </w:r>
    </w:p>
    <w:p w:rsidR="00D02D7A" w:rsidRPr="00734B50" w:rsidRDefault="00D02D7A" w:rsidP="00D02D7A">
      <w:pPr>
        <w:rPr>
          <w:lang w:val="pt-BR"/>
        </w:rPr>
      </w:pPr>
      <w:r w:rsidRPr="00734B50">
        <w:rPr>
          <w:lang w:val="pt-BR"/>
        </w:rPr>
        <w:lastRenderedPageBreak/>
        <w:t>Office 365 Enterprise E2 (SL de Usuário) (Pool de Aplicativos)</w:t>
      </w:r>
    </w:p>
    <w:p w:rsidR="00D02D7A" w:rsidRPr="00734B50" w:rsidRDefault="00D02D7A" w:rsidP="00D02D7A">
      <w:pPr>
        <w:rPr>
          <w:lang w:val="pt-BR"/>
        </w:rPr>
      </w:pPr>
      <w:r w:rsidRPr="00734B50">
        <w:rPr>
          <w:lang w:val="pt-BR"/>
        </w:rPr>
        <w:t>Office 365 Enterprise E3 (SL de Usuário) (Pool de Aplicativos)</w:t>
      </w:r>
    </w:p>
    <w:p w:rsidR="00D02D7A" w:rsidRPr="00734B50" w:rsidRDefault="00D02D7A" w:rsidP="00D02D7A">
      <w:pPr>
        <w:rPr>
          <w:lang w:val="pt-BR"/>
        </w:rPr>
      </w:pPr>
      <w:r w:rsidRPr="00734B50">
        <w:rPr>
          <w:lang w:val="pt-BR"/>
        </w:rPr>
        <w:t>Office 365 Enterprise E4 (SL de Usuário) (Pool de Aplicativos)</w:t>
      </w:r>
    </w:p>
    <w:p w:rsidR="00D02D7A" w:rsidRPr="00734B50" w:rsidRDefault="00D02D7A" w:rsidP="00D02D7A">
      <w:pPr>
        <w:rPr>
          <w:lang w:val="pt-BR"/>
        </w:rPr>
      </w:pPr>
      <w:r w:rsidRPr="00734B50">
        <w:rPr>
          <w:lang w:val="pt-BR"/>
        </w:rPr>
        <w:t>Office 365 Education A2 (SL de Usuário) (Pool de Aplicativos)</w:t>
      </w:r>
    </w:p>
    <w:p w:rsidR="00D02D7A" w:rsidRPr="00734B50" w:rsidRDefault="00D02D7A" w:rsidP="00D02D7A">
      <w:pPr>
        <w:rPr>
          <w:lang w:val="pt-BR"/>
        </w:rPr>
      </w:pPr>
      <w:r w:rsidRPr="00734B50">
        <w:rPr>
          <w:lang w:val="pt-BR"/>
        </w:rPr>
        <w:t>Office 365 Education A3 (SL de Usuário) (Pool de Aplicativos)</w:t>
      </w:r>
    </w:p>
    <w:p w:rsidR="00D02D7A" w:rsidRPr="00734B50" w:rsidRDefault="00D02D7A" w:rsidP="00D02D7A">
      <w:pPr>
        <w:rPr>
          <w:lang w:val="pt-BR"/>
        </w:rPr>
      </w:pPr>
      <w:r w:rsidRPr="00734B50">
        <w:rPr>
          <w:lang w:val="pt-BR"/>
        </w:rPr>
        <w:t>Office 365 Education A4 (SL de Usuário) (Pool de Aplicativos)</w:t>
      </w:r>
    </w:p>
    <w:p w:rsidR="00D02D7A" w:rsidRPr="00734B50" w:rsidRDefault="00D02D7A" w:rsidP="00D02D7A">
      <w:pPr>
        <w:rPr>
          <w:lang w:val="pt-BR"/>
        </w:rPr>
      </w:pPr>
      <w:r w:rsidRPr="00734B50">
        <w:rPr>
          <w:lang w:val="pt-BR"/>
        </w:rPr>
        <w:t>Office 365 Enterprise E1 (SL de Usuário) (Pool de Servidores)</w:t>
      </w:r>
    </w:p>
    <w:p w:rsidR="00D02D7A" w:rsidRPr="00734B50" w:rsidRDefault="00D02D7A" w:rsidP="00D02D7A">
      <w:pPr>
        <w:rPr>
          <w:lang w:val="pt-BR"/>
        </w:rPr>
      </w:pPr>
      <w:r w:rsidRPr="00734B50">
        <w:rPr>
          <w:lang w:val="pt-BR"/>
        </w:rPr>
        <w:t>Office 365 Enterprise E2 (SL de Usuário) (Pool de Servidores)</w:t>
      </w:r>
    </w:p>
    <w:p w:rsidR="00D02D7A" w:rsidRPr="00734B50" w:rsidRDefault="00D02D7A" w:rsidP="00D02D7A">
      <w:pPr>
        <w:rPr>
          <w:lang w:val="pt-BR"/>
        </w:rPr>
      </w:pPr>
      <w:r w:rsidRPr="00734B50">
        <w:rPr>
          <w:lang w:val="pt-BR"/>
        </w:rPr>
        <w:t>Office 365 Enterprise E3 (SL de Usuário) (Pool de Servidores)</w:t>
      </w:r>
    </w:p>
    <w:p w:rsidR="00D02D7A" w:rsidRPr="00734B50" w:rsidRDefault="00D02D7A" w:rsidP="00D02D7A">
      <w:pPr>
        <w:rPr>
          <w:lang w:val="pt-BR"/>
        </w:rPr>
      </w:pPr>
      <w:r w:rsidRPr="00734B50">
        <w:rPr>
          <w:lang w:val="pt-BR"/>
        </w:rPr>
        <w:t>Office 365 Enterprise E4 (SL de Usuário) (Pool de Servidores)</w:t>
      </w:r>
    </w:p>
    <w:p w:rsidR="00D02D7A" w:rsidRPr="00734B50" w:rsidRDefault="00D02D7A" w:rsidP="00D02D7A">
      <w:pPr>
        <w:rPr>
          <w:lang w:val="pt-BR"/>
        </w:rPr>
      </w:pPr>
      <w:r w:rsidRPr="00734B50">
        <w:rPr>
          <w:lang w:val="pt-BR"/>
        </w:rPr>
        <w:t>Office 365 Government G1 (SL de Usuário) (Pool de Servidores)</w:t>
      </w:r>
    </w:p>
    <w:p w:rsidR="00D02D7A" w:rsidRPr="00734B50" w:rsidRDefault="00D02D7A" w:rsidP="00D02D7A">
      <w:pPr>
        <w:rPr>
          <w:lang w:val="pt-BR"/>
        </w:rPr>
      </w:pPr>
      <w:r w:rsidRPr="00734B50">
        <w:rPr>
          <w:lang w:val="pt-BR"/>
        </w:rPr>
        <w:t>Office 365 Government G2 (SL de Usuário) (Pool de Servidores)</w:t>
      </w:r>
    </w:p>
    <w:p w:rsidR="00D02D7A" w:rsidRPr="00734B50" w:rsidRDefault="00D02D7A" w:rsidP="00D02D7A">
      <w:pPr>
        <w:rPr>
          <w:lang w:val="pt-BR"/>
        </w:rPr>
      </w:pPr>
      <w:r w:rsidRPr="00734B50">
        <w:rPr>
          <w:lang w:val="pt-BR"/>
        </w:rPr>
        <w:t>Office 365 Government G3 (SL de Usuário) (Pool de Servidores)</w:t>
      </w:r>
    </w:p>
    <w:p w:rsidR="00D02D7A" w:rsidRPr="00734B50" w:rsidRDefault="00D02D7A" w:rsidP="00D02D7A">
      <w:pPr>
        <w:rPr>
          <w:lang w:val="pt-BR"/>
        </w:rPr>
      </w:pPr>
      <w:r w:rsidRPr="00734B50">
        <w:rPr>
          <w:lang w:val="pt-BR"/>
        </w:rPr>
        <w:t>Office 365 Government G4 (SL de Usuário) (Pool de Servidores)</w:t>
      </w:r>
    </w:p>
    <w:p w:rsidR="00D02D7A" w:rsidRPr="00734B50" w:rsidRDefault="00D02D7A" w:rsidP="00D02D7A">
      <w:pPr>
        <w:rPr>
          <w:lang w:val="pt-BR"/>
        </w:rPr>
      </w:pPr>
      <w:r w:rsidRPr="00734B50">
        <w:rPr>
          <w:lang w:val="pt-BR"/>
        </w:rPr>
        <w:t>Office 365 Enterprise K1 (SL de Usuário) (Pool de Servidores)</w:t>
      </w:r>
    </w:p>
    <w:p w:rsidR="00D02D7A" w:rsidRPr="00734B50" w:rsidRDefault="00D02D7A" w:rsidP="00D02D7A">
      <w:pPr>
        <w:rPr>
          <w:lang w:val="pt-BR"/>
        </w:rPr>
      </w:pPr>
      <w:r w:rsidRPr="00734B50">
        <w:rPr>
          <w:lang w:val="pt-BR"/>
        </w:rPr>
        <w:t>Office 365 Enterprise K2 (SL de Usuário) (Pool de Servidores)</w:t>
      </w:r>
    </w:p>
    <w:p w:rsidR="003418C5" w:rsidRPr="00734B50" w:rsidRDefault="003418C5" w:rsidP="003418C5">
      <w:pPr>
        <w:rPr>
          <w:lang w:val="pt-BR"/>
        </w:rPr>
      </w:pPr>
      <w:r w:rsidRPr="00734B50">
        <w:rPr>
          <w:lang w:val="pt-BR"/>
        </w:rPr>
        <w:t>Office 365 ProPlus SA Transition (SL de Usuário) (Pool de Aplicativos)</w:t>
      </w:r>
    </w:p>
    <w:p w:rsidR="00D02D7A" w:rsidRPr="00734B50" w:rsidRDefault="00D02D7A">
      <w:pPr>
        <w:rPr>
          <w:lang w:val="pt-BR"/>
        </w:rPr>
      </w:pPr>
      <w:r w:rsidRPr="00734B50">
        <w:rPr>
          <w:lang w:val="pt-BR"/>
        </w:rPr>
        <w:t>Microsoft Desktop Optimization Pack para Software Assurance</w:t>
      </w:r>
    </w:p>
    <w:p w:rsidR="00D02D7A" w:rsidRPr="00734B50" w:rsidRDefault="00D02D7A" w:rsidP="007E466C">
      <w:pPr>
        <w:rPr>
          <w:lang w:val="pt-BR"/>
        </w:rPr>
      </w:pPr>
      <w:r w:rsidRPr="00734B50">
        <w:rPr>
          <w:lang w:val="pt-BR"/>
        </w:rPr>
        <w:t>System Center Global Service Monitor</w:t>
      </w:r>
    </w:p>
    <w:p w:rsidR="005F584F" w:rsidRPr="00734B50" w:rsidRDefault="005F584F" w:rsidP="005F584F">
      <w:pPr>
        <w:rPr>
          <w:lang w:val="pt-BR"/>
        </w:rPr>
      </w:pPr>
      <w:r w:rsidRPr="00734B50">
        <w:rPr>
          <w:lang w:val="pt-BR"/>
        </w:rPr>
        <w:t>Vexcel Desktop com Pacote de Conteúdo Aprimorado</w:t>
      </w:r>
    </w:p>
    <w:p w:rsidR="009C779A" w:rsidRPr="00734B50" w:rsidRDefault="00242B11">
      <w:pPr>
        <w:rPr>
          <w:lang w:val="pt-BR"/>
        </w:rPr>
      </w:pPr>
      <w:r w:rsidRPr="00734B50">
        <w:rPr>
          <w:lang w:val="pt-BR"/>
        </w:rPr>
        <w:t>Vexcel Server</w:t>
      </w:r>
    </w:p>
    <w:p w:rsidR="00242B11" w:rsidRPr="00734B50" w:rsidRDefault="00242B11">
      <w:pPr>
        <w:rPr>
          <w:lang w:val="pt-BR"/>
        </w:rPr>
      </w:pPr>
      <w:r w:rsidRPr="00734B50">
        <w:rPr>
          <w:lang w:val="pt-BR"/>
        </w:rPr>
        <w:t>Vexcel Server com Pacote de Conteúdo Aprimorado</w:t>
      </w:r>
    </w:p>
    <w:p w:rsidR="00BA1576" w:rsidRPr="00734B50" w:rsidRDefault="00BA1576" w:rsidP="00B65F35">
      <w:pPr>
        <w:spacing w:after="60"/>
        <w:rPr>
          <w:b/>
          <w:lang w:val="pt-BR"/>
        </w:rPr>
      </w:pPr>
    </w:p>
    <w:p w:rsidR="00B65F35" w:rsidRPr="00734B50" w:rsidRDefault="00B65F35" w:rsidP="00B65F35">
      <w:pPr>
        <w:spacing w:after="60"/>
        <w:rPr>
          <w:lang w:val="pt-BR"/>
        </w:rPr>
      </w:pPr>
      <w:r w:rsidRPr="00734B50">
        <w:rPr>
          <w:b/>
          <w:lang w:val="pt-BR"/>
        </w:rPr>
        <w:t>Alterações</w:t>
      </w:r>
    </w:p>
    <w:p w:rsidR="00B65F35" w:rsidRPr="00734B50" w:rsidRDefault="009C779A" w:rsidP="009C779A">
      <w:pPr>
        <w:rPr>
          <w:lang w:val="pt-BR"/>
        </w:rPr>
      </w:pPr>
      <w:r w:rsidRPr="00734B50">
        <w:rPr>
          <w:lang w:val="pt-BR"/>
        </w:rPr>
        <w:t>Bing Maps Standard (SL de Usuário)</w:t>
      </w:r>
    </w:p>
    <w:p w:rsidR="009C779A" w:rsidRPr="00734B50" w:rsidRDefault="009C779A" w:rsidP="00D66F68">
      <w:pPr>
        <w:rPr>
          <w:lang w:val="pt-BR"/>
        </w:rPr>
      </w:pPr>
      <w:r w:rsidRPr="00734B50">
        <w:rPr>
          <w:lang w:val="pt-BR"/>
        </w:rPr>
        <w:t>Office 365 Plano E1 (SL de Usuário) (Pool de Aplicativos)</w:t>
      </w:r>
    </w:p>
    <w:p w:rsidR="009C779A" w:rsidRPr="00734B50" w:rsidRDefault="009C779A" w:rsidP="00D66F68">
      <w:pPr>
        <w:rPr>
          <w:lang w:val="pt-BR"/>
        </w:rPr>
      </w:pPr>
      <w:r w:rsidRPr="00734B50">
        <w:rPr>
          <w:lang w:val="pt-BR"/>
        </w:rPr>
        <w:t>Office 365 Plano E2 (SL de Usuário) (Pool de Aplicativos)</w:t>
      </w:r>
    </w:p>
    <w:p w:rsidR="009C779A" w:rsidRPr="00734B50" w:rsidRDefault="009C779A" w:rsidP="00D02D7A">
      <w:pPr>
        <w:rPr>
          <w:lang w:val="pt-BR"/>
        </w:rPr>
      </w:pPr>
      <w:r w:rsidRPr="00734B50">
        <w:rPr>
          <w:lang w:val="pt-BR"/>
        </w:rPr>
        <w:t>Office 365 Plano E3 (SL de Usuário) (Pool de Aplicativos)</w:t>
      </w:r>
    </w:p>
    <w:p w:rsidR="009C779A" w:rsidRPr="00734B50" w:rsidRDefault="009C779A" w:rsidP="00D02D7A">
      <w:pPr>
        <w:rPr>
          <w:lang w:val="pt-BR"/>
        </w:rPr>
      </w:pPr>
      <w:r w:rsidRPr="00734B50">
        <w:rPr>
          <w:lang w:val="pt-BR"/>
        </w:rPr>
        <w:t>Office 365 Plano E4 (SL de Usuário) (Pool de Aplicativos)</w:t>
      </w:r>
    </w:p>
    <w:p w:rsidR="009C779A" w:rsidRPr="00734B50" w:rsidRDefault="009C779A" w:rsidP="00242B11">
      <w:pPr>
        <w:rPr>
          <w:lang w:val="pt-BR"/>
        </w:rPr>
      </w:pPr>
      <w:r w:rsidRPr="00734B50">
        <w:rPr>
          <w:lang w:val="pt-BR"/>
        </w:rPr>
        <w:t>Office 365 Plano A2 (SL de Usuário) (Pool de Aplicativos)</w:t>
      </w:r>
    </w:p>
    <w:p w:rsidR="009C779A" w:rsidRPr="00734B50" w:rsidRDefault="009C779A" w:rsidP="00242B11">
      <w:pPr>
        <w:rPr>
          <w:lang w:val="pt-BR"/>
        </w:rPr>
      </w:pPr>
      <w:r w:rsidRPr="00734B50">
        <w:rPr>
          <w:lang w:val="pt-BR"/>
        </w:rPr>
        <w:t>Office 365 Plano A3 (SL de Usuário) (Pool de Aplicativos)</w:t>
      </w:r>
    </w:p>
    <w:p w:rsidR="009C779A" w:rsidRPr="00734B50" w:rsidRDefault="009C779A" w:rsidP="00EA31A6">
      <w:pPr>
        <w:rPr>
          <w:lang w:val="pt-BR"/>
        </w:rPr>
      </w:pPr>
      <w:r w:rsidRPr="00734B50">
        <w:rPr>
          <w:lang w:val="pt-BR"/>
        </w:rPr>
        <w:t>Office 365 Plano A4 (SL de Usuário) (Pool de Aplicativos)</w:t>
      </w:r>
    </w:p>
    <w:p w:rsidR="009C779A" w:rsidRPr="00734B50" w:rsidRDefault="009C779A" w:rsidP="00EA31A6">
      <w:pPr>
        <w:rPr>
          <w:lang w:val="pt-BR"/>
        </w:rPr>
      </w:pPr>
      <w:r w:rsidRPr="00734B50">
        <w:rPr>
          <w:lang w:val="pt-BR"/>
        </w:rPr>
        <w:t>Office 365 Plano E1 (SL de Usuário) (Pool de Servidores)</w:t>
      </w:r>
    </w:p>
    <w:p w:rsidR="009C779A" w:rsidRPr="00734B50" w:rsidRDefault="009C779A" w:rsidP="00EA31A6">
      <w:pPr>
        <w:rPr>
          <w:lang w:val="pt-BR"/>
        </w:rPr>
      </w:pPr>
      <w:r w:rsidRPr="00734B50">
        <w:rPr>
          <w:lang w:val="pt-BR"/>
        </w:rPr>
        <w:t>Office 365 Plano E2 - E4 (SL de Usuário) (Pool de Servidores)</w:t>
      </w:r>
    </w:p>
    <w:p w:rsidR="009C779A" w:rsidRPr="00734B50" w:rsidRDefault="009C779A" w:rsidP="00EA31A6">
      <w:pPr>
        <w:rPr>
          <w:lang w:val="pt-BR"/>
        </w:rPr>
      </w:pPr>
      <w:r w:rsidRPr="00734B50">
        <w:rPr>
          <w:lang w:val="pt-BR"/>
        </w:rPr>
        <w:t>Office 365 Plano G1 - G4 (SL de Usuário) (Pool de Servidores)</w:t>
      </w:r>
    </w:p>
    <w:p w:rsidR="009C779A" w:rsidRPr="00734B50" w:rsidRDefault="009C779A" w:rsidP="003537B9">
      <w:pPr>
        <w:rPr>
          <w:lang w:val="pt-BR"/>
        </w:rPr>
      </w:pPr>
      <w:r w:rsidRPr="00734B50">
        <w:rPr>
          <w:lang w:val="pt-BR"/>
        </w:rPr>
        <w:t>Office 365 Plano K1 (SL de Usuário) (Pool de Servidores)</w:t>
      </w:r>
    </w:p>
    <w:p w:rsidR="009C779A" w:rsidRPr="00734B50" w:rsidRDefault="009C779A" w:rsidP="003537B9">
      <w:pPr>
        <w:rPr>
          <w:lang w:val="pt-BR"/>
        </w:rPr>
      </w:pPr>
      <w:r w:rsidRPr="00734B50">
        <w:rPr>
          <w:lang w:val="pt-BR"/>
        </w:rPr>
        <w:t>Office 365 Plano K2 (SL de Usuário) (Pool de Servidores)</w:t>
      </w:r>
    </w:p>
    <w:p w:rsidR="003A31B1" w:rsidRPr="00734B50" w:rsidRDefault="003A31B1" w:rsidP="003A31B1">
      <w:pPr>
        <w:rPr>
          <w:lang w:val="pt-BR"/>
        </w:rPr>
      </w:pPr>
      <w:r w:rsidRPr="00734B50">
        <w:rPr>
          <w:lang w:val="pt-BR"/>
        </w:rPr>
        <w:t>System Center 2012 Endpoint Protection</w:t>
      </w:r>
    </w:p>
    <w:p w:rsidR="00242B11" w:rsidRPr="00734B50" w:rsidRDefault="00242B11" w:rsidP="00242B11">
      <w:pPr>
        <w:rPr>
          <w:lang w:val="pt-BR"/>
        </w:rPr>
      </w:pPr>
      <w:r w:rsidRPr="00734B50">
        <w:rPr>
          <w:lang w:val="pt-BR"/>
        </w:rPr>
        <w:t>O BizTalk Server mudou do modelo de licença “Proc” para “Core” na versão 2013</w:t>
      </w:r>
    </w:p>
    <w:p w:rsidR="00242B11" w:rsidRPr="00734B50" w:rsidRDefault="00242B11" w:rsidP="00242B11">
      <w:pPr>
        <w:rPr>
          <w:lang w:val="pt-BR"/>
        </w:rPr>
      </w:pPr>
      <w:r w:rsidRPr="00734B50">
        <w:rPr>
          <w:lang w:val="pt-BR"/>
        </w:rPr>
        <w:t>Produto Adicional (</w:t>
      </w:r>
      <w:r w:rsidR="00C133AB" w:rsidRPr="00734B50">
        <w:rPr>
          <w:lang w:val="pt-BR"/>
        </w:rPr>
        <w:t>“</w:t>
      </w:r>
      <w:r w:rsidRPr="00734B50">
        <w:rPr>
          <w:lang w:val="pt-BR"/>
        </w:rPr>
        <w:t>A</w:t>
      </w:r>
      <w:r w:rsidR="00C133AB" w:rsidRPr="00734B50">
        <w:rPr>
          <w:lang w:val="pt-BR"/>
        </w:rPr>
        <w:t>”</w:t>
      </w:r>
      <w:r w:rsidRPr="00734B50">
        <w:rPr>
          <w:lang w:val="pt-BR"/>
        </w:rPr>
        <w:t>) Removido do Sys Ctr Endpoint Protection</w:t>
      </w:r>
    </w:p>
    <w:p w:rsidR="00242B11" w:rsidRPr="00734B50" w:rsidRDefault="00242B11" w:rsidP="00242B11">
      <w:pPr>
        <w:rPr>
          <w:lang w:val="pt-BR"/>
        </w:rPr>
      </w:pPr>
      <w:r w:rsidRPr="00734B50">
        <w:rPr>
          <w:lang w:val="pt-BR"/>
        </w:rPr>
        <w:t>Entrada Professional Removida do Bing Maps Standard (SL de Usuário)</w:t>
      </w:r>
    </w:p>
    <w:p w:rsidR="009C779A" w:rsidRPr="00734B50" w:rsidRDefault="009C779A" w:rsidP="009C779A">
      <w:pPr>
        <w:rPr>
          <w:lang w:val="pt-BR"/>
        </w:rPr>
      </w:pPr>
    </w:p>
    <w:p w:rsidR="00B65F35" w:rsidRPr="00734B50" w:rsidRDefault="00B65F35" w:rsidP="007E466C">
      <w:pPr>
        <w:spacing w:after="60"/>
        <w:rPr>
          <w:lang w:val="pt-BR"/>
        </w:rPr>
      </w:pPr>
      <w:r w:rsidRPr="00734B50">
        <w:rPr>
          <w:b/>
          <w:lang w:val="pt-BR"/>
        </w:rPr>
        <w:t>Exclusões</w:t>
      </w:r>
    </w:p>
    <w:p w:rsidR="00D02D7A" w:rsidRPr="00734B50" w:rsidRDefault="00D02D7A" w:rsidP="00D02D7A">
      <w:pPr>
        <w:rPr>
          <w:lang w:val="pt-BR"/>
        </w:rPr>
      </w:pPr>
      <w:r w:rsidRPr="00734B50">
        <w:rPr>
          <w:lang w:val="pt-BR"/>
        </w:rPr>
        <w:t>Bing Maps 25KTrx (SL Complementar)</w:t>
      </w:r>
    </w:p>
    <w:p w:rsidR="00D02D7A" w:rsidRPr="00653421" w:rsidRDefault="00D02D7A" w:rsidP="00D02D7A">
      <w:r w:rsidRPr="00653421">
        <w:t>Bing Maps 250KTrx (SL Complementar)</w:t>
      </w:r>
    </w:p>
    <w:p w:rsidR="00D02D7A" w:rsidRPr="00734B50" w:rsidRDefault="00D02D7A" w:rsidP="00D02D7A">
      <w:pPr>
        <w:rPr>
          <w:lang w:val="pt-BR"/>
        </w:rPr>
      </w:pPr>
      <w:r w:rsidRPr="00734B50">
        <w:rPr>
          <w:lang w:val="pt-BR"/>
        </w:rPr>
        <w:t>Bing Maps Professional (SL de Serviços)</w:t>
      </w:r>
    </w:p>
    <w:p w:rsidR="005F584F" w:rsidRPr="00734B50" w:rsidRDefault="005F584F" w:rsidP="005F584F">
      <w:pPr>
        <w:rPr>
          <w:lang w:val="pt-BR"/>
        </w:rPr>
      </w:pPr>
      <w:r w:rsidRPr="00734B50">
        <w:rPr>
          <w:lang w:val="pt-BR"/>
        </w:rPr>
        <w:t>Bing Maps Desktop com Pacote de Conteúdo Aprimorado</w:t>
      </w:r>
    </w:p>
    <w:p w:rsidR="005F584F" w:rsidRPr="00734B50" w:rsidRDefault="005F584F" w:rsidP="005F584F">
      <w:pPr>
        <w:rPr>
          <w:lang w:val="pt-BR"/>
        </w:rPr>
      </w:pPr>
      <w:r w:rsidRPr="00734B50">
        <w:rPr>
          <w:lang w:val="pt-BR"/>
        </w:rPr>
        <w:t>Bing Maps Server</w:t>
      </w:r>
    </w:p>
    <w:p w:rsidR="005F584F" w:rsidRPr="00734B50" w:rsidRDefault="005F584F" w:rsidP="005F584F">
      <w:pPr>
        <w:rPr>
          <w:lang w:val="pt-BR"/>
        </w:rPr>
      </w:pPr>
      <w:r w:rsidRPr="00734B50">
        <w:rPr>
          <w:lang w:val="pt-BR"/>
        </w:rPr>
        <w:t>Bing Maps com Pacote de Conteúdo Aprimorado</w:t>
      </w:r>
    </w:p>
    <w:p w:rsidR="00D02D7A" w:rsidRPr="00653421" w:rsidRDefault="00D02D7A" w:rsidP="00D02D7A">
      <w:r w:rsidRPr="00653421">
        <w:t>Bing Maps Unlimited Trx (SL Complementar)</w:t>
      </w:r>
    </w:p>
    <w:p w:rsidR="00242B11" w:rsidRPr="00734B50" w:rsidRDefault="00242B11" w:rsidP="00D02D7A">
      <w:pPr>
        <w:rPr>
          <w:lang w:val="pt-BR"/>
        </w:rPr>
      </w:pPr>
      <w:r w:rsidRPr="00734B50">
        <w:rPr>
          <w:lang w:val="pt-BR"/>
        </w:rPr>
        <w:t>Bing Server</w:t>
      </w:r>
    </w:p>
    <w:p w:rsidR="00242B11" w:rsidRPr="00734B50" w:rsidRDefault="00242B11" w:rsidP="00D02D7A">
      <w:pPr>
        <w:rPr>
          <w:lang w:val="pt-BR"/>
        </w:rPr>
      </w:pPr>
      <w:r w:rsidRPr="00734B50">
        <w:rPr>
          <w:lang w:val="pt-BR"/>
        </w:rPr>
        <w:t>Bing Server com Pacote de Conteúdo Aprimorado</w:t>
      </w:r>
    </w:p>
    <w:p w:rsidR="00D02D7A" w:rsidRPr="00653421" w:rsidRDefault="00D02D7A" w:rsidP="00D02D7A">
      <w:r w:rsidRPr="00653421">
        <w:t>BizTalk</w:t>
      </w:r>
      <w:r w:rsidRPr="00653421">
        <w:rPr>
          <w:vertAlign w:val="superscript"/>
        </w:rPr>
        <w:t>®</w:t>
      </w:r>
      <w:r w:rsidRPr="00653421">
        <w:t xml:space="preserve"> Server 2010 Branch Edition </w:t>
      </w:r>
    </w:p>
    <w:p w:rsidR="00D02D7A" w:rsidRPr="00653421" w:rsidRDefault="00D02D7A" w:rsidP="00D02D7A">
      <w:r w:rsidRPr="00653421">
        <w:t>BizTalk</w:t>
      </w:r>
      <w:r w:rsidRPr="00653421">
        <w:rPr>
          <w:vertAlign w:val="superscript"/>
        </w:rPr>
        <w:t>®</w:t>
      </w:r>
      <w:r w:rsidRPr="00653421">
        <w:t xml:space="preserve"> Server 2010 Enterprise Edition</w:t>
      </w:r>
    </w:p>
    <w:p w:rsidR="00D02D7A" w:rsidRPr="00653421" w:rsidRDefault="00D02D7A" w:rsidP="00D02D7A">
      <w:r w:rsidRPr="00653421">
        <w:t>BizTalk</w:t>
      </w:r>
      <w:r w:rsidRPr="00653421">
        <w:rPr>
          <w:vertAlign w:val="superscript"/>
        </w:rPr>
        <w:t>®</w:t>
      </w:r>
      <w:r w:rsidRPr="00653421">
        <w:t xml:space="preserve"> Server 2010 Enterprise RFID</w:t>
      </w:r>
    </w:p>
    <w:p w:rsidR="00D02D7A" w:rsidRPr="00653421" w:rsidRDefault="00D02D7A" w:rsidP="00D02D7A">
      <w:r w:rsidRPr="00653421">
        <w:t>BizTalk</w:t>
      </w:r>
      <w:r w:rsidRPr="00653421">
        <w:rPr>
          <w:vertAlign w:val="superscript"/>
        </w:rPr>
        <w:t>®</w:t>
      </w:r>
      <w:r w:rsidRPr="00653421">
        <w:t xml:space="preserve"> Server 2010 Standard Edition </w:t>
      </w:r>
    </w:p>
    <w:p w:rsidR="00D02D7A" w:rsidRPr="00653421" w:rsidRDefault="00D02D7A" w:rsidP="00D02D7A">
      <w:r w:rsidRPr="00653421">
        <w:t>BizTalk</w:t>
      </w:r>
      <w:r w:rsidRPr="00653421">
        <w:rPr>
          <w:vertAlign w:val="superscript"/>
        </w:rPr>
        <w:t>®</w:t>
      </w:r>
      <w:r w:rsidRPr="00653421">
        <w:t xml:space="preserve"> Server 2010 Developer IDC </w:t>
      </w:r>
    </w:p>
    <w:p w:rsidR="00D02D7A" w:rsidRPr="00653421" w:rsidRDefault="00D02D7A" w:rsidP="00D02D7A">
      <w:r w:rsidRPr="00653421">
        <w:t>BizTalk</w:t>
      </w:r>
      <w:r w:rsidRPr="00653421">
        <w:rPr>
          <w:vertAlign w:val="superscript"/>
        </w:rPr>
        <w:t>®</w:t>
      </w:r>
      <w:r w:rsidRPr="00653421">
        <w:t xml:space="preserve"> Server 2010 Branch IDC </w:t>
      </w:r>
    </w:p>
    <w:p w:rsidR="00D02D7A" w:rsidRPr="00653421" w:rsidRDefault="00D02D7A" w:rsidP="00D02D7A">
      <w:r w:rsidRPr="00653421">
        <w:lastRenderedPageBreak/>
        <w:t>Data Warehouse Appliance 2012</w:t>
      </w:r>
    </w:p>
    <w:p w:rsidR="00D02D7A" w:rsidRPr="00734B50" w:rsidRDefault="00D02D7A" w:rsidP="00D02D7A">
      <w:pPr>
        <w:rPr>
          <w:lang w:val="pt-BR"/>
        </w:rPr>
      </w:pPr>
      <w:r w:rsidRPr="00734B50">
        <w:rPr>
          <w:lang w:val="pt-BR"/>
        </w:rPr>
        <w:t>Office 365 Plano E1 (SL de Usuário) (Pool de Aplicativos)</w:t>
      </w:r>
    </w:p>
    <w:p w:rsidR="00D02D7A" w:rsidRPr="00734B50" w:rsidRDefault="00D02D7A" w:rsidP="00D02D7A">
      <w:pPr>
        <w:rPr>
          <w:lang w:val="pt-BR"/>
        </w:rPr>
      </w:pPr>
      <w:r w:rsidRPr="00734B50">
        <w:rPr>
          <w:lang w:val="pt-BR"/>
        </w:rPr>
        <w:t>Office 365 Plano E2 (SL de Usuário) (Pool de Aplicativos)</w:t>
      </w:r>
    </w:p>
    <w:p w:rsidR="00D02D7A" w:rsidRPr="00734B50" w:rsidRDefault="00D02D7A" w:rsidP="00D02D7A">
      <w:pPr>
        <w:rPr>
          <w:lang w:val="pt-BR"/>
        </w:rPr>
      </w:pPr>
      <w:r w:rsidRPr="00734B50">
        <w:rPr>
          <w:lang w:val="pt-BR"/>
        </w:rPr>
        <w:t>Office 365 Plano E3 (SL de Usuário) (Pool de Aplicativos)</w:t>
      </w:r>
    </w:p>
    <w:p w:rsidR="00D02D7A" w:rsidRPr="00734B50" w:rsidRDefault="00D02D7A" w:rsidP="00D02D7A">
      <w:pPr>
        <w:rPr>
          <w:lang w:val="pt-BR"/>
        </w:rPr>
      </w:pPr>
      <w:r w:rsidRPr="00734B50">
        <w:rPr>
          <w:lang w:val="pt-BR"/>
        </w:rPr>
        <w:t>Office 365 Plano E4 (SL de Usuário) (Pool de Aplicativos)</w:t>
      </w:r>
    </w:p>
    <w:p w:rsidR="00D02D7A" w:rsidRPr="00734B50" w:rsidRDefault="00D02D7A" w:rsidP="00D02D7A">
      <w:pPr>
        <w:rPr>
          <w:lang w:val="pt-BR"/>
        </w:rPr>
      </w:pPr>
      <w:r w:rsidRPr="00734B50">
        <w:rPr>
          <w:lang w:val="pt-BR"/>
        </w:rPr>
        <w:t>Office 365 Plano A2 (SL de Usuário) (Pool de Aplicativos)</w:t>
      </w:r>
    </w:p>
    <w:p w:rsidR="00D02D7A" w:rsidRPr="00734B50" w:rsidRDefault="00D02D7A" w:rsidP="00D02D7A">
      <w:pPr>
        <w:rPr>
          <w:lang w:val="pt-BR"/>
        </w:rPr>
      </w:pPr>
      <w:r w:rsidRPr="00734B50">
        <w:rPr>
          <w:lang w:val="pt-BR"/>
        </w:rPr>
        <w:t>Office 365 Plano A3 (SL de Usuário) (Pool de Aplicativos)</w:t>
      </w:r>
    </w:p>
    <w:p w:rsidR="00D02D7A" w:rsidRPr="00734B50" w:rsidRDefault="00D02D7A" w:rsidP="00D02D7A">
      <w:pPr>
        <w:rPr>
          <w:lang w:val="pt-BR"/>
        </w:rPr>
      </w:pPr>
      <w:r w:rsidRPr="00734B50">
        <w:rPr>
          <w:lang w:val="pt-BR"/>
        </w:rPr>
        <w:t>Office 365 Plano A4 (SL de Usuário) (Pool de Aplicativos)</w:t>
      </w:r>
    </w:p>
    <w:p w:rsidR="00D02D7A" w:rsidRPr="00734B50" w:rsidRDefault="00D02D7A" w:rsidP="00D02D7A">
      <w:pPr>
        <w:rPr>
          <w:lang w:val="pt-BR"/>
        </w:rPr>
      </w:pPr>
      <w:r w:rsidRPr="00734B50">
        <w:rPr>
          <w:lang w:val="pt-BR"/>
        </w:rPr>
        <w:t>Office 365 Plano E1 (SL de Usuário) (Pool de Servidores)</w:t>
      </w:r>
    </w:p>
    <w:p w:rsidR="00D02D7A" w:rsidRPr="00734B50" w:rsidRDefault="00D02D7A" w:rsidP="00D02D7A">
      <w:pPr>
        <w:rPr>
          <w:lang w:val="pt-BR"/>
        </w:rPr>
      </w:pPr>
      <w:r w:rsidRPr="00734B50">
        <w:rPr>
          <w:lang w:val="pt-BR"/>
        </w:rPr>
        <w:t>Office 365 Plano E2 (SL de Usuário) (Pool de Servidores)</w:t>
      </w:r>
    </w:p>
    <w:p w:rsidR="00D02D7A" w:rsidRPr="00734B50" w:rsidRDefault="00D02D7A" w:rsidP="00D02D7A">
      <w:pPr>
        <w:rPr>
          <w:lang w:val="pt-BR"/>
        </w:rPr>
      </w:pPr>
      <w:r w:rsidRPr="00734B50">
        <w:rPr>
          <w:lang w:val="pt-BR"/>
        </w:rPr>
        <w:t>Office 365 Plano E3 (SL de Usuário) (Pool de Servidores)</w:t>
      </w:r>
    </w:p>
    <w:p w:rsidR="00D02D7A" w:rsidRPr="00734B50" w:rsidRDefault="00D02D7A" w:rsidP="00D02D7A">
      <w:pPr>
        <w:rPr>
          <w:lang w:val="pt-BR"/>
        </w:rPr>
      </w:pPr>
      <w:r w:rsidRPr="00734B50">
        <w:rPr>
          <w:lang w:val="pt-BR"/>
        </w:rPr>
        <w:t>Office 365 Plano E4 (SL de Usuário) (Pool de Servidores)</w:t>
      </w:r>
    </w:p>
    <w:p w:rsidR="00D02D7A" w:rsidRPr="00734B50" w:rsidRDefault="00D02D7A" w:rsidP="00D02D7A">
      <w:pPr>
        <w:rPr>
          <w:lang w:val="pt-BR"/>
        </w:rPr>
      </w:pPr>
      <w:r w:rsidRPr="00734B50">
        <w:rPr>
          <w:lang w:val="pt-BR"/>
        </w:rPr>
        <w:t>Office 365 Plano G1 (SL de Usuário) (Pool de Servidores)</w:t>
      </w:r>
    </w:p>
    <w:p w:rsidR="00D02D7A" w:rsidRPr="00734B50" w:rsidRDefault="00D02D7A" w:rsidP="00D02D7A">
      <w:pPr>
        <w:rPr>
          <w:lang w:val="pt-BR"/>
        </w:rPr>
      </w:pPr>
      <w:r w:rsidRPr="00734B50">
        <w:rPr>
          <w:lang w:val="pt-BR"/>
        </w:rPr>
        <w:t>Office 365 Plano G2 (SL de Usuário) (Pool de Servidores)</w:t>
      </w:r>
    </w:p>
    <w:p w:rsidR="00D02D7A" w:rsidRPr="00734B50" w:rsidRDefault="00D02D7A" w:rsidP="00D02D7A">
      <w:pPr>
        <w:rPr>
          <w:lang w:val="pt-BR"/>
        </w:rPr>
      </w:pPr>
      <w:r w:rsidRPr="00734B50">
        <w:rPr>
          <w:lang w:val="pt-BR"/>
        </w:rPr>
        <w:t>Office 365 Plano G3 (SL de Usuário) (Pool de Servidores)</w:t>
      </w:r>
    </w:p>
    <w:p w:rsidR="00D02D7A" w:rsidRPr="00734B50" w:rsidRDefault="00D02D7A" w:rsidP="00D02D7A">
      <w:pPr>
        <w:rPr>
          <w:lang w:val="pt-BR"/>
        </w:rPr>
      </w:pPr>
      <w:r w:rsidRPr="00734B50">
        <w:rPr>
          <w:lang w:val="pt-BR"/>
        </w:rPr>
        <w:t>Office 365 Plano G4 (SL de Usuário) (Pool de Servidores)</w:t>
      </w:r>
    </w:p>
    <w:p w:rsidR="00D02D7A" w:rsidRPr="00734B50" w:rsidRDefault="00D02D7A" w:rsidP="00D02D7A">
      <w:pPr>
        <w:rPr>
          <w:lang w:val="pt-BR"/>
        </w:rPr>
      </w:pPr>
      <w:r w:rsidRPr="00734B50">
        <w:rPr>
          <w:lang w:val="pt-BR"/>
        </w:rPr>
        <w:t>Office 365 Plano K1 (SL de Usuário) (Pool de Servidores)</w:t>
      </w:r>
    </w:p>
    <w:p w:rsidR="00D02D7A" w:rsidRPr="00734B50" w:rsidRDefault="00D02D7A" w:rsidP="00D02D7A">
      <w:pPr>
        <w:rPr>
          <w:lang w:val="pt-BR"/>
        </w:rPr>
      </w:pPr>
      <w:r w:rsidRPr="00734B50">
        <w:rPr>
          <w:lang w:val="pt-BR"/>
        </w:rPr>
        <w:t>Office 365 Plano K2 (SL de Usuário) (Pool de Servidores)</w:t>
      </w:r>
    </w:p>
    <w:p w:rsidR="00D02D7A" w:rsidRPr="00734B50" w:rsidRDefault="00D02D7A" w:rsidP="00D02D7A">
      <w:pPr>
        <w:rPr>
          <w:lang w:val="pt-BR"/>
        </w:rPr>
      </w:pPr>
      <w:r w:rsidRPr="00734B50">
        <w:rPr>
          <w:lang w:val="pt-BR"/>
        </w:rPr>
        <w:t>System Center 2012 Endpoint Protection</w:t>
      </w:r>
    </w:p>
    <w:p w:rsidR="00D02D7A" w:rsidRPr="00734B50" w:rsidRDefault="00D02D7A" w:rsidP="00D02D7A">
      <w:pPr>
        <w:rPr>
          <w:lang w:val="pt-BR"/>
        </w:rPr>
      </w:pPr>
      <w:r w:rsidRPr="00734B50">
        <w:rPr>
          <w:lang w:val="pt-BR"/>
        </w:rPr>
        <w:t>Forefront Online Protection for Exchange (SL de Dispositivo e Usuário)</w:t>
      </w:r>
    </w:p>
    <w:p w:rsidR="00D02D7A" w:rsidRPr="00734B50" w:rsidRDefault="00D02D7A" w:rsidP="00D02D7A">
      <w:pPr>
        <w:rPr>
          <w:lang w:val="pt-BR"/>
        </w:rPr>
      </w:pPr>
      <w:r w:rsidRPr="00734B50">
        <w:rPr>
          <w:lang w:val="pt-BR"/>
        </w:rPr>
        <w:t>Microsoft Desktop Optimization Pack para Software Assurance 2012</w:t>
      </w:r>
    </w:p>
    <w:p w:rsidR="00B65F35" w:rsidRPr="00734B50" w:rsidRDefault="00B65F35" w:rsidP="007E466C">
      <w:pPr>
        <w:rPr>
          <w:lang w:val="pt-BR"/>
        </w:rPr>
      </w:pPr>
    </w:p>
    <w:p w:rsidR="00D57D2B" w:rsidRPr="00734B50" w:rsidRDefault="00D57D2B" w:rsidP="007E466C">
      <w:pPr>
        <w:rPr>
          <w:lang w:val="pt-BR"/>
        </w:rPr>
      </w:pPr>
    </w:p>
    <w:p w:rsidR="004759C6" w:rsidRPr="00734B50" w:rsidRDefault="004759C6" w:rsidP="004759C6">
      <w:pPr>
        <w:pStyle w:val="Heading2"/>
        <w:ind w:left="0"/>
        <w:jc w:val="both"/>
        <w:rPr>
          <w:lang w:val="pt-BR"/>
        </w:rPr>
      </w:pPr>
      <w:bookmarkStart w:id="623" w:name="_Toc353470817"/>
      <w:r w:rsidRPr="00734B50">
        <w:rPr>
          <w:rFonts w:ascii="Tahoma" w:hAnsi="Tahoma" w:cs="Tahoma"/>
          <w:color w:val="FF6600"/>
          <w:lang w:val="pt-BR"/>
        </w:rPr>
        <w:t>ALTERAÇÕES EM MARÇO DE 2013</w:t>
      </w:r>
      <w:bookmarkEnd w:id="623"/>
    </w:p>
    <w:p w:rsidR="004759C6" w:rsidRPr="00734B50" w:rsidRDefault="004759C6" w:rsidP="004759C6">
      <w:pPr>
        <w:pStyle w:val="Heading2"/>
        <w:ind w:left="0"/>
        <w:jc w:val="both"/>
        <w:rPr>
          <w:lang w:val="pt-BR"/>
        </w:rPr>
      </w:pPr>
    </w:p>
    <w:p w:rsidR="0064651F" w:rsidRPr="00734B50" w:rsidRDefault="004759C6" w:rsidP="0064651F">
      <w:pPr>
        <w:spacing w:after="60"/>
        <w:rPr>
          <w:lang w:val="pt-BR"/>
        </w:rPr>
      </w:pPr>
      <w:r w:rsidRPr="00734B50">
        <w:rPr>
          <w:b/>
          <w:lang w:val="pt-BR"/>
        </w:rPr>
        <w:t>Adições</w:t>
      </w:r>
    </w:p>
    <w:p w:rsidR="006D5B20" w:rsidRPr="00734B50" w:rsidRDefault="006D5B20" w:rsidP="006D5B20">
      <w:pPr>
        <w:rPr>
          <w:lang w:val="pt-BR"/>
        </w:rPr>
      </w:pPr>
      <w:r w:rsidRPr="00734B50">
        <w:rPr>
          <w:rFonts w:cs="Tahoma"/>
          <w:color w:val="000000"/>
          <w:szCs w:val="18"/>
          <w:lang w:val="pt-BR"/>
        </w:rPr>
        <w:t>Arquivamento do Exchange Online para Exchange Online</w:t>
      </w:r>
    </w:p>
    <w:p w:rsidR="006D5B20" w:rsidRPr="00734B50" w:rsidRDefault="006D5B20" w:rsidP="006D5B20">
      <w:pPr>
        <w:rPr>
          <w:lang w:val="pt-BR"/>
        </w:rPr>
      </w:pPr>
      <w:r w:rsidRPr="00734B50">
        <w:rPr>
          <w:rFonts w:cs="Tahoma"/>
          <w:color w:val="000000"/>
          <w:szCs w:val="18"/>
          <w:lang w:val="pt-BR"/>
        </w:rPr>
        <w:t xml:space="preserve">Arquivamento do Exchange Online para Exchange Online A </w:t>
      </w:r>
    </w:p>
    <w:p w:rsidR="006D5B20" w:rsidRPr="00734B50" w:rsidRDefault="006D5B20" w:rsidP="006D5B20">
      <w:pPr>
        <w:rPr>
          <w:lang w:val="pt-BR"/>
        </w:rPr>
      </w:pPr>
      <w:r w:rsidRPr="00734B50">
        <w:rPr>
          <w:rFonts w:cs="Tahoma"/>
          <w:color w:val="000000"/>
          <w:szCs w:val="18"/>
          <w:lang w:val="pt-BR"/>
        </w:rPr>
        <w:t>Exchange Online Protection (SL de Usuário)</w:t>
      </w:r>
    </w:p>
    <w:p w:rsidR="00140B67" w:rsidRPr="00734B50" w:rsidRDefault="00140B67" w:rsidP="006D6A83">
      <w:pPr>
        <w:rPr>
          <w:lang w:val="pt-BR"/>
        </w:rPr>
      </w:pPr>
      <w:r w:rsidRPr="00734B50">
        <w:rPr>
          <w:rFonts w:cs="Tahoma"/>
          <w:color w:val="000000"/>
          <w:szCs w:val="18"/>
          <w:lang w:val="pt-BR"/>
        </w:rPr>
        <w:t>Office 365 Midsize Business (SL de Usuário)</w:t>
      </w:r>
    </w:p>
    <w:p w:rsidR="00170CFB" w:rsidRPr="00734B50" w:rsidRDefault="006D5B20" w:rsidP="006D6A83">
      <w:pPr>
        <w:rPr>
          <w:lang w:val="pt-BR"/>
        </w:rPr>
      </w:pPr>
      <w:r w:rsidRPr="00734B50">
        <w:rPr>
          <w:rFonts w:cs="Tahoma"/>
          <w:color w:val="000000"/>
          <w:szCs w:val="18"/>
          <w:lang w:val="pt-BR"/>
        </w:rPr>
        <w:t>Office 365 Plano E1 (SL de Usuário) SQL Server</w:t>
      </w:r>
      <w:r w:rsidRPr="00734B50">
        <w:rPr>
          <w:rFonts w:cs="Tahoma"/>
          <w:color w:val="000000"/>
          <w:szCs w:val="18"/>
          <w:vertAlign w:val="superscript"/>
          <w:lang w:val="pt-BR"/>
        </w:rPr>
        <w:t>®</w:t>
      </w:r>
      <w:r w:rsidRPr="00734B50">
        <w:rPr>
          <w:rFonts w:cs="Tahoma"/>
          <w:color w:val="000000"/>
          <w:szCs w:val="18"/>
          <w:lang w:val="pt-BR"/>
        </w:rPr>
        <w:t xml:space="preserve"> 2012 Parallel Data Warehouse</w:t>
      </w:r>
    </w:p>
    <w:p w:rsidR="006D5B20" w:rsidRPr="00653421" w:rsidRDefault="006D5B20" w:rsidP="006D5B20">
      <w:r w:rsidRPr="00653421">
        <w:rPr>
          <w:rFonts w:cs="Tahoma"/>
          <w:color w:val="000000"/>
          <w:szCs w:val="18"/>
        </w:rPr>
        <w:t xml:space="preserve">Project Online </w:t>
      </w:r>
    </w:p>
    <w:p w:rsidR="006D5B20" w:rsidRPr="00653421" w:rsidRDefault="006D5B20" w:rsidP="006D5B20">
      <w:r w:rsidRPr="00653421">
        <w:rPr>
          <w:rFonts w:cs="Tahoma"/>
          <w:color w:val="000000"/>
          <w:szCs w:val="18"/>
        </w:rPr>
        <w:t>Project Online A</w:t>
      </w:r>
      <w:r w:rsidR="00DD7735" w:rsidRPr="00653421">
        <w:rPr>
          <w:rFonts w:cs="Tahoma"/>
          <w:color w:val="000000"/>
          <w:szCs w:val="18"/>
        </w:rPr>
        <w:t xml:space="preserve"> </w:t>
      </w:r>
    </w:p>
    <w:p w:rsidR="006D5B20" w:rsidRPr="00653421" w:rsidRDefault="006D5B20" w:rsidP="006D5B20">
      <w:r w:rsidRPr="00653421">
        <w:rPr>
          <w:rFonts w:cs="Tahoma"/>
          <w:color w:val="000000"/>
          <w:szCs w:val="18"/>
        </w:rPr>
        <w:t xml:space="preserve">Project Pro para Office 365 </w:t>
      </w:r>
    </w:p>
    <w:p w:rsidR="006D5B20" w:rsidRPr="00653421" w:rsidRDefault="006D5B20" w:rsidP="006D5B20">
      <w:r w:rsidRPr="00653421">
        <w:rPr>
          <w:rFonts w:cs="Tahoma"/>
          <w:color w:val="000000"/>
          <w:szCs w:val="18"/>
        </w:rPr>
        <w:t>Project Pro para Office 365 A</w:t>
      </w:r>
      <w:r w:rsidR="00DD7735" w:rsidRPr="00653421">
        <w:rPr>
          <w:rFonts w:cs="Tahoma"/>
          <w:color w:val="000000"/>
          <w:szCs w:val="18"/>
        </w:rPr>
        <w:t xml:space="preserve"> </w:t>
      </w:r>
    </w:p>
    <w:p w:rsidR="00170CFB" w:rsidRPr="00653421" w:rsidRDefault="00170CFB" w:rsidP="006D6A83">
      <w:r w:rsidRPr="00653421">
        <w:rPr>
          <w:rFonts w:cs="Tahoma"/>
          <w:color w:val="000000"/>
          <w:szCs w:val="18"/>
        </w:rPr>
        <w:t>SQL Server</w:t>
      </w:r>
      <w:r w:rsidRPr="00653421">
        <w:rPr>
          <w:rFonts w:cs="Tahoma"/>
          <w:color w:val="000000"/>
          <w:szCs w:val="18"/>
          <w:vertAlign w:val="superscript"/>
        </w:rPr>
        <w:t>®</w:t>
      </w:r>
      <w:r w:rsidRPr="00653421">
        <w:rPr>
          <w:rFonts w:cs="Tahoma"/>
          <w:color w:val="000000"/>
          <w:szCs w:val="18"/>
        </w:rPr>
        <w:t xml:space="preserve"> 2012 Parallel Data Warehouse Developer</w:t>
      </w:r>
    </w:p>
    <w:p w:rsidR="00170CFB" w:rsidRPr="00734B50" w:rsidRDefault="00170CFB" w:rsidP="006D6A83">
      <w:pPr>
        <w:rPr>
          <w:lang w:val="pt-BR"/>
        </w:rPr>
      </w:pPr>
      <w:r w:rsidRPr="00734B50">
        <w:rPr>
          <w:rFonts w:cs="Tahoma"/>
          <w:color w:val="000000"/>
          <w:szCs w:val="18"/>
          <w:lang w:val="pt-BR"/>
        </w:rPr>
        <w:t>Visio Pro para Office 365 A</w:t>
      </w:r>
      <w:r w:rsidR="00DD7735" w:rsidRPr="00734B50">
        <w:rPr>
          <w:rFonts w:cs="Tahoma"/>
          <w:color w:val="000000"/>
          <w:szCs w:val="18"/>
          <w:lang w:val="pt-BR"/>
        </w:rPr>
        <w:t xml:space="preserve"> </w:t>
      </w:r>
    </w:p>
    <w:p w:rsidR="00170CFB" w:rsidRPr="00734B50" w:rsidRDefault="00170CFB" w:rsidP="006D6A83">
      <w:pPr>
        <w:rPr>
          <w:lang w:val="pt-BR"/>
        </w:rPr>
      </w:pPr>
      <w:r w:rsidRPr="00734B50">
        <w:rPr>
          <w:rFonts w:cs="Tahoma"/>
          <w:color w:val="000000"/>
          <w:szCs w:val="18"/>
          <w:lang w:val="pt-BR"/>
        </w:rPr>
        <w:t xml:space="preserve">Visio Pro para Office 365 </w:t>
      </w:r>
    </w:p>
    <w:p w:rsidR="00170CFB" w:rsidRPr="00734B50" w:rsidRDefault="00170CFB" w:rsidP="006D6A83">
      <w:pPr>
        <w:rPr>
          <w:lang w:val="pt-BR"/>
        </w:rPr>
      </w:pPr>
      <w:r w:rsidRPr="00734B50">
        <w:rPr>
          <w:rFonts w:cs="Tahoma"/>
          <w:color w:val="000000"/>
          <w:szCs w:val="18"/>
          <w:lang w:val="pt-BR"/>
        </w:rPr>
        <w:t xml:space="preserve">Yammer Enterprise </w:t>
      </w:r>
    </w:p>
    <w:p w:rsidR="004759C6" w:rsidRPr="00734B50" w:rsidRDefault="004759C6" w:rsidP="004759C6">
      <w:pPr>
        <w:keepNext/>
        <w:tabs>
          <w:tab w:val="num" w:pos="720"/>
        </w:tabs>
        <w:outlineLvl w:val="3"/>
        <w:rPr>
          <w:lang w:val="pt-BR"/>
        </w:rPr>
      </w:pPr>
    </w:p>
    <w:p w:rsidR="004759C6" w:rsidRPr="00734B50" w:rsidRDefault="004759C6" w:rsidP="004759C6">
      <w:pPr>
        <w:spacing w:after="60"/>
        <w:rPr>
          <w:lang w:val="pt-BR"/>
        </w:rPr>
      </w:pPr>
      <w:r w:rsidRPr="00734B50">
        <w:rPr>
          <w:b/>
          <w:lang w:val="pt-BR"/>
        </w:rPr>
        <w:t>Alterações</w:t>
      </w:r>
    </w:p>
    <w:p w:rsidR="00497ADA" w:rsidRPr="00734B50" w:rsidRDefault="00497ADA" w:rsidP="006D5B20">
      <w:pPr>
        <w:rPr>
          <w:lang w:val="pt-BR"/>
        </w:rPr>
      </w:pPr>
      <w:r w:rsidRPr="00734B50">
        <w:rPr>
          <w:rFonts w:cs="Tahoma"/>
          <w:color w:val="000000"/>
          <w:szCs w:val="18"/>
          <w:lang w:val="pt-BR"/>
        </w:rPr>
        <w:t>Dynamics CRM Online</w:t>
      </w:r>
    </w:p>
    <w:p w:rsidR="006D5B20" w:rsidRPr="00734B50" w:rsidRDefault="006D5B20" w:rsidP="006D5B20">
      <w:pPr>
        <w:rPr>
          <w:lang w:val="pt-BR"/>
        </w:rPr>
      </w:pPr>
      <w:r w:rsidRPr="00734B50">
        <w:rPr>
          <w:rFonts w:cs="Tahoma"/>
          <w:color w:val="000000"/>
          <w:szCs w:val="18"/>
          <w:lang w:val="pt-BR"/>
        </w:rPr>
        <w:t>Arquivamento do Exchange Online para Exchange Server</w:t>
      </w:r>
    </w:p>
    <w:p w:rsidR="006D5B20" w:rsidRPr="00734B50" w:rsidRDefault="006D5B20" w:rsidP="006D5B20">
      <w:pPr>
        <w:rPr>
          <w:lang w:val="pt-BR"/>
        </w:rPr>
      </w:pPr>
      <w:r w:rsidRPr="00734B50">
        <w:rPr>
          <w:rFonts w:cs="Tahoma"/>
          <w:color w:val="000000"/>
          <w:szCs w:val="18"/>
          <w:lang w:val="pt-BR"/>
        </w:rPr>
        <w:t>Exchange Online Plano 1 (SL de Usuário)</w:t>
      </w:r>
    </w:p>
    <w:p w:rsidR="006D5B20" w:rsidRPr="00734B50" w:rsidRDefault="006D5B20" w:rsidP="006D5B20">
      <w:pPr>
        <w:rPr>
          <w:lang w:val="pt-BR"/>
        </w:rPr>
      </w:pPr>
      <w:r w:rsidRPr="00734B50">
        <w:rPr>
          <w:rFonts w:cs="Tahoma"/>
          <w:color w:val="000000"/>
          <w:szCs w:val="18"/>
          <w:lang w:val="pt-BR"/>
        </w:rPr>
        <w:t>Exchange Online Plano 2 (SL de Usuário)</w:t>
      </w:r>
    </w:p>
    <w:p w:rsidR="006D5B20" w:rsidRPr="00734B50" w:rsidRDefault="006D5B20" w:rsidP="006D5B20">
      <w:pPr>
        <w:rPr>
          <w:lang w:val="pt-BR"/>
        </w:rPr>
      </w:pPr>
      <w:r w:rsidRPr="00734B50">
        <w:rPr>
          <w:rFonts w:cs="Tahoma"/>
          <w:color w:val="000000"/>
          <w:szCs w:val="18"/>
          <w:lang w:val="pt-BR"/>
        </w:rPr>
        <w:t>Exchange Online Plan 1A para Alunos (SL do Usuário)</w:t>
      </w:r>
    </w:p>
    <w:p w:rsidR="006D5B20" w:rsidRPr="00734B50" w:rsidRDefault="006D5B20" w:rsidP="006D5B20">
      <w:pPr>
        <w:rPr>
          <w:lang w:val="pt-BR"/>
        </w:rPr>
      </w:pPr>
      <w:r w:rsidRPr="00734B50">
        <w:rPr>
          <w:rFonts w:cs="Tahoma"/>
          <w:color w:val="000000"/>
          <w:szCs w:val="18"/>
          <w:lang w:val="pt-BR"/>
        </w:rPr>
        <w:t>Exchange Online Plano 2A (SL de Usuário)</w:t>
      </w:r>
    </w:p>
    <w:p w:rsidR="006D5B20" w:rsidRPr="00734B50" w:rsidRDefault="006D5B20" w:rsidP="006D5B20">
      <w:pPr>
        <w:rPr>
          <w:lang w:val="pt-BR"/>
        </w:rPr>
      </w:pPr>
      <w:r w:rsidRPr="00734B50">
        <w:rPr>
          <w:rFonts w:cs="Tahoma"/>
          <w:color w:val="000000"/>
          <w:szCs w:val="18"/>
          <w:lang w:val="pt-BR"/>
        </w:rPr>
        <w:t>Lync Online Plano 3A (SL de Usuário)</w:t>
      </w:r>
    </w:p>
    <w:p w:rsidR="00497ADA" w:rsidRPr="00734B50" w:rsidRDefault="00497ADA" w:rsidP="006D5B20">
      <w:pPr>
        <w:rPr>
          <w:lang w:val="pt-BR"/>
        </w:rPr>
      </w:pPr>
      <w:r w:rsidRPr="00734B50">
        <w:rPr>
          <w:rFonts w:cs="Tahoma"/>
          <w:color w:val="000000"/>
          <w:szCs w:val="18"/>
          <w:lang w:val="pt-BR"/>
        </w:rPr>
        <w:t>Microsoft Dynamics CRM 2011 Server</w:t>
      </w:r>
    </w:p>
    <w:p w:rsidR="006D5B20" w:rsidRPr="00734B50" w:rsidRDefault="006D5B20" w:rsidP="006D5B20">
      <w:pPr>
        <w:rPr>
          <w:lang w:val="pt-BR"/>
        </w:rPr>
      </w:pPr>
      <w:r w:rsidRPr="00734B50">
        <w:rPr>
          <w:rFonts w:cs="Tahoma"/>
          <w:color w:val="000000"/>
          <w:szCs w:val="18"/>
          <w:lang w:val="pt-BR"/>
        </w:rPr>
        <w:t>Ofertas de Suporte do Microsoft Windows Azure</w:t>
      </w:r>
    </w:p>
    <w:p w:rsidR="006D5B20" w:rsidRPr="00734B50" w:rsidRDefault="006D5B20" w:rsidP="006D5B20">
      <w:pPr>
        <w:rPr>
          <w:lang w:val="pt-BR"/>
        </w:rPr>
      </w:pPr>
      <w:r w:rsidRPr="00734B50">
        <w:rPr>
          <w:rFonts w:cs="Tahoma"/>
          <w:color w:val="000000"/>
          <w:szCs w:val="18"/>
          <w:lang w:val="pt-BR"/>
        </w:rPr>
        <w:t>Office 365 A2 (SL de Usuário)</w:t>
      </w:r>
    </w:p>
    <w:p w:rsidR="006D5B20" w:rsidRPr="00734B50" w:rsidRDefault="006D5B20" w:rsidP="006D5B20">
      <w:pPr>
        <w:rPr>
          <w:lang w:val="pt-BR"/>
        </w:rPr>
      </w:pPr>
      <w:r w:rsidRPr="00734B50">
        <w:rPr>
          <w:rFonts w:cs="Tahoma"/>
          <w:color w:val="000000"/>
          <w:szCs w:val="18"/>
          <w:lang w:val="pt-BR"/>
        </w:rPr>
        <w:t>Office 365 A3 (SL de Usuário)</w:t>
      </w:r>
    </w:p>
    <w:p w:rsidR="006D5B20" w:rsidRPr="00734B50" w:rsidRDefault="006D5B20" w:rsidP="006D5B20">
      <w:pPr>
        <w:rPr>
          <w:lang w:val="pt-BR"/>
        </w:rPr>
      </w:pPr>
      <w:r w:rsidRPr="00734B50">
        <w:rPr>
          <w:rFonts w:cs="Tahoma"/>
          <w:color w:val="000000"/>
          <w:szCs w:val="18"/>
          <w:lang w:val="pt-BR"/>
        </w:rPr>
        <w:t>Office 365 A4 (SL de Usuário)</w:t>
      </w:r>
    </w:p>
    <w:p w:rsidR="006D5B20" w:rsidRPr="00734B50" w:rsidRDefault="006D5B20" w:rsidP="006D5B20">
      <w:pPr>
        <w:rPr>
          <w:lang w:val="pt-BR"/>
        </w:rPr>
      </w:pPr>
      <w:r w:rsidRPr="00734B50">
        <w:rPr>
          <w:rFonts w:cs="Tahoma"/>
          <w:color w:val="000000"/>
          <w:szCs w:val="18"/>
          <w:lang w:val="pt-BR"/>
        </w:rPr>
        <w:t>Assinatura A do Office Professional Plus (SL de Usuário)</w:t>
      </w:r>
    </w:p>
    <w:p w:rsidR="006D5B20" w:rsidRPr="00734B50" w:rsidRDefault="006D5B20" w:rsidP="006D5B20">
      <w:pPr>
        <w:rPr>
          <w:lang w:val="pt-BR"/>
        </w:rPr>
      </w:pPr>
      <w:r w:rsidRPr="00734B50">
        <w:rPr>
          <w:rFonts w:cs="Tahoma"/>
          <w:color w:val="000000"/>
          <w:szCs w:val="18"/>
          <w:lang w:val="pt-BR"/>
        </w:rPr>
        <w:t>Aplicativos da Web do Office com SharePoint Plano 2A (SL do Usuário)</w:t>
      </w:r>
    </w:p>
    <w:p w:rsidR="006D5B20" w:rsidRPr="00734B50" w:rsidRDefault="006D5B20" w:rsidP="006D6A83">
      <w:pPr>
        <w:rPr>
          <w:lang w:val="pt-BR"/>
        </w:rPr>
      </w:pPr>
      <w:r w:rsidRPr="00734B50">
        <w:rPr>
          <w:rFonts w:cs="Tahoma"/>
          <w:color w:val="000000"/>
          <w:szCs w:val="18"/>
          <w:lang w:val="pt-BR"/>
        </w:rPr>
        <w:t>Armazenamento Extra do SharePoint™ Online de A 1 GB (SL Complementar)</w:t>
      </w:r>
    </w:p>
    <w:p w:rsidR="00170CFB" w:rsidRPr="00734B50" w:rsidRDefault="00170CFB" w:rsidP="006D6A83">
      <w:pPr>
        <w:rPr>
          <w:lang w:val="pt-BR"/>
        </w:rPr>
      </w:pPr>
      <w:r w:rsidRPr="00734B50">
        <w:rPr>
          <w:rFonts w:cs="Tahoma"/>
          <w:color w:val="000000"/>
          <w:szCs w:val="18"/>
          <w:lang w:val="pt-BR"/>
        </w:rPr>
        <w:t>Licença de Gerenciamento de Servidor Enterprise do System Center Configuration Manager 2007 R3</w:t>
      </w:r>
    </w:p>
    <w:p w:rsidR="00170CFB" w:rsidRPr="00734B50" w:rsidRDefault="00170CFB" w:rsidP="006D6A83">
      <w:pPr>
        <w:rPr>
          <w:lang w:val="pt-BR"/>
        </w:rPr>
      </w:pPr>
      <w:r w:rsidRPr="00734B50">
        <w:rPr>
          <w:rFonts w:cs="Tahoma"/>
          <w:color w:val="000000"/>
          <w:szCs w:val="18"/>
          <w:lang w:val="pt-BR"/>
        </w:rPr>
        <w:lastRenderedPageBreak/>
        <w:t>Licença de Gerenciamento de Servidor Standard (ML de Servidor Standard) do System Center Configuration</w:t>
      </w:r>
      <w:r w:rsidR="00FA5300" w:rsidRPr="00734B50">
        <w:rPr>
          <w:rFonts w:cs="Tahoma"/>
          <w:color w:val="000000"/>
          <w:szCs w:val="18"/>
          <w:lang w:val="pt-BR"/>
        </w:rPr>
        <w:t> </w:t>
      </w:r>
      <w:r w:rsidRPr="00734B50">
        <w:rPr>
          <w:rFonts w:cs="Tahoma"/>
          <w:color w:val="000000"/>
          <w:szCs w:val="18"/>
          <w:lang w:val="pt-BR"/>
        </w:rPr>
        <w:t>Manager</w:t>
      </w:r>
      <w:r w:rsidR="00FA5300" w:rsidRPr="00734B50">
        <w:rPr>
          <w:rFonts w:cs="Tahoma"/>
          <w:color w:val="000000"/>
          <w:szCs w:val="18"/>
          <w:lang w:val="pt-BR"/>
        </w:rPr>
        <w:t> </w:t>
      </w:r>
      <w:r w:rsidRPr="00734B50">
        <w:rPr>
          <w:rFonts w:cs="Tahoma"/>
          <w:color w:val="000000"/>
          <w:szCs w:val="18"/>
          <w:lang w:val="pt-BR"/>
        </w:rPr>
        <w:t>2007 R3)</w:t>
      </w:r>
    </w:p>
    <w:p w:rsidR="00170CFB" w:rsidRPr="00734B50" w:rsidRDefault="00170CFB" w:rsidP="006D6A83">
      <w:pPr>
        <w:rPr>
          <w:lang w:val="pt-BR"/>
        </w:rPr>
      </w:pPr>
      <w:r w:rsidRPr="00734B50">
        <w:rPr>
          <w:rFonts w:cs="Tahoma"/>
          <w:color w:val="000000"/>
          <w:szCs w:val="18"/>
          <w:lang w:val="pt-BR"/>
        </w:rPr>
        <w:t>Licença de Gerenciamento de Servidor Enterprise do System Center Data Protection Manager 2010</w:t>
      </w:r>
    </w:p>
    <w:p w:rsidR="00170CFB" w:rsidRPr="00734B50" w:rsidRDefault="00170CFB" w:rsidP="006D6A83">
      <w:pPr>
        <w:rPr>
          <w:lang w:val="pt-BR"/>
        </w:rPr>
      </w:pPr>
      <w:r w:rsidRPr="00734B50">
        <w:rPr>
          <w:rFonts w:cs="Tahoma"/>
          <w:color w:val="000000"/>
          <w:szCs w:val="18"/>
          <w:lang w:val="pt-BR"/>
        </w:rPr>
        <w:t>Licença de Gerenciamento de Servidor Standard do System Center Data Protection Manager 2010</w:t>
      </w:r>
    </w:p>
    <w:p w:rsidR="00170CFB" w:rsidRPr="00734B50" w:rsidRDefault="00170CFB" w:rsidP="006D6A83">
      <w:pPr>
        <w:rPr>
          <w:lang w:val="pt-BR"/>
        </w:rPr>
      </w:pPr>
      <w:r w:rsidRPr="00734B50">
        <w:rPr>
          <w:rFonts w:cs="Tahoma"/>
          <w:color w:val="000000"/>
          <w:szCs w:val="18"/>
          <w:lang w:val="pt-BR"/>
        </w:rPr>
        <w:t>Licença de Gerenciamento de Cliente do System Center Operations Manager 2007 R2 por Usuário</w:t>
      </w:r>
    </w:p>
    <w:p w:rsidR="00170CFB" w:rsidRPr="00734B50" w:rsidRDefault="00170CFB" w:rsidP="006D6A83">
      <w:pPr>
        <w:rPr>
          <w:lang w:val="pt-BR"/>
        </w:rPr>
      </w:pPr>
      <w:r w:rsidRPr="00734B50">
        <w:rPr>
          <w:rFonts w:cs="Tahoma"/>
          <w:color w:val="000000"/>
          <w:szCs w:val="18"/>
          <w:lang w:val="pt-BR"/>
        </w:rPr>
        <w:t>Licença de Gerenciamento de Cliente do System Center Operations Manager 2007 R2 por OSE</w:t>
      </w:r>
    </w:p>
    <w:p w:rsidR="00170CFB" w:rsidRPr="00734B50" w:rsidRDefault="00170CFB" w:rsidP="006D6A83">
      <w:pPr>
        <w:rPr>
          <w:lang w:val="pt-BR"/>
        </w:rPr>
      </w:pPr>
      <w:r w:rsidRPr="00734B50">
        <w:rPr>
          <w:rFonts w:cs="Tahoma"/>
          <w:color w:val="000000"/>
          <w:szCs w:val="18"/>
          <w:lang w:val="pt-BR"/>
        </w:rPr>
        <w:t>Licença de Gerenciamento de Servidor Enterprise do System Center Operations Manager 2007 R2</w:t>
      </w:r>
    </w:p>
    <w:p w:rsidR="00170CFB" w:rsidRPr="00734B50" w:rsidRDefault="00170CFB" w:rsidP="006D6A83">
      <w:pPr>
        <w:rPr>
          <w:lang w:val="pt-BR"/>
        </w:rPr>
      </w:pPr>
      <w:r w:rsidRPr="00734B50">
        <w:rPr>
          <w:rFonts w:cs="Tahoma"/>
          <w:color w:val="000000"/>
          <w:szCs w:val="18"/>
          <w:lang w:val="pt-BR"/>
        </w:rPr>
        <w:t>Licença de Gerenciamento de Servidor Standard do System Center Operations Manager 2007 R2</w:t>
      </w:r>
    </w:p>
    <w:p w:rsidR="00170CFB" w:rsidRPr="00734B50" w:rsidRDefault="00170CFB" w:rsidP="006D6A83">
      <w:pPr>
        <w:rPr>
          <w:lang w:val="pt-BR"/>
        </w:rPr>
      </w:pPr>
      <w:r w:rsidRPr="00734B50">
        <w:rPr>
          <w:rFonts w:cs="Tahoma"/>
          <w:color w:val="000000"/>
          <w:szCs w:val="18"/>
          <w:lang w:val="pt-BR"/>
        </w:rPr>
        <w:t>Licença de Gerenciamento de Cliente (ML de Cliente) do System Center Service Manager 2010 por Usuário</w:t>
      </w:r>
    </w:p>
    <w:p w:rsidR="00170CFB" w:rsidRPr="00734B50" w:rsidRDefault="00170CFB" w:rsidP="006D6A83">
      <w:pPr>
        <w:rPr>
          <w:lang w:val="pt-BR"/>
        </w:rPr>
      </w:pPr>
      <w:r w:rsidRPr="00734B50">
        <w:rPr>
          <w:rFonts w:cs="Tahoma"/>
          <w:color w:val="000000"/>
          <w:szCs w:val="18"/>
          <w:lang w:val="pt-BR"/>
        </w:rPr>
        <w:t>Licença de Gerenciamento de Cliente (ML de Cliente) do System Center Service Manager 2010 por OSE</w:t>
      </w:r>
    </w:p>
    <w:p w:rsidR="00170CFB" w:rsidRPr="00734B50" w:rsidRDefault="00170CFB" w:rsidP="006D6A83">
      <w:pPr>
        <w:rPr>
          <w:lang w:val="pt-BR"/>
        </w:rPr>
      </w:pPr>
      <w:r w:rsidRPr="00734B50">
        <w:rPr>
          <w:rFonts w:cs="Tahoma"/>
          <w:color w:val="000000"/>
          <w:szCs w:val="18"/>
          <w:lang w:val="pt-BR"/>
        </w:rPr>
        <w:t>Licença de Gerenciamento de Servidor (ML de Servidor) do System Center Service Manager 2010 por OSE</w:t>
      </w:r>
    </w:p>
    <w:p w:rsidR="00170CFB" w:rsidRPr="00734B50" w:rsidRDefault="00170CFB" w:rsidP="006D6A83">
      <w:pPr>
        <w:rPr>
          <w:lang w:val="pt-BR"/>
        </w:rPr>
      </w:pPr>
      <w:r w:rsidRPr="00734B50">
        <w:rPr>
          <w:rFonts w:cs="Tahoma"/>
          <w:color w:val="000000"/>
          <w:szCs w:val="18"/>
          <w:lang w:val="pt-BR"/>
        </w:rPr>
        <w:t>Licença de Gerenciamento de Cliente do System Center Virtual Machine Manager 2008 R2 por Usuário</w:t>
      </w:r>
    </w:p>
    <w:p w:rsidR="00170CFB" w:rsidRPr="00734B50" w:rsidRDefault="00170CFB" w:rsidP="006D6A83">
      <w:pPr>
        <w:rPr>
          <w:lang w:val="pt-BR"/>
        </w:rPr>
      </w:pPr>
      <w:r w:rsidRPr="00734B50">
        <w:rPr>
          <w:rFonts w:cs="Tahoma"/>
          <w:color w:val="000000"/>
          <w:szCs w:val="18"/>
          <w:lang w:val="pt-BR"/>
        </w:rPr>
        <w:t>Licença de Gerenciamento de Cliente do System Center Virtual Machine Manager 2008 R2 por OSE</w:t>
      </w:r>
    </w:p>
    <w:p w:rsidR="00170CFB" w:rsidRPr="00734B50" w:rsidRDefault="00170CFB" w:rsidP="006D6A83">
      <w:pPr>
        <w:rPr>
          <w:lang w:val="pt-BR"/>
        </w:rPr>
      </w:pPr>
      <w:r w:rsidRPr="00734B50">
        <w:rPr>
          <w:rFonts w:cs="Tahoma"/>
          <w:color w:val="000000"/>
          <w:szCs w:val="18"/>
          <w:lang w:val="pt-BR"/>
        </w:rPr>
        <w:t>Licença de Gerenciamento de Servidor Enterprise do System Center Virtual Machine Manager 2008 R2</w:t>
      </w:r>
    </w:p>
    <w:p w:rsidR="0064651F" w:rsidRPr="00734B50" w:rsidRDefault="00497ADA">
      <w:pPr>
        <w:rPr>
          <w:lang w:val="pt-BR"/>
        </w:rPr>
      </w:pPr>
      <w:r w:rsidRPr="00734B50">
        <w:rPr>
          <w:rFonts w:cs="Tahoma"/>
          <w:color w:val="000000"/>
          <w:szCs w:val="18"/>
          <w:lang w:val="pt-BR"/>
        </w:rPr>
        <w:t>SL de Usuário do Windows Intune</w:t>
      </w:r>
    </w:p>
    <w:p w:rsidR="0064651F" w:rsidRPr="00734B50" w:rsidRDefault="0064651F">
      <w:pPr>
        <w:rPr>
          <w:lang w:val="pt-BR"/>
        </w:rPr>
      </w:pPr>
    </w:p>
    <w:p w:rsidR="004759C6" w:rsidRPr="00734B50" w:rsidRDefault="004759C6" w:rsidP="0064651F">
      <w:pPr>
        <w:keepNext/>
        <w:tabs>
          <w:tab w:val="num" w:pos="720"/>
        </w:tabs>
        <w:spacing w:after="60"/>
        <w:outlineLvl w:val="3"/>
        <w:rPr>
          <w:lang w:val="pt-BR"/>
        </w:rPr>
      </w:pPr>
      <w:r w:rsidRPr="00734B50">
        <w:rPr>
          <w:b/>
          <w:lang w:val="pt-BR"/>
        </w:rPr>
        <w:t>Exclusões</w:t>
      </w:r>
    </w:p>
    <w:p w:rsidR="006D5B20" w:rsidRPr="00734B50" w:rsidRDefault="006D5B20" w:rsidP="006D5B20">
      <w:pPr>
        <w:rPr>
          <w:lang w:val="pt-BR"/>
        </w:rPr>
      </w:pPr>
      <w:r w:rsidRPr="00734B50">
        <w:rPr>
          <w:rFonts w:cs="Tahoma"/>
          <w:color w:val="000000"/>
          <w:szCs w:val="18"/>
          <w:lang w:val="pt-BR"/>
        </w:rPr>
        <w:t>Expression Studio Professional 4</w:t>
      </w:r>
    </w:p>
    <w:p w:rsidR="006D5B20" w:rsidRPr="00734B50" w:rsidRDefault="006D5B20" w:rsidP="006D5B20">
      <w:pPr>
        <w:rPr>
          <w:lang w:val="pt-BR"/>
        </w:rPr>
      </w:pPr>
      <w:r w:rsidRPr="00734B50">
        <w:rPr>
          <w:rFonts w:cs="Tahoma"/>
          <w:color w:val="000000"/>
          <w:szCs w:val="18"/>
          <w:lang w:val="pt-BR"/>
        </w:rPr>
        <w:t>Expression Studio Ultimate 4</w:t>
      </w:r>
    </w:p>
    <w:p w:rsidR="006D5B20" w:rsidRPr="00734B50" w:rsidRDefault="006D5B20" w:rsidP="006D5B20">
      <w:pPr>
        <w:rPr>
          <w:lang w:val="pt-BR"/>
        </w:rPr>
      </w:pPr>
      <w:r w:rsidRPr="00734B50">
        <w:rPr>
          <w:rFonts w:cs="Tahoma"/>
          <w:color w:val="000000"/>
          <w:szCs w:val="18"/>
          <w:lang w:val="pt-BR"/>
        </w:rPr>
        <w:t>Aplicativos da Web do Office A (SL do Usuário)</w:t>
      </w:r>
    </w:p>
    <w:p w:rsidR="006D5B20" w:rsidRPr="00653421" w:rsidRDefault="006D5B20" w:rsidP="006D5B20">
      <w:r w:rsidRPr="00653421">
        <w:rPr>
          <w:rFonts w:cs="Tahoma"/>
          <w:color w:val="000000"/>
          <w:szCs w:val="18"/>
        </w:rPr>
        <w:t>SQL Server</w:t>
      </w:r>
      <w:r w:rsidRPr="00653421">
        <w:rPr>
          <w:rFonts w:cs="Tahoma"/>
          <w:color w:val="000000"/>
          <w:szCs w:val="18"/>
          <w:vertAlign w:val="superscript"/>
        </w:rPr>
        <w:t>®</w:t>
      </w:r>
      <w:r w:rsidRPr="00653421">
        <w:rPr>
          <w:rFonts w:cs="Tahoma"/>
          <w:color w:val="000000"/>
          <w:szCs w:val="18"/>
        </w:rPr>
        <w:t xml:space="preserve"> 2008 R2 Parallel Data Warehouse</w:t>
      </w:r>
    </w:p>
    <w:p w:rsidR="006D5B20" w:rsidRPr="00653421" w:rsidRDefault="006D5B20" w:rsidP="006D5B20">
      <w:r w:rsidRPr="00653421">
        <w:rPr>
          <w:rFonts w:cs="Tahoma"/>
          <w:color w:val="000000"/>
          <w:szCs w:val="18"/>
        </w:rPr>
        <w:t>SQL Server</w:t>
      </w:r>
      <w:r w:rsidRPr="00653421">
        <w:rPr>
          <w:rFonts w:cs="Tahoma"/>
          <w:color w:val="000000"/>
          <w:szCs w:val="18"/>
          <w:vertAlign w:val="superscript"/>
        </w:rPr>
        <w:t>®</w:t>
      </w:r>
      <w:r w:rsidRPr="00653421">
        <w:rPr>
          <w:rFonts w:cs="Tahoma"/>
          <w:color w:val="000000"/>
          <w:szCs w:val="18"/>
        </w:rPr>
        <w:t xml:space="preserve"> 2008 R2 Parallel Data Warehouse Developer</w:t>
      </w:r>
    </w:p>
    <w:p w:rsidR="00170CFB" w:rsidRPr="00653421" w:rsidRDefault="00170CFB" w:rsidP="006D6A83">
      <w:r w:rsidRPr="00653421">
        <w:rPr>
          <w:rFonts w:cs="Tahoma"/>
          <w:color w:val="000000"/>
          <w:szCs w:val="18"/>
        </w:rPr>
        <w:t>System Center Configuration Manager 2007 R3</w:t>
      </w:r>
    </w:p>
    <w:p w:rsidR="00170CFB" w:rsidRPr="00734B50" w:rsidRDefault="00170CFB" w:rsidP="006D6A83">
      <w:pPr>
        <w:rPr>
          <w:lang w:val="pt-BR"/>
        </w:rPr>
      </w:pPr>
      <w:r w:rsidRPr="00734B50">
        <w:rPr>
          <w:rFonts w:cs="Tahoma"/>
          <w:color w:val="000000"/>
          <w:szCs w:val="18"/>
          <w:lang w:val="pt-BR"/>
        </w:rPr>
        <w:t>System Center Configuration Manager 2007 R3 com Tecnologia SQL Server 2008</w:t>
      </w:r>
    </w:p>
    <w:p w:rsidR="00170CFB" w:rsidRPr="00734B50" w:rsidRDefault="00170CFB" w:rsidP="006D6A83">
      <w:pPr>
        <w:rPr>
          <w:lang w:val="pt-BR"/>
        </w:rPr>
      </w:pPr>
      <w:r w:rsidRPr="00734B50">
        <w:rPr>
          <w:rFonts w:cs="Tahoma"/>
          <w:color w:val="000000"/>
          <w:szCs w:val="18"/>
          <w:lang w:val="pt-BR"/>
        </w:rPr>
        <w:t>Licença de Gerenciamento de Cliente do System Center Data Protection Manager 2010 por Usuário</w:t>
      </w:r>
    </w:p>
    <w:p w:rsidR="00170CFB" w:rsidRPr="00734B50" w:rsidRDefault="00170CFB" w:rsidP="006D6A83">
      <w:pPr>
        <w:rPr>
          <w:lang w:val="pt-BR"/>
        </w:rPr>
      </w:pPr>
      <w:r w:rsidRPr="00734B50">
        <w:rPr>
          <w:rFonts w:cs="Tahoma"/>
          <w:color w:val="000000"/>
          <w:szCs w:val="18"/>
          <w:lang w:val="pt-BR"/>
        </w:rPr>
        <w:t>Licença de Gerenciamento de Cliente do System Center Data Protection Manager 2010 por OSE</w:t>
      </w:r>
    </w:p>
    <w:p w:rsidR="00170CFB" w:rsidRPr="00734B50" w:rsidRDefault="00170CFB" w:rsidP="006D6A83">
      <w:pPr>
        <w:rPr>
          <w:lang w:val="pt-BR"/>
        </w:rPr>
      </w:pPr>
      <w:r w:rsidRPr="00734B50">
        <w:rPr>
          <w:rFonts w:cs="Tahoma"/>
          <w:color w:val="000000"/>
          <w:szCs w:val="18"/>
          <w:lang w:val="pt-BR"/>
        </w:rPr>
        <w:t>System Center Operations Manager 2007 R2</w:t>
      </w:r>
    </w:p>
    <w:p w:rsidR="00170CFB" w:rsidRPr="00734B50" w:rsidRDefault="00170CFB" w:rsidP="006D6A83">
      <w:pPr>
        <w:rPr>
          <w:lang w:val="pt-BR"/>
        </w:rPr>
      </w:pPr>
      <w:r w:rsidRPr="00734B50">
        <w:rPr>
          <w:rFonts w:cs="Tahoma"/>
          <w:color w:val="000000"/>
          <w:szCs w:val="18"/>
          <w:lang w:val="pt-BR"/>
        </w:rPr>
        <w:t>System Center Operations Manager 2007 R2 com Tecnologia SQL Server 2008</w:t>
      </w:r>
    </w:p>
    <w:p w:rsidR="00170CFB" w:rsidRPr="00734B50" w:rsidRDefault="00170CFB" w:rsidP="006D6A83">
      <w:pPr>
        <w:rPr>
          <w:lang w:val="pt-BR"/>
        </w:rPr>
      </w:pPr>
      <w:r w:rsidRPr="00734B50">
        <w:rPr>
          <w:rFonts w:cs="Tahoma"/>
          <w:color w:val="000000"/>
          <w:szCs w:val="18"/>
          <w:lang w:val="pt-BR"/>
        </w:rPr>
        <w:t>System Center Service Manager 2010</w:t>
      </w:r>
    </w:p>
    <w:p w:rsidR="00170CFB" w:rsidRPr="00734B50" w:rsidRDefault="00170CFB" w:rsidP="006D6A83">
      <w:pPr>
        <w:rPr>
          <w:lang w:val="pt-BR"/>
        </w:rPr>
      </w:pPr>
      <w:r w:rsidRPr="00734B50">
        <w:rPr>
          <w:rFonts w:cs="Tahoma"/>
          <w:color w:val="000000"/>
          <w:szCs w:val="18"/>
          <w:lang w:val="pt-BR"/>
        </w:rPr>
        <w:t>System Center Service Manager 2010 com Tecnologia SQL Server 2008</w:t>
      </w:r>
    </w:p>
    <w:p w:rsidR="00170CFB" w:rsidRPr="00734B50" w:rsidRDefault="00170CFB" w:rsidP="006D6A83">
      <w:pPr>
        <w:rPr>
          <w:lang w:val="pt-BR"/>
        </w:rPr>
      </w:pPr>
      <w:r w:rsidRPr="00734B50">
        <w:rPr>
          <w:rFonts w:cs="Tahoma"/>
          <w:color w:val="000000"/>
          <w:szCs w:val="18"/>
          <w:lang w:val="pt-BR"/>
        </w:rPr>
        <w:t>System Center Essentials 2010</w:t>
      </w:r>
    </w:p>
    <w:p w:rsidR="00170CFB" w:rsidRPr="00734B50" w:rsidRDefault="00170CFB" w:rsidP="006D6A83">
      <w:pPr>
        <w:rPr>
          <w:lang w:val="pt-BR"/>
        </w:rPr>
      </w:pPr>
      <w:r w:rsidRPr="00734B50">
        <w:rPr>
          <w:rFonts w:cs="Tahoma"/>
          <w:color w:val="000000"/>
          <w:szCs w:val="18"/>
          <w:lang w:val="pt-BR"/>
        </w:rPr>
        <w:t>ML de Cliente do System Center Essentials 2010</w:t>
      </w:r>
    </w:p>
    <w:p w:rsidR="00170CFB" w:rsidRPr="00734B50" w:rsidRDefault="00170CFB" w:rsidP="006D6A83">
      <w:pPr>
        <w:rPr>
          <w:lang w:val="pt-BR"/>
        </w:rPr>
      </w:pPr>
      <w:r w:rsidRPr="00734B50">
        <w:rPr>
          <w:rFonts w:cs="Tahoma"/>
          <w:color w:val="000000"/>
          <w:szCs w:val="18"/>
          <w:lang w:val="pt-BR"/>
        </w:rPr>
        <w:t>ML de Servidor do System Center Essentials 2010</w:t>
      </w:r>
    </w:p>
    <w:p w:rsidR="00170CFB" w:rsidRPr="00734B50" w:rsidRDefault="00170CFB" w:rsidP="006D6A83">
      <w:pPr>
        <w:rPr>
          <w:lang w:val="pt-BR"/>
        </w:rPr>
      </w:pPr>
      <w:r w:rsidRPr="00734B50">
        <w:rPr>
          <w:rFonts w:cs="Tahoma"/>
          <w:color w:val="000000"/>
          <w:szCs w:val="18"/>
          <w:lang w:val="pt-BR"/>
        </w:rPr>
        <w:t xml:space="preserve">System Center Essentials 2010 com Tecnologia SQL Server 2008 </w:t>
      </w:r>
    </w:p>
    <w:p w:rsidR="00170CFB" w:rsidRPr="00734B50" w:rsidRDefault="00170CFB" w:rsidP="006D6A83">
      <w:pPr>
        <w:rPr>
          <w:lang w:val="fr-FR"/>
        </w:rPr>
      </w:pPr>
      <w:r w:rsidRPr="00734B50">
        <w:rPr>
          <w:rFonts w:cs="Tahoma"/>
          <w:color w:val="000000"/>
          <w:szCs w:val="18"/>
          <w:lang w:val="fr-FR"/>
        </w:rPr>
        <w:t>Management License Suite do System Center Essentials Plus 2010 Client</w:t>
      </w:r>
    </w:p>
    <w:p w:rsidR="00170CFB" w:rsidRPr="00734B50" w:rsidRDefault="00170CFB" w:rsidP="006D6A83">
      <w:pPr>
        <w:rPr>
          <w:lang w:val="fr-FR"/>
        </w:rPr>
      </w:pPr>
      <w:r w:rsidRPr="00734B50">
        <w:rPr>
          <w:rFonts w:cs="Tahoma"/>
          <w:color w:val="000000"/>
          <w:szCs w:val="18"/>
          <w:lang w:val="fr-FR"/>
        </w:rPr>
        <w:t>Management License Suite do System Center Essentials Plus 2010 Server</w:t>
      </w:r>
    </w:p>
    <w:p w:rsidR="00170CFB" w:rsidRPr="00653421" w:rsidRDefault="00170CFB" w:rsidP="006D6A83">
      <w:r w:rsidRPr="00653421">
        <w:rPr>
          <w:rFonts w:cs="Tahoma"/>
          <w:color w:val="000000"/>
          <w:szCs w:val="18"/>
        </w:rPr>
        <w:t>System Center Virtual Machine Manager 2008 R2 Workgroup Edition</w:t>
      </w:r>
    </w:p>
    <w:p w:rsidR="00170CFB" w:rsidRPr="00734B50" w:rsidRDefault="00170CFB" w:rsidP="006D6A83">
      <w:pPr>
        <w:rPr>
          <w:lang w:val="pt-BR"/>
        </w:rPr>
      </w:pPr>
      <w:r w:rsidRPr="00734B50">
        <w:rPr>
          <w:rFonts w:cs="Tahoma"/>
          <w:color w:val="000000"/>
          <w:szCs w:val="18"/>
          <w:lang w:val="pt-BR"/>
        </w:rPr>
        <w:t>External Connector do Visual Studio</w:t>
      </w:r>
      <w:r w:rsidRPr="00734B50">
        <w:rPr>
          <w:rFonts w:cs="Tahoma"/>
          <w:color w:val="000000"/>
          <w:szCs w:val="18"/>
          <w:vertAlign w:val="superscript"/>
          <w:lang w:val="pt-BR"/>
        </w:rPr>
        <w:t>®</w:t>
      </w:r>
      <w:r w:rsidRPr="00734B50">
        <w:rPr>
          <w:rFonts w:cs="Tahoma"/>
          <w:color w:val="000000"/>
          <w:szCs w:val="18"/>
          <w:lang w:val="pt-BR"/>
        </w:rPr>
        <w:t xml:space="preserve"> Team Foundation Server 2012</w:t>
      </w:r>
    </w:p>
    <w:p w:rsidR="004759C6" w:rsidRPr="00734B50" w:rsidRDefault="004759C6" w:rsidP="007E466C">
      <w:pPr>
        <w:rPr>
          <w:lang w:val="pt-BR"/>
        </w:rPr>
      </w:pPr>
    </w:p>
    <w:p w:rsidR="0064651F" w:rsidRPr="00734B50" w:rsidRDefault="0064651F" w:rsidP="0064651F">
      <w:pPr>
        <w:rPr>
          <w:lang w:val="pt-BR"/>
        </w:rPr>
      </w:pPr>
    </w:p>
    <w:p w:rsidR="00243B33" w:rsidRPr="00734B50" w:rsidRDefault="000225E7" w:rsidP="00243B33">
      <w:pPr>
        <w:pStyle w:val="Heading2"/>
        <w:ind w:left="0"/>
        <w:jc w:val="both"/>
        <w:rPr>
          <w:lang w:val="pt-BR"/>
        </w:rPr>
      </w:pPr>
      <w:bookmarkStart w:id="624" w:name="_Toc353470818"/>
      <w:r w:rsidRPr="00734B50">
        <w:rPr>
          <w:rFonts w:ascii="Tahoma" w:hAnsi="Tahoma" w:cs="Tahoma"/>
          <w:color w:val="FF6600"/>
          <w:lang w:val="pt-BR"/>
        </w:rPr>
        <w:t>ALTERAÇÕES EM FEVEREIRO DE 2013</w:t>
      </w:r>
      <w:bookmarkEnd w:id="624"/>
    </w:p>
    <w:p w:rsidR="00243B33" w:rsidRPr="00734B50" w:rsidRDefault="00243B33" w:rsidP="00E06050">
      <w:pPr>
        <w:pStyle w:val="Heading2"/>
        <w:ind w:left="0"/>
        <w:jc w:val="both"/>
        <w:rPr>
          <w:lang w:val="pt-BR"/>
        </w:rPr>
      </w:pPr>
    </w:p>
    <w:p w:rsidR="00662A44" w:rsidRPr="00734B50" w:rsidRDefault="00662A44" w:rsidP="00662A44">
      <w:pPr>
        <w:spacing w:after="60"/>
        <w:rPr>
          <w:lang w:val="pt-BR"/>
        </w:rPr>
      </w:pPr>
      <w:r w:rsidRPr="00734B50">
        <w:rPr>
          <w:b/>
          <w:lang w:val="pt-BR"/>
        </w:rPr>
        <w:t>Adições</w:t>
      </w:r>
    </w:p>
    <w:p w:rsidR="00662A44" w:rsidRPr="00734B50" w:rsidRDefault="00662A44" w:rsidP="00662A44">
      <w:pPr>
        <w:rPr>
          <w:lang w:val="pt-BR"/>
        </w:rPr>
      </w:pPr>
      <w:r w:rsidRPr="00734B50">
        <w:rPr>
          <w:rFonts w:cs="Tahoma"/>
          <w:color w:val="000000"/>
          <w:szCs w:val="18"/>
          <w:lang w:val="pt-BR"/>
        </w:rPr>
        <w:t xml:space="preserve">CAL Empresarial Aditiva do Microsoft </w:t>
      </w:r>
      <w:r w:rsidRPr="00734B50">
        <w:rPr>
          <w:rFonts w:cs="Tahoma"/>
          <w:color w:val="000000"/>
          <w:szCs w:val="20"/>
          <w:lang w:val="pt-BR"/>
        </w:rPr>
        <w:t>Dynamics AX 2012 R2 (Usuário e Dispositivo)</w:t>
      </w:r>
    </w:p>
    <w:p w:rsidR="00662A44" w:rsidRPr="00734B50" w:rsidRDefault="00662A44" w:rsidP="00662A44">
      <w:pPr>
        <w:rPr>
          <w:lang w:val="pt-BR"/>
        </w:rPr>
      </w:pPr>
      <w:r w:rsidRPr="00734B50">
        <w:rPr>
          <w:rFonts w:cs="Tahoma"/>
          <w:color w:val="000000"/>
          <w:szCs w:val="18"/>
          <w:lang w:val="pt-BR"/>
        </w:rPr>
        <w:t xml:space="preserve">CAL Empresarial do Microsoft </w:t>
      </w:r>
      <w:r w:rsidRPr="00734B50">
        <w:rPr>
          <w:rFonts w:cs="Tahoma"/>
          <w:color w:val="000000"/>
          <w:szCs w:val="20"/>
          <w:lang w:val="pt-BR"/>
        </w:rPr>
        <w:t>Dynamics AX 2012 R2 (Usuário e Dispositivo)</w:t>
      </w:r>
    </w:p>
    <w:p w:rsidR="00662A44" w:rsidRPr="00734B50" w:rsidRDefault="00662A44" w:rsidP="00662A44">
      <w:pPr>
        <w:rPr>
          <w:lang w:val="pt-BR"/>
        </w:rPr>
      </w:pPr>
      <w:r w:rsidRPr="00734B50">
        <w:rPr>
          <w:rFonts w:cs="Tahoma"/>
          <w:color w:val="000000"/>
          <w:szCs w:val="18"/>
          <w:lang w:val="pt-BR"/>
        </w:rPr>
        <w:t xml:space="preserve">CAL Aditiva Funcional do Microsoft </w:t>
      </w:r>
      <w:r w:rsidRPr="00734B50">
        <w:rPr>
          <w:rFonts w:cs="Tahoma"/>
          <w:color w:val="000000"/>
          <w:szCs w:val="20"/>
          <w:lang w:val="pt-BR"/>
        </w:rPr>
        <w:t>Dynamics AX 2012 R2 (Usuário e Dispositivo)</w:t>
      </w:r>
    </w:p>
    <w:p w:rsidR="00662A44" w:rsidRPr="00734B50" w:rsidRDefault="00662A44" w:rsidP="00662A44">
      <w:pPr>
        <w:rPr>
          <w:lang w:val="pt-BR"/>
        </w:rPr>
      </w:pPr>
      <w:r w:rsidRPr="00734B50">
        <w:rPr>
          <w:rFonts w:cs="Tahoma"/>
          <w:color w:val="000000"/>
          <w:szCs w:val="18"/>
          <w:lang w:val="pt-BR"/>
        </w:rPr>
        <w:t xml:space="preserve">CAL Funcional do Microsoft </w:t>
      </w:r>
      <w:r w:rsidRPr="00734B50">
        <w:rPr>
          <w:rFonts w:cs="Tahoma"/>
          <w:color w:val="000000"/>
          <w:szCs w:val="20"/>
          <w:lang w:val="pt-BR"/>
        </w:rPr>
        <w:t>Dynamics AX 2012 R2 (Usuário e Dispositivo)</w:t>
      </w:r>
    </w:p>
    <w:p w:rsidR="00662A44" w:rsidRPr="00734B50" w:rsidRDefault="00662A44" w:rsidP="00662A44">
      <w:pPr>
        <w:rPr>
          <w:lang w:val="pt-BR"/>
        </w:rPr>
      </w:pPr>
      <w:r w:rsidRPr="00734B50">
        <w:rPr>
          <w:rFonts w:cs="Tahoma"/>
          <w:color w:val="000000"/>
          <w:szCs w:val="18"/>
          <w:lang w:val="pt-BR"/>
        </w:rPr>
        <w:t xml:space="preserve">CAL de Autoatendimento do Microsoft </w:t>
      </w:r>
      <w:r w:rsidRPr="00734B50">
        <w:rPr>
          <w:rFonts w:cs="Tahoma"/>
          <w:color w:val="000000"/>
          <w:szCs w:val="20"/>
          <w:lang w:val="pt-BR"/>
        </w:rPr>
        <w:t>Dynamics AX 2012 R2 (Usuário e Dispositivo)</w:t>
      </w:r>
    </w:p>
    <w:p w:rsidR="00662A44" w:rsidRPr="00734B50" w:rsidRDefault="00662A44" w:rsidP="00662A44">
      <w:pPr>
        <w:rPr>
          <w:lang w:val="pt-BR"/>
        </w:rPr>
      </w:pPr>
      <w:r w:rsidRPr="00734B50">
        <w:rPr>
          <w:rFonts w:cs="Tahoma"/>
          <w:color w:val="000000"/>
          <w:szCs w:val="18"/>
          <w:lang w:val="pt-BR"/>
        </w:rPr>
        <w:t xml:space="preserve">Microsoft </w:t>
      </w:r>
      <w:r w:rsidRPr="00734B50">
        <w:rPr>
          <w:rFonts w:cs="Tahoma"/>
          <w:color w:val="000000"/>
          <w:szCs w:val="20"/>
          <w:lang w:val="pt-BR"/>
        </w:rPr>
        <w:t>Dynamics AX 2012 R2 Server</w:t>
      </w:r>
    </w:p>
    <w:p w:rsidR="00662A44" w:rsidRPr="00734B50" w:rsidRDefault="00662A44" w:rsidP="00662A44">
      <w:pPr>
        <w:rPr>
          <w:lang w:val="pt-BR"/>
        </w:rPr>
      </w:pPr>
      <w:r w:rsidRPr="00734B50">
        <w:rPr>
          <w:rFonts w:cs="Tahoma"/>
          <w:color w:val="000000"/>
          <w:szCs w:val="18"/>
          <w:lang w:val="pt-BR"/>
        </w:rPr>
        <w:t xml:space="preserve">CAL Aditiva de Tarefa do Microsoft </w:t>
      </w:r>
      <w:r w:rsidRPr="00734B50">
        <w:rPr>
          <w:rFonts w:cs="Tahoma"/>
          <w:color w:val="000000"/>
          <w:szCs w:val="20"/>
          <w:lang w:val="pt-BR"/>
        </w:rPr>
        <w:t>Dynamics AX 2012 R2 (Usuário e Dispositivo)</w:t>
      </w:r>
    </w:p>
    <w:p w:rsidR="00662A44" w:rsidRPr="00734B50" w:rsidRDefault="00662A44" w:rsidP="00662A44">
      <w:pPr>
        <w:keepNext/>
        <w:tabs>
          <w:tab w:val="num" w:pos="720"/>
        </w:tabs>
        <w:outlineLvl w:val="3"/>
        <w:rPr>
          <w:lang w:val="pt-BR"/>
        </w:rPr>
      </w:pPr>
      <w:r w:rsidRPr="00734B50">
        <w:rPr>
          <w:rFonts w:cs="Tahoma"/>
          <w:color w:val="000000"/>
          <w:szCs w:val="18"/>
          <w:lang w:val="pt-BR"/>
        </w:rPr>
        <w:t xml:space="preserve">CAL de Tarefa do Microsoft </w:t>
      </w:r>
      <w:r w:rsidRPr="00734B50">
        <w:rPr>
          <w:rFonts w:cs="Tahoma"/>
          <w:color w:val="000000"/>
          <w:szCs w:val="20"/>
          <w:lang w:val="pt-BR"/>
        </w:rPr>
        <w:t>Dynamics AX 2012 R2 (Usuário e Dispositivo)</w:t>
      </w:r>
    </w:p>
    <w:p w:rsidR="00662A44" w:rsidRPr="00734B50" w:rsidRDefault="00662A44" w:rsidP="00662A44">
      <w:pPr>
        <w:keepNext/>
        <w:tabs>
          <w:tab w:val="num" w:pos="720"/>
        </w:tabs>
        <w:outlineLvl w:val="3"/>
        <w:rPr>
          <w:lang w:val="pt-BR"/>
        </w:rPr>
      </w:pPr>
    </w:p>
    <w:p w:rsidR="00662A44" w:rsidRPr="00734B50" w:rsidRDefault="00662A44" w:rsidP="00662A44">
      <w:pPr>
        <w:spacing w:after="60"/>
        <w:rPr>
          <w:lang w:val="pt-BR"/>
        </w:rPr>
      </w:pPr>
      <w:r w:rsidRPr="00734B50">
        <w:rPr>
          <w:b/>
          <w:lang w:val="pt-BR"/>
        </w:rPr>
        <w:t>Alterações</w:t>
      </w:r>
    </w:p>
    <w:p w:rsidR="00662A44" w:rsidRPr="00734B50" w:rsidRDefault="00662A44" w:rsidP="00BA1576">
      <w:pPr>
        <w:tabs>
          <w:tab w:val="num" w:pos="720"/>
        </w:tabs>
        <w:outlineLvl w:val="3"/>
        <w:rPr>
          <w:lang w:val="pt-BR"/>
        </w:rPr>
      </w:pPr>
      <w:r w:rsidRPr="00734B50">
        <w:rPr>
          <w:rFonts w:cs="Tahoma"/>
          <w:color w:val="000000"/>
          <w:szCs w:val="20"/>
          <w:lang w:val="pt-BR"/>
        </w:rPr>
        <w:t>Visio 2013 Professional</w:t>
      </w:r>
    </w:p>
    <w:p w:rsidR="00662A44" w:rsidRPr="00734B50" w:rsidRDefault="00662A44" w:rsidP="00BA1576">
      <w:pPr>
        <w:tabs>
          <w:tab w:val="num" w:pos="720"/>
        </w:tabs>
        <w:outlineLvl w:val="3"/>
        <w:rPr>
          <w:lang w:val="pt-BR"/>
        </w:rPr>
      </w:pPr>
    </w:p>
    <w:p w:rsidR="00BA1576" w:rsidRPr="00734B50" w:rsidRDefault="00BA1576" w:rsidP="00BA1576">
      <w:pPr>
        <w:tabs>
          <w:tab w:val="num" w:pos="720"/>
        </w:tabs>
        <w:outlineLvl w:val="3"/>
        <w:rPr>
          <w:lang w:val="pt-BR"/>
        </w:rPr>
      </w:pPr>
    </w:p>
    <w:p w:rsidR="00662A44" w:rsidRPr="00734B50" w:rsidRDefault="00662A44" w:rsidP="0064651F">
      <w:pPr>
        <w:keepNext/>
        <w:tabs>
          <w:tab w:val="num" w:pos="720"/>
        </w:tabs>
        <w:spacing w:after="60"/>
        <w:outlineLvl w:val="3"/>
        <w:rPr>
          <w:lang w:val="pt-BR"/>
        </w:rPr>
      </w:pPr>
      <w:r w:rsidRPr="00734B50">
        <w:rPr>
          <w:b/>
          <w:lang w:val="pt-BR"/>
        </w:rPr>
        <w:lastRenderedPageBreak/>
        <w:t>Exclusões</w:t>
      </w:r>
    </w:p>
    <w:p w:rsidR="00662A44" w:rsidRPr="00734B50" w:rsidRDefault="00662A44" w:rsidP="00662A44">
      <w:pPr>
        <w:rPr>
          <w:lang w:val="pt-BR"/>
        </w:rPr>
      </w:pPr>
      <w:r w:rsidRPr="00734B50">
        <w:rPr>
          <w:rFonts w:cs="Tahoma"/>
          <w:color w:val="000000"/>
          <w:szCs w:val="18"/>
          <w:lang w:val="pt-BR"/>
        </w:rPr>
        <w:t xml:space="preserve">CAL Aditiva Empresarial do Microsoft </w:t>
      </w:r>
      <w:r w:rsidRPr="00734B50">
        <w:rPr>
          <w:rFonts w:cs="Tahoma"/>
          <w:color w:val="000000"/>
          <w:szCs w:val="20"/>
          <w:lang w:val="pt-BR"/>
        </w:rPr>
        <w:t>Dynamics AX 2012 (Usuário e Dispositivo)</w:t>
      </w:r>
    </w:p>
    <w:p w:rsidR="00662A44" w:rsidRPr="00734B50" w:rsidRDefault="00662A44" w:rsidP="00662A44">
      <w:pPr>
        <w:rPr>
          <w:lang w:val="pt-BR"/>
        </w:rPr>
      </w:pPr>
      <w:r w:rsidRPr="00734B50">
        <w:rPr>
          <w:rFonts w:cs="Tahoma"/>
          <w:color w:val="000000"/>
          <w:szCs w:val="18"/>
          <w:lang w:val="pt-BR"/>
        </w:rPr>
        <w:t xml:space="preserve">CAL Empresarial do Microsoft </w:t>
      </w:r>
      <w:r w:rsidRPr="00734B50">
        <w:rPr>
          <w:rFonts w:cs="Tahoma"/>
          <w:color w:val="000000"/>
          <w:szCs w:val="20"/>
          <w:lang w:val="pt-BR"/>
        </w:rPr>
        <w:t>Dynamics AX 2012 (Usuário e Dispositivo)</w:t>
      </w:r>
    </w:p>
    <w:p w:rsidR="00662A44" w:rsidRPr="00734B50" w:rsidRDefault="00662A44" w:rsidP="00662A44">
      <w:pPr>
        <w:rPr>
          <w:lang w:val="pt-BR"/>
        </w:rPr>
      </w:pPr>
      <w:r w:rsidRPr="00734B50">
        <w:rPr>
          <w:rFonts w:cs="Tahoma"/>
          <w:color w:val="000000"/>
          <w:szCs w:val="18"/>
          <w:lang w:val="pt-BR"/>
        </w:rPr>
        <w:t xml:space="preserve">CAL Aditiva Funcional do Microsoft </w:t>
      </w:r>
      <w:r w:rsidRPr="00734B50">
        <w:rPr>
          <w:rFonts w:cs="Tahoma"/>
          <w:color w:val="000000"/>
          <w:szCs w:val="20"/>
          <w:lang w:val="pt-BR"/>
        </w:rPr>
        <w:t>Dynamics AX 2012 (Usuário e Dispositivo)</w:t>
      </w:r>
    </w:p>
    <w:p w:rsidR="00662A44" w:rsidRPr="00734B50" w:rsidRDefault="00662A44" w:rsidP="00662A44">
      <w:pPr>
        <w:rPr>
          <w:lang w:val="pt-BR"/>
        </w:rPr>
      </w:pPr>
      <w:r w:rsidRPr="00734B50">
        <w:rPr>
          <w:rFonts w:cs="Tahoma"/>
          <w:color w:val="000000"/>
          <w:szCs w:val="18"/>
          <w:lang w:val="pt-BR"/>
        </w:rPr>
        <w:t xml:space="preserve">CAL Funcional do Microsoft </w:t>
      </w:r>
      <w:r w:rsidRPr="00734B50">
        <w:rPr>
          <w:rFonts w:cs="Tahoma"/>
          <w:color w:val="000000"/>
          <w:szCs w:val="20"/>
          <w:lang w:val="pt-BR"/>
        </w:rPr>
        <w:t>Dynamics AX 2012 (Usuário e Dispositivo)</w:t>
      </w:r>
    </w:p>
    <w:p w:rsidR="00662A44" w:rsidRPr="00734B50" w:rsidRDefault="00662A44" w:rsidP="00662A44">
      <w:pPr>
        <w:rPr>
          <w:lang w:val="pt-BR"/>
        </w:rPr>
      </w:pPr>
      <w:r w:rsidRPr="00734B50">
        <w:rPr>
          <w:rFonts w:cs="Tahoma"/>
          <w:color w:val="000000"/>
          <w:szCs w:val="18"/>
          <w:lang w:val="pt-BR"/>
        </w:rPr>
        <w:t xml:space="preserve">CAL de Autoatendimento do Microsoft </w:t>
      </w:r>
      <w:r w:rsidRPr="00734B50">
        <w:rPr>
          <w:rFonts w:cs="Tahoma"/>
          <w:color w:val="000000"/>
          <w:szCs w:val="20"/>
          <w:lang w:val="pt-BR"/>
        </w:rPr>
        <w:t>Dynamics AX 2012 (Usuário e Dispositivo)</w:t>
      </w:r>
    </w:p>
    <w:p w:rsidR="00662A44" w:rsidRPr="00734B50" w:rsidRDefault="00662A44" w:rsidP="00662A44">
      <w:pPr>
        <w:rPr>
          <w:lang w:val="pt-BR"/>
        </w:rPr>
      </w:pPr>
      <w:r w:rsidRPr="00734B50">
        <w:rPr>
          <w:rFonts w:cs="Tahoma"/>
          <w:color w:val="000000"/>
          <w:szCs w:val="18"/>
          <w:lang w:val="pt-BR"/>
        </w:rPr>
        <w:t xml:space="preserve">Microsoft </w:t>
      </w:r>
      <w:r w:rsidRPr="00734B50">
        <w:rPr>
          <w:rFonts w:cs="Tahoma"/>
          <w:color w:val="000000"/>
          <w:szCs w:val="20"/>
          <w:lang w:val="pt-BR"/>
        </w:rPr>
        <w:t>Dynamics AX 2012 Server</w:t>
      </w:r>
    </w:p>
    <w:p w:rsidR="00662A44" w:rsidRPr="00734B50" w:rsidRDefault="00662A44" w:rsidP="00662A44">
      <w:pPr>
        <w:rPr>
          <w:lang w:val="pt-BR"/>
        </w:rPr>
      </w:pPr>
      <w:r w:rsidRPr="00734B50">
        <w:rPr>
          <w:rFonts w:cs="Tahoma"/>
          <w:color w:val="000000"/>
          <w:szCs w:val="18"/>
          <w:lang w:val="pt-BR"/>
        </w:rPr>
        <w:t xml:space="preserve">CAL Aditiva de Tarefa do Microsoft </w:t>
      </w:r>
      <w:r w:rsidRPr="00734B50">
        <w:rPr>
          <w:rFonts w:cs="Tahoma"/>
          <w:color w:val="000000"/>
          <w:szCs w:val="20"/>
          <w:lang w:val="pt-BR"/>
        </w:rPr>
        <w:t>Dynamics AX 2012 (Usuário e Dispositivo)</w:t>
      </w:r>
    </w:p>
    <w:p w:rsidR="00662A44" w:rsidRPr="00734B50" w:rsidRDefault="00662A44" w:rsidP="00662A44">
      <w:pPr>
        <w:rPr>
          <w:lang w:val="pt-BR"/>
        </w:rPr>
      </w:pPr>
      <w:r w:rsidRPr="00734B50">
        <w:rPr>
          <w:rFonts w:cs="Tahoma"/>
          <w:color w:val="000000"/>
          <w:szCs w:val="18"/>
          <w:lang w:val="pt-BR"/>
        </w:rPr>
        <w:t xml:space="preserve">CAL de Tarefa do Microsoft </w:t>
      </w:r>
      <w:r w:rsidRPr="00734B50">
        <w:rPr>
          <w:rFonts w:cs="Tahoma"/>
          <w:color w:val="000000"/>
          <w:szCs w:val="20"/>
          <w:lang w:val="pt-BR"/>
        </w:rPr>
        <w:t>Dynamics AX 2012 (Usuário e Dispositivo)</w:t>
      </w:r>
    </w:p>
    <w:p w:rsidR="00243B33" w:rsidRPr="00734B50" w:rsidRDefault="00243B33" w:rsidP="00B50A5B">
      <w:pPr>
        <w:rPr>
          <w:lang w:val="pt-BR"/>
        </w:rPr>
      </w:pPr>
    </w:p>
    <w:p w:rsidR="001C1727" w:rsidRPr="00734B50" w:rsidRDefault="001C1727" w:rsidP="00292088">
      <w:pPr>
        <w:rPr>
          <w:lang w:val="pt-BR"/>
        </w:rPr>
      </w:pPr>
    </w:p>
    <w:p w:rsidR="00E06050" w:rsidRPr="00734B50" w:rsidRDefault="00E06050" w:rsidP="00E06050">
      <w:pPr>
        <w:pStyle w:val="Heading2"/>
        <w:ind w:left="0"/>
        <w:jc w:val="both"/>
        <w:rPr>
          <w:lang w:val="pt-BR"/>
        </w:rPr>
      </w:pPr>
      <w:bookmarkStart w:id="625" w:name="_Toc353470819"/>
      <w:r w:rsidRPr="00734B50">
        <w:rPr>
          <w:rFonts w:ascii="Tahoma" w:hAnsi="Tahoma" w:cs="Tahoma"/>
          <w:color w:val="FF6600"/>
          <w:lang w:val="pt-BR"/>
        </w:rPr>
        <w:t>ALTERAÇÕES EM JANEIRO DE 2013</w:t>
      </w:r>
      <w:bookmarkEnd w:id="625"/>
    </w:p>
    <w:p w:rsidR="00E06050" w:rsidRPr="00734B50" w:rsidRDefault="00E06050" w:rsidP="00E06050">
      <w:pPr>
        <w:rPr>
          <w:lang w:val="pt-BR"/>
        </w:rPr>
      </w:pPr>
    </w:p>
    <w:p w:rsidR="00E06050" w:rsidRPr="00734B50" w:rsidRDefault="00E06050" w:rsidP="003E606C">
      <w:pPr>
        <w:spacing w:after="60"/>
        <w:rPr>
          <w:lang w:val="pt-BR"/>
        </w:rPr>
      </w:pPr>
      <w:r w:rsidRPr="00734B50">
        <w:rPr>
          <w:b/>
          <w:lang w:val="pt-BR"/>
        </w:rPr>
        <w:t>Adições</w:t>
      </w:r>
    </w:p>
    <w:p w:rsidR="00CC66A0" w:rsidRPr="00734B50" w:rsidRDefault="00CC66A0" w:rsidP="00737831">
      <w:pPr>
        <w:keepNext/>
        <w:tabs>
          <w:tab w:val="num" w:pos="720"/>
        </w:tabs>
        <w:outlineLvl w:val="3"/>
        <w:rPr>
          <w:lang w:val="pt-BR"/>
        </w:rPr>
      </w:pPr>
      <w:r w:rsidRPr="00734B50">
        <w:rPr>
          <w:rFonts w:cs="Tahoma"/>
          <w:color w:val="000000"/>
          <w:szCs w:val="20"/>
          <w:lang w:val="pt-BR"/>
        </w:rPr>
        <w:t>Windows MultiPoint Server 2012 Premium com Windows MultiPoint Server 2012 (CAL) (5 Clientes)</w:t>
      </w:r>
    </w:p>
    <w:p w:rsidR="00CC66A0" w:rsidRPr="00734B50" w:rsidRDefault="00CC66A0" w:rsidP="00737831">
      <w:pPr>
        <w:keepNext/>
        <w:tabs>
          <w:tab w:val="num" w:pos="720"/>
        </w:tabs>
        <w:outlineLvl w:val="3"/>
        <w:rPr>
          <w:lang w:val="pt-BR"/>
        </w:rPr>
      </w:pPr>
      <w:r w:rsidRPr="00734B50">
        <w:rPr>
          <w:rFonts w:cs="Tahoma"/>
          <w:color w:val="000000"/>
          <w:szCs w:val="20"/>
          <w:lang w:val="pt-BR"/>
        </w:rPr>
        <w:t>Windows MultiPoint Server 2012 Premium com Windows MultiPoint Server 2012 (CAL) (5 Clientes) com Windows</w:t>
      </w:r>
    </w:p>
    <w:p w:rsidR="00E06050" w:rsidRPr="00734B50" w:rsidRDefault="00E06050" w:rsidP="00E06050">
      <w:pPr>
        <w:rPr>
          <w:lang w:val="pt-BR"/>
        </w:rPr>
      </w:pPr>
    </w:p>
    <w:p w:rsidR="00140B67" w:rsidRPr="00734B50" w:rsidRDefault="00140B67" w:rsidP="003E606C">
      <w:pPr>
        <w:spacing w:after="60"/>
        <w:rPr>
          <w:lang w:val="pt-BR"/>
        </w:rPr>
      </w:pPr>
    </w:p>
    <w:p w:rsidR="001D63C2" w:rsidRPr="00734B50" w:rsidRDefault="001D63C2" w:rsidP="003E606C">
      <w:pPr>
        <w:spacing w:after="60"/>
        <w:rPr>
          <w:lang w:val="pt-BR"/>
        </w:rPr>
      </w:pPr>
      <w:r w:rsidRPr="00734B50">
        <w:rPr>
          <w:b/>
          <w:lang w:val="pt-BR"/>
        </w:rPr>
        <w:t>Alterações</w:t>
      </w:r>
    </w:p>
    <w:p w:rsidR="001D63C2" w:rsidRPr="00734B50" w:rsidRDefault="001D63C2" w:rsidP="00E06050">
      <w:pPr>
        <w:rPr>
          <w:lang w:val="pt-BR"/>
        </w:rPr>
      </w:pPr>
      <w:r w:rsidRPr="00734B50">
        <w:rPr>
          <w:color w:val="000000"/>
          <w:lang w:val="pt-BR"/>
        </w:rPr>
        <w:t>Windows Small Business Server 2008 CAL Suite para Usuários ou Dispositivos Premium</w:t>
      </w:r>
    </w:p>
    <w:p w:rsidR="001D63C2" w:rsidRPr="00734B50" w:rsidRDefault="001D63C2" w:rsidP="00E06050">
      <w:pPr>
        <w:rPr>
          <w:lang w:val="pt-BR"/>
        </w:rPr>
      </w:pPr>
      <w:r w:rsidRPr="00734B50">
        <w:rPr>
          <w:color w:val="000000"/>
          <w:lang w:val="pt-BR"/>
        </w:rPr>
        <w:t>Windows Small Business Server 2008 CAL Suite para Usuários ou Dispositivos Premium (5 Clientes)</w:t>
      </w:r>
    </w:p>
    <w:p w:rsidR="001D63C2" w:rsidRPr="00734B50" w:rsidRDefault="001D63C2" w:rsidP="00E06050">
      <w:pPr>
        <w:rPr>
          <w:lang w:val="pt-BR"/>
        </w:rPr>
      </w:pPr>
      <w:r w:rsidRPr="00734B50">
        <w:rPr>
          <w:color w:val="000000"/>
          <w:lang w:val="pt-BR"/>
        </w:rPr>
        <w:t>Windows Small Business Server 2008 CAL Suite para Usuários ou Dispositivos Premium (20 Clientes)</w:t>
      </w:r>
    </w:p>
    <w:p w:rsidR="001D63C2" w:rsidRPr="00653421" w:rsidRDefault="001D63C2" w:rsidP="00E06050">
      <w:r w:rsidRPr="00653421">
        <w:rPr>
          <w:color w:val="000000"/>
        </w:rPr>
        <w:t>Windows Small Business Server 2011 CAL Suite (1 Cliente)</w:t>
      </w:r>
    </w:p>
    <w:p w:rsidR="001D63C2" w:rsidRPr="00653421" w:rsidRDefault="001D63C2" w:rsidP="001D63C2">
      <w:r w:rsidRPr="00653421">
        <w:rPr>
          <w:color w:val="000000"/>
        </w:rPr>
        <w:t>Windows Small Business Server 2011 CAL Suite (5 Clientes)</w:t>
      </w:r>
    </w:p>
    <w:p w:rsidR="001D63C2" w:rsidRPr="00653421" w:rsidRDefault="001D63C2" w:rsidP="00E06050">
      <w:r w:rsidRPr="00653421">
        <w:rPr>
          <w:color w:val="000000"/>
        </w:rPr>
        <w:t>Windows Small Business Server 2011 CAL Suite (20 Clientes)</w:t>
      </w:r>
    </w:p>
    <w:p w:rsidR="001D63C2" w:rsidRPr="00653421" w:rsidRDefault="001D63C2" w:rsidP="001D63C2">
      <w:r w:rsidRPr="00653421">
        <w:rPr>
          <w:color w:val="000000"/>
        </w:rPr>
        <w:t>Windows Small Business Server 2011 Standard (5 Clientes)</w:t>
      </w:r>
    </w:p>
    <w:p w:rsidR="001D63C2" w:rsidRPr="00653421" w:rsidRDefault="001D63C2" w:rsidP="00E06050">
      <w:r w:rsidRPr="00653421">
        <w:rPr>
          <w:color w:val="000000"/>
        </w:rPr>
        <w:t>Complemento do Windows Small Business Server 2011 Premium (5 Clientes)</w:t>
      </w:r>
    </w:p>
    <w:p w:rsidR="001D63C2" w:rsidRPr="00653421" w:rsidRDefault="001D63C2" w:rsidP="00E06050"/>
    <w:p w:rsidR="00E06050" w:rsidRPr="00734B50" w:rsidRDefault="00E06050" w:rsidP="003E606C">
      <w:pPr>
        <w:spacing w:after="60"/>
        <w:rPr>
          <w:lang w:val="pt-BR"/>
        </w:rPr>
      </w:pPr>
      <w:r w:rsidRPr="00734B50">
        <w:rPr>
          <w:b/>
          <w:lang w:val="pt-BR"/>
        </w:rPr>
        <w:t>Exclusões</w:t>
      </w:r>
    </w:p>
    <w:p w:rsidR="00E06050" w:rsidRPr="00734B50" w:rsidRDefault="00E06050" w:rsidP="00E06050">
      <w:pPr>
        <w:rPr>
          <w:lang w:val="pt-BR"/>
        </w:rPr>
      </w:pPr>
      <w:r w:rsidRPr="00734B50">
        <w:rPr>
          <w:color w:val="000000"/>
          <w:lang w:val="pt-BR"/>
        </w:rPr>
        <w:t>Licença de Gerenciamento de Cliente do Windows Embedded Device Manager 2011 por OSE</w:t>
      </w:r>
    </w:p>
    <w:p w:rsidR="00E06050" w:rsidRPr="00734B50" w:rsidRDefault="00E06050" w:rsidP="00E06050">
      <w:pPr>
        <w:rPr>
          <w:lang w:val="pt-BR"/>
        </w:rPr>
      </w:pPr>
      <w:r w:rsidRPr="00734B50">
        <w:rPr>
          <w:color w:val="000000"/>
          <w:lang w:val="pt-BR"/>
        </w:rPr>
        <w:t>Licença de Gerenciamento de Cliente do Windows Embedded Device Manager 2011 por Usuário</w:t>
      </w:r>
    </w:p>
    <w:p w:rsidR="00844BAF" w:rsidRPr="00734B50" w:rsidRDefault="00844BAF" w:rsidP="00E06050">
      <w:pPr>
        <w:rPr>
          <w:lang w:val="pt-BR"/>
        </w:rPr>
      </w:pPr>
      <w:r w:rsidRPr="00734B50">
        <w:rPr>
          <w:rFonts w:cs="Tahoma"/>
          <w:color w:val="000000"/>
          <w:szCs w:val="20"/>
          <w:lang w:val="pt-BR"/>
        </w:rPr>
        <w:t>CAL do Dispositivo do Windows Server 2008 para Windows Essential Server Solutions (5 Clientes)</w:t>
      </w:r>
    </w:p>
    <w:p w:rsidR="00844BAF" w:rsidRPr="00734B50" w:rsidRDefault="00844BAF" w:rsidP="00E06050">
      <w:pPr>
        <w:rPr>
          <w:lang w:val="pt-BR"/>
        </w:rPr>
      </w:pPr>
      <w:r w:rsidRPr="00734B50">
        <w:rPr>
          <w:rFonts w:cs="Tahoma"/>
          <w:color w:val="000000"/>
          <w:szCs w:val="20"/>
          <w:lang w:val="pt-BR"/>
        </w:rPr>
        <w:t>CAL do Usuário do Windows Server 2008 para Windows Essential Server Solutions (5 Clientes)</w:t>
      </w:r>
    </w:p>
    <w:p w:rsidR="00844BAF" w:rsidRPr="00734B50" w:rsidRDefault="00844BAF" w:rsidP="00844BAF">
      <w:pPr>
        <w:keepNext/>
        <w:tabs>
          <w:tab w:val="num" w:pos="720"/>
        </w:tabs>
        <w:outlineLvl w:val="3"/>
        <w:rPr>
          <w:lang w:val="pt-BR"/>
        </w:rPr>
      </w:pPr>
      <w:r w:rsidRPr="00734B50">
        <w:rPr>
          <w:rFonts w:cs="Tahoma"/>
          <w:color w:val="000000"/>
          <w:szCs w:val="20"/>
          <w:lang w:val="pt-BR"/>
        </w:rPr>
        <w:t>Windows MultiPoint Server 2011 Premium com Windows MultiPoint Server 2011 (CAL) (5 Clientes)</w:t>
      </w:r>
    </w:p>
    <w:p w:rsidR="00E06050" w:rsidRPr="00734B50" w:rsidRDefault="00844BAF" w:rsidP="00E06050">
      <w:pPr>
        <w:rPr>
          <w:lang w:val="pt-BR"/>
        </w:rPr>
      </w:pPr>
      <w:r w:rsidRPr="00734B50">
        <w:rPr>
          <w:rFonts w:cs="Tahoma"/>
          <w:color w:val="000000"/>
          <w:szCs w:val="20"/>
          <w:lang w:val="pt-BR"/>
        </w:rPr>
        <w:t>Windows MultiPoint Server 2011 Premium com Windows MultiPoint Server 2011 (CAL) (5 Clientes) com Windows</w:t>
      </w:r>
    </w:p>
    <w:p w:rsidR="00A12176" w:rsidRPr="00734B50" w:rsidRDefault="00A12176" w:rsidP="00BA756F">
      <w:pPr>
        <w:pStyle w:val="Heading2"/>
        <w:ind w:left="0"/>
        <w:jc w:val="both"/>
        <w:rPr>
          <w:rFonts w:ascii="Tahoma" w:hAnsi="Tahoma" w:cs="Tahoma"/>
          <w:sz w:val="18"/>
          <w:szCs w:val="18"/>
          <w:lang w:val="pt-BR"/>
        </w:rPr>
      </w:pPr>
    </w:p>
    <w:p w:rsidR="001C1727" w:rsidRPr="00734B50" w:rsidRDefault="001C1727">
      <w:pPr>
        <w:rPr>
          <w:lang w:val="pt-BR"/>
        </w:rPr>
      </w:pPr>
    </w:p>
    <w:p w:rsidR="00173A20" w:rsidRPr="00734B50" w:rsidRDefault="00173A20" w:rsidP="00BA756F">
      <w:pPr>
        <w:pStyle w:val="Heading2"/>
        <w:ind w:left="0"/>
        <w:jc w:val="both"/>
        <w:rPr>
          <w:lang w:val="pt-BR"/>
        </w:rPr>
      </w:pPr>
      <w:bookmarkStart w:id="626" w:name="_Toc353470820"/>
      <w:r w:rsidRPr="00734B50">
        <w:rPr>
          <w:rFonts w:ascii="Tahoma" w:hAnsi="Tahoma" w:cs="Tahoma"/>
          <w:color w:val="FF6600"/>
          <w:lang w:val="pt-BR"/>
        </w:rPr>
        <w:t>ALTERAÇÕES EM DEZEMBRO DE 2012</w:t>
      </w:r>
      <w:bookmarkEnd w:id="620"/>
      <w:bookmarkEnd w:id="626"/>
    </w:p>
    <w:p w:rsidR="00173A20" w:rsidRPr="00734B50" w:rsidRDefault="00173A20" w:rsidP="00173A20">
      <w:pPr>
        <w:jc w:val="both"/>
        <w:outlineLvl w:val="1"/>
        <w:rPr>
          <w:lang w:val="pt-BR"/>
        </w:rPr>
      </w:pPr>
    </w:p>
    <w:p w:rsidR="00173A20" w:rsidRPr="00734B50" w:rsidRDefault="00173A20" w:rsidP="003E606C">
      <w:pPr>
        <w:spacing w:after="60"/>
        <w:rPr>
          <w:lang w:val="pt-BR"/>
        </w:rPr>
      </w:pPr>
      <w:r w:rsidRPr="00734B50">
        <w:rPr>
          <w:b/>
          <w:lang w:val="pt-BR"/>
        </w:rPr>
        <w:t>Adições</w:t>
      </w:r>
    </w:p>
    <w:p w:rsidR="00173A20" w:rsidRPr="00734B50" w:rsidRDefault="00BA756F" w:rsidP="00173A20">
      <w:pPr>
        <w:rPr>
          <w:lang w:val="pt-BR"/>
        </w:rPr>
      </w:pPr>
      <w:r w:rsidRPr="00734B50">
        <w:rPr>
          <w:color w:val="000000"/>
          <w:lang w:val="pt-BR"/>
        </w:rPr>
        <w:t>Access 2013</w:t>
      </w:r>
    </w:p>
    <w:p w:rsidR="00BA756F" w:rsidRPr="00734B50" w:rsidRDefault="00BA756F" w:rsidP="00173A20">
      <w:pPr>
        <w:rPr>
          <w:lang w:val="pt-BR"/>
        </w:rPr>
      </w:pPr>
      <w:r w:rsidRPr="00734B50">
        <w:rPr>
          <w:color w:val="000000"/>
          <w:lang w:val="pt-BR"/>
        </w:rPr>
        <w:t>Excel 2013</w:t>
      </w:r>
    </w:p>
    <w:p w:rsidR="00BA756F" w:rsidRPr="00734B50" w:rsidRDefault="00BA756F" w:rsidP="00173A20">
      <w:pPr>
        <w:rPr>
          <w:lang w:val="pt-BR"/>
        </w:rPr>
      </w:pPr>
      <w:r w:rsidRPr="00734B50">
        <w:rPr>
          <w:color w:val="000000"/>
          <w:lang w:val="pt-BR"/>
        </w:rPr>
        <w:t>CAL Empresarial do Exchange com Serviços 2013</w:t>
      </w:r>
    </w:p>
    <w:p w:rsidR="00BA756F" w:rsidRPr="00734B50" w:rsidRDefault="00BA756F" w:rsidP="00173A20">
      <w:pPr>
        <w:rPr>
          <w:lang w:val="pt-BR"/>
        </w:rPr>
      </w:pPr>
      <w:r w:rsidRPr="00734B50">
        <w:rPr>
          <w:color w:val="000000"/>
          <w:lang w:val="pt-BR"/>
        </w:rPr>
        <w:t>CAL Empresarial do Exchange sem Serviços 2013</w:t>
      </w:r>
    </w:p>
    <w:p w:rsidR="00BA756F" w:rsidRPr="00734B50" w:rsidRDefault="00BA756F" w:rsidP="00173A20">
      <w:pPr>
        <w:rPr>
          <w:lang w:val="pt-BR"/>
        </w:rPr>
      </w:pPr>
      <w:r w:rsidRPr="00734B50">
        <w:rPr>
          <w:color w:val="000000"/>
          <w:lang w:val="pt-BR"/>
        </w:rPr>
        <w:t>Exchange Server Enterprise 2013</w:t>
      </w:r>
    </w:p>
    <w:p w:rsidR="00BA756F" w:rsidRPr="00734B50" w:rsidRDefault="00BA756F" w:rsidP="00173A20">
      <w:pPr>
        <w:rPr>
          <w:lang w:val="pt-BR"/>
        </w:rPr>
      </w:pPr>
      <w:r w:rsidRPr="00734B50">
        <w:rPr>
          <w:color w:val="000000"/>
          <w:lang w:val="pt-BR"/>
        </w:rPr>
        <w:t>Exchange Server Standard 2013</w:t>
      </w:r>
    </w:p>
    <w:p w:rsidR="00BA756F" w:rsidRPr="00734B50" w:rsidRDefault="00BA756F" w:rsidP="00173A20">
      <w:pPr>
        <w:rPr>
          <w:lang w:val="pt-BR"/>
        </w:rPr>
      </w:pPr>
      <w:r w:rsidRPr="00734B50">
        <w:rPr>
          <w:color w:val="000000"/>
          <w:lang w:val="pt-BR"/>
        </w:rPr>
        <w:t>CAL do Exchange Standard 2013</w:t>
      </w:r>
    </w:p>
    <w:p w:rsidR="00BA756F" w:rsidRPr="00734B50" w:rsidRDefault="00BA756F" w:rsidP="00173A20">
      <w:pPr>
        <w:rPr>
          <w:lang w:val="pt-BR"/>
        </w:rPr>
      </w:pPr>
      <w:r w:rsidRPr="00734B50">
        <w:rPr>
          <w:color w:val="000000"/>
          <w:lang w:val="pt-BR"/>
        </w:rPr>
        <w:t>InfoPath 2013</w:t>
      </w:r>
    </w:p>
    <w:p w:rsidR="00BA756F" w:rsidRPr="00734B50" w:rsidRDefault="00BA756F" w:rsidP="00173A20">
      <w:pPr>
        <w:rPr>
          <w:lang w:val="pt-BR"/>
        </w:rPr>
      </w:pPr>
      <w:r w:rsidRPr="00734B50">
        <w:rPr>
          <w:color w:val="000000"/>
          <w:lang w:val="pt-BR"/>
        </w:rPr>
        <w:t>Lync 2013</w:t>
      </w:r>
    </w:p>
    <w:p w:rsidR="00BA756F" w:rsidRPr="00734B50" w:rsidRDefault="00BA756F" w:rsidP="00173A20">
      <w:pPr>
        <w:rPr>
          <w:lang w:val="pt-BR"/>
        </w:rPr>
      </w:pPr>
      <w:r w:rsidRPr="00734B50">
        <w:rPr>
          <w:color w:val="000000"/>
          <w:lang w:val="pt-BR"/>
        </w:rPr>
        <w:t>Lync Server 2013</w:t>
      </w:r>
    </w:p>
    <w:p w:rsidR="00BA756F" w:rsidRPr="00734B50" w:rsidRDefault="00BA756F" w:rsidP="00173A20">
      <w:pPr>
        <w:rPr>
          <w:lang w:val="pt-BR"/>
        </w:rPr>
      </w:pPr>
      <w:r w:rsidRPr="00734B50">
        <w:rPr>
          <w:color w:val="000000"/>
          <w:lang w:val="pt-BR"/>
        </w:rPr>
        <w:t>CAL Empresarial do Lync Server 2013</w:t>
      </w:r>
    </w:p>
    <w:p w:rsidR="00BA756F" w:rsidRPr="00734B50" w:rsidRDefault="00BA756F" w:rsidP="00173A20">
      <w:pPr>
        <w:rPr>
          <w:lang w:val="pt-BR"/>
        </w:rPr>
      </w:pPr>
      <w:r w:rsidRPr="00734B50">
        <w:rPr>
          <w:color w:val="000000"/>
          <w:lang w:val="pt-BR"/>
        </w:rPr>
        <w:t>CAL do Lync Server Plus 2013</w:t>
      </w:r>
    </w:p>
    <w:p w:rsidR="00BA756F" w:rsidRPr="00734B50" w:rsidRDefault="00BA756F" w:rsidP="00173A20">
      <w:pPr>
        <w:rPr>
          <w:lang w:val="pt-BR"/>
        </w:rPr>
      </w:pPr>
      <w:r w:rsidRPr="00734B50">
        <w:rPr>
          <w:color w:val="000000"/>
          <w:lang w:val="pt-BR"/>
        </w:rPr>
        <w:t>CAL Padrão do Lync Server 2013</w:t>
      </w:r>
    </w:p>
    <w:p w:rsidR="00BA756F" w:rsidRPr="00653421" w:rsidRDefault="00BA756F" w:rsidP="00173A20">
      <w:r w:rsidRPr="00653421">
        <w:rPr>
          <w:color w:val="000000"/>
        </w:rPr>
        <w:t>Office Home and Student RT 2013</w:t>
      </w:r>
    </w:p>
    <w:p w:rsidR="00BA756F" w:rsidRPr="00653421" w:rsidRDefault="00BA756F" w:rsidP="00173A20">
      <w:r w:rsidRPr="00653421">
        <w:rPr>
          <w:color w:val="000000"/>
        </w:rPr>
        <w:t>Pacote Multilíngue do Office 2013</w:t>
      </w:r>
    </w:p>
    <w:p w:rsidR="00BA756F" w:rsidRPr="00653421" w:rsidRDefault="00BA756F" w:rsidP="00173A20">
      <w:r w:rsidRPr="00653421">
        <w:rPr>
          <w:color w:val="000000"/>
        </w:rPr>
        <w:t>Office Professional Plus 2013</w:t>
      </w:r>
    </w:p>
    <w:p w:rsidR="00BA756F" w:rsidRPr="00653421" w:rsidRDefault="00BA756F" w:rsidP="00173A20">
      <w:r w:rsidRPr="00653421">
        <w:rPr>
          <w:color w:val="000000"/>
        </w:rPr>
        <w:t>Office Standard 2013</w:t>
      </w:r>
    </w:p>
    <w:p w:rsidR="00BA756F" w:rsidRPr="00653421" w:rsidRDefault="00BA756F" w:rsidP="00173A20">
      <w:r w:rsidRPr="00653421">
        <w:rPr>
          <w:color w:val="000000"/>
        </w:rPr>
        <w:lastRenderedPageBreak/>
        <w:t>OneNote 2013</w:t>
      </w:r>
    </w:p>
    <w:p w:rsidR="00BA756F" w:rsidRPr="00653421" w:rsidRDefault="00BA756F" w:rsidP="00173A20">
      <w:r w:rsidRPr="00653421">
        <w:rPr>
          <w:color w:val="000000"/>
        </w:rPr>
        <w:t>Outlook 2013</w:t>
      </w:r>
    </w:p>
    <w:p w:rsidR="00BA756F" w:rsidRPr="00653421" w:rsidRDefault="00BA756F" w:rsidP="00173A20">
      <w:r w:rsidRPr="00653421">
        <w:rPr>
          <w:color w:val="000000"/>
        </w:rPr>
        <w:t>PowerPoint 2013</w:t>
      </w:r>
    </w:p>
    <w:p w:rsidR="00BA756F" w:rsidRPr="00653421" w:rsidRDefault="00BA756F" w:rsidP="00173A20">
      <w:r w:rsidRPr="00653421">
        <w:rPr>
          <w:color w:val="000000"/>
        </w:rPr>
        <w:t>Project Standard 2013</w:t>
      </w:r>
    </w:p>
    <w:p w:rsidR="00BA756F" w:rsidRPr="00653421" w:rsidRDefault="00BA756F" w:rsidP="00173A20">
      <w:r w:rsidRPr="00653421">
        <w:rPr>
          <w:color w:val="000000"/>
        </w:rPr>
        <w:t>Project Professional 2013</w:t>
      </w:r>
    </w:p>
    <w:p w:rsidR="00BA756F" w:rsidRPr="00653421" w:rsidRDefault="00BA756F" w:rsidP="00173A20">
      <w:r w:rsidRPr="00653421">
        <w:rPr>
          <w:color w:val="000000"/>
        </w:rPr>
        <w:t>Project Server 2013</w:t>
      </w:r>
    </w:p>
    <w:p w:rsidR="00BA756F" w:rsidRPr="00653421" w:rsidRDefault="00BA756F" w:rsidP="00173A20">
      <w:r w:rsidRPr="00653421">
        <w:rPr>
          <w:color w:val="000000"/>
        </w:rPr>
        <w:t>CAL do Project Server 2013</w:t>
      </w:r>
    </w:p>
    <w:p w:rsidR="00BA756F" w:rsidRPr="00653421" w:rsidRDefault="00FE3510" w:rsidP="00173A20">
      <w:r w:rsidRPr="00653421">
        <w:rPr>
          <w:color w:val="000000"/>
        </w:rPr>
        <w:t>Publisher 2013</w:t>
      </w:r>
    </w:p>
    <w:p w:rsidR="00FE3510" w:rsidRPr="00653421" w:rsidRDefault="00FE3510" w:rsidP="00173A20">
      <w:r w:rsidRPr="00653421">
        <w:rPr>
          <w:color w:val="000000"/>
        </w:rPr>
        <w:t>CAL Empresarial do SharePoint 2013</w:t>
      </w:r>
    </w:p>
    <w:p w:rsidR="00FE3510" w:rsidRPr="00653421" w:rsidRDefault="00FE3510" w:rsidP="00173A20">
      <w:r w:rsidRPr="00653421">
        <w:rPr>
          <w:color w:val="000000"/>
        </w:rPr>
        <w:t>SharePoint Server 2013</w:t>
      </w:r>
    </w:p>
    <w:p w:rsidR="00FE3510" w:rsidRPr="00653421" w:rsidRDefault="00FE3510" w:rsidP="00173A20">
      <w:r w:rsidRPr="00653421">
        <w:rPr>
          <w:color w:val="000000"/>
        </w:rPr>
        <w:t>CAL Padrão do SharePoint 2013</w:t>
      </w:r>
    </w:p>
    <w:p w:rsidR="00FE3510" w:rsidRPr="00653421" w:rsidRDefault="00FE3510" w:rsidP="00173A20">
      <w:r w:rsidRPr="00653421">
        <w:rPr>
          <w:color w:val="000000"/>
        </w:rPr>
        <w:t>Visio Professional 2013</w:t>
      </w:r>
    </w:p>
    <w:p w:rsidR="00FE3510" w:rsidRPr="00653421" w:rsidRDefault="00FE3510" w:rsidP="00173A20">
      <w:r w:rsidRPr="00653421">
        <w:rPr>
          <w:color w:val="000000"/>
        </w:rPr>
        <w:t>Visio Standard 2013</w:t>
      </w:r>
    </w:p>
    <w:p w:rsidR="00FE3510" w:rsidRPr="00653421" w:rsidRDefault="00FE3510" w:rsidP="00173A20">
      <w:r w:rsidRPr="00653421">
        <w:rPr>
          <w:color w:val="000000"/>
        </w:rPr>
        <w:t>Word 2013</w:t>
      </w:r>
    </w:p>
    <w:p w:rsidR="00FE3510" w:rsidRPr="00653421" w:rsidRDefault="00FE3510" w:rsidP="00173A20">
      <w:r w:rsidRPr="00653421">
        <w:rPr>
          <w:color w:val="000000"/>
        </w:rPr>
        <w:t>Windows MultiPoint Server Standard 2012</w:t>
      </w:r>
    </w:p>
    <w:p w:rsidR="00FE3510" w:rsidRPr="00653421" w:rsidRDefault="00FE3510" w:rsidP="00173A20">
      <w:r w:rsidRPr="00653421">
        <w:rPr>
          <w:color w:val="000000"/>
        </w:rPr>
        <w:t>Windows MultiPoint Server Premium 2012</w:t>
      </w:r>
    </w:p>
    <w:p w:rsidR="00FE3510" w:rsidRPr="00653421" w:rsidRDefault="00FE3510" w:rsidP="00173A20">
      <w:r w:rsidRPr="00653421">
        <w:rPr>
          <w:color w:val="000000"/>
        </w:rPr>
        <w:t>CAL do Windows MultiPoint Server 2012</w:t>
      </w:r>
    </w:p>
    <w:p w:rsidR="00FE3510" w:rsidRPr="00653421" w:rsidRDefault="00FE3510" w:rsidP="00173A20">
      <w:r w:rsidRPr="00653421">
        <w:rPr>
          <w:color w:val="000000"/>
        </w:rPr>
        <w:t>CAL do Windows MultiPoint Server com CAL do Windows Server 2012</w:t>
      </w:r>
    </w:p>
    <w:p w:rsidR="006F741C" w:rsidRPr="00653421" w:rsidRDefault="006F741C" w:rsidP="006F741C">
      <w:r w:rsidRPr="00653421">
        <w:rPr>
          <w:color w:val="000000"/>
        </w:rPr>
        <w:t>Windows Intune (Por Usuário)</w:t>
      </w:r>
    </w:p>
    <w:p w:rsidR="006F741C" w:rsidRPr="00653421" w:rsidRDefault="006F741C" w:rsidP="006F741C">
      <w:r w:rsidRPr="00653421">
        <w:rPr>
          <w:color w:val="000000"/>
        </w:rPr>
        <w:t>Complemento do Windows Intune para System Center Configuration Manager e System Center EndPoint Protection</w:t>
      </w:r>
      <w:r w:rsidR="002B6B82" w:rsidRPr="00653421">
        <w:rPr>
          <w:color w:val="000000"/>
        </w:rPr>
        <w:t> </w:t>
      </w:r>
      <w:r w:rsidRPr="00653421">
        <w:rPr>
          <w:color w:val="000000"/>
        </w:rPr>
        <w:t>(por usuário)</w:t>
      </w:r>
    </w:p>
    <w:p w:rsidR="00FE3510" w:rsidRPr="00734B50" w:rsidRDefault="00FE3510" w:rsidP="00173A20">
      <w:pPr>
        <w:rPr>
          <w:lang w:val="pt-BR"/>
        </w:rPr>
      </w:pPr>
      <w:r w:rsidRPr="00734B50">
        <w:rPr>
          <w:color w:val="000000"/>
          <w:lang w:val="pt-BR"/>
        </w:rPr>
        <w:t>SL de Usuário do Windows Intune</w:t>
      </w:r>
    </w:p>
    <w:p w:rsidR="00FE3510" w:rsidRPr="00734B50" w:rsidRDefault="00FE3510" w:rsidP="00173A20">
      <w:pPr>
        <w:rPr>
          <w:lang w:val="pt-BR"/>
        </w:rPr>
      </w:pPr>
      <w:r w:rsidRPr="00734B50">
        <w:rPr>
          <w:color w:val="000000"/>
          <w:lang w:val="pt-BR"/>
        </w:rPr>
        <w:t>SL de Usuário do Complemento do Windows Intune</w:t>
      </w:r>
    </w:p>
    <w:p w:rsidR="00FE3510" w:rsidRPr="00734B50" w:rsidRDefault="00FE3510" w:rsidP="00173A20">
      <w:pPr>
        <w:rPr>
          <w:lang w:val="pt-BR"/>
        </w:rPr>
      </w:pPr>
      <w:r w:rsidRPr="00734B50">
        <w:rPr>
          <w:color w:val="000000"/>
          <w:lang w:val="pt-BR"/>
        </w:rPr>
        <w:t>Armazenamento Extra de 1 GB de SL Complementar do Usuário do Windows Intune</w:t>
      </w:r>
    </w:p>
    <w:p w:rsidR="00FE3510" w:rsidRPr="00734B50" w:rsidRDefault="00FE3510" w:rsidP="00173A20">
      <w:pPr>
        <w:rPr>
          <w:lang w:val="pt-BR"/>
        </w:rPr>
      </w:pPr>
      <w:r w:rsidRPr="00734B50">
        <w:rPr>
          <w:color w:val="000000"/>
          <w:lang w:val="pt-BR"/>
        </w:rPr>
        <w:t>Win Pro com MDOP 8</w:t>
      </w:r>
    </w:p>
    <w:p w:rsidR="00173A20" w:rsidRPr="00734B50" w:rsidRDefault="00173A20" w:rsidP="00173A20">
      <w:pPr>
        <w:keepNext/>
        <w:tabs>
          <w:tab w:val="num" w:pos="720"/>
        </w:tabs>
        <w:spacing w:before="60"/>
        <w:outlineLvl w:val="3"/>
        <w:rPr>
          <w:lang w:val="pt-BR"/>
        </w:rPr>
      </w:pPr>
    </w:p>
    <w:p w:rsidR="00173A20" w:rsidRPr="00734B50" w:rsidRDefault="00173A20" w:rsidP="003E606C">
      <w:pPr>
        <w:spacing w:after="60"/>
        <w:rPr>
          <w:lang w:val="pt-BR"/>
        </w:rPr>
      </w:pPr>
      <w:r w:rsidRPr="00734B50">
        <w:rPr>
          <w:b/>
          <w:lang w:val="pt-BR"/>
        </w:rPr>
        <w:t xml:space="preserve">Promoções </w:t>
      </w:r>
    </w:p>
    <w:p w:rsidR="00173A20" w:rsidRPr="00734B50" w:rsidRDefault="00FE3510" w:rsidP="00173A20">
      <w:pPr>
        <w:outlineLvl w:val="1"/>
        <w:rPr>
          <w:lang w:val="pt-BR"/>
        </w:rPr>
      </w:pPr>
      <w:r w:rsidRPr="00734B50">
        <w:rPr>
          <w:rFonts w:cs="Tahoma"/>
          <w:color w:val="000000"/>
          <w:szCs w:val="18"/>
          <w:lang w:val="pt-BR"/>
        </w:rPr>
        <w:t>As seguintes promoções foram adicionadas:</w:t>
      </w:r>
    </w:p>
    <w:p w:rsidR="00FE3510" w:rsidRPr="00734B50" w:rsidRDefault="00A4121E" w:rsidP="00173A20">
      <w:pPr>
        <w:outlineLvl w:val="1"/>
        <w:rPr>
          <w:lang w:val="pt-BR"/>
        </w:rPr>
      </w:pPr>
      <w:r w:rsidRPr="00734B50">
        <w:rPr>
          <w:rFonts w:cs="Tahoma"/>
          <w:color w:val="000000"/>
          <w:szCs w:val="18"/>
          <w:lang w:val="pt-BR"/>
        </w:rPr>
        <w:t xml:space="preserve">Microsoft Dynamics AX 2012 R2 - Promoção </w:t>
      </w:r>
      <w:r w:rsidR="00C133AB" w:rsidRPr="00734B50">
        <w:rPr>
          <w:rFonts w:cs="Tahoma"/>
          <w:color w:val="000000"/>
          <w:szCs w:val="18"/>
          <w:lang w:val="pt-BR"/>
        </w:rPr>
        <w:t>“</w:t>
      </w:r>
      <w:r w:rsidRPr="00734B50">
        <w:rPr>
          <w:rFonts w:cs="Tahoma"/>
          <w:color w:val="000000"/>
          <w:szCs w:val="18"/>
          <w:lang w:val="pt-BR"/>
        </w:rPr>
        <w:t>Compre Uma CAL Empresarial Ganhe outra CAL Funcional</w:t>
      </w:r>
      <w:r w:rsidR="00C133AB" w:rsidRPr="00734B50">
        <w:rPr>
          <w:rFonts w:cs="Tahoma"/>
          <w:color w:val="000000"/>
          <w:szCs w:val="18"/>
          <w:lang w:val="pt-BR"/>
        </w:rPr>
        <w:t>”</w:t>
      </w:r>
    </w:p>
    <w:p w:rsidR="00A4121E" w:rsidRPr="00734B50" w:rsidRDefault="00A4121E" w:rsidP="00173A20">
      <w:pPr>
        <w:outlineLvl w:val="1"/>
        <w:rPr>
          <w:lang w:val="pt-BR"/>
        </w:rPr>
      </w:pPr>
      <w:r w:rsidRPr="00734B50">
        <w:rPr>
          <w:rFonts w:cs="Tahoma"/>
          <w:color w:val="000000"/>
          <w:szCs w:val="18"/>
          <w:lang w:val="pt-BR"/>
        </w:rPr>
        <w:t>Microsoft Dynamics AX 2012 R2 – Promoção de Introdução ao EA</w:t>
      </w:r>
    </w:p>
    <w:p w:rsidR="00A4121E" w:rsidRPr="00734B50" w:rsidRDefault="00A4121E" w:rsidP="00173A20">
      <w:pPr>
        <w:outlineLvl w:val="1"/>
        <w:rPr>
          <w:lang w:val="pt-BR"/>
        </w:rPr>
      </w:pPr>
      <w:r w:rsidRPr="00734B50">
        <w:rPr>
          <w:rFonts w:cs="Tahoma"/>
          <w:color w:val="000000"/>
          <w:szCs w:val="18"/>
          <w:lang w:val="pt-BR"/>
        </w:rPr>
        <w:t>Promoção de 20% de Desconto para Novos Computadores com Windows Intune</w:t>
      </w:r>
    </w:p>
    <w:p w:rsidR="00FE3510" w:rsidRPr="00734B50" w:rsidRDefault="00FE3510" w:rsidP="00173A20">
      <w:pPr>
        <w:outlineLvl w:val="1"/>
        <w:rPr>
          <w:lang w:val="pt-BR"/>
        </w:rPr>
      </w:pPr>
    </w:p>
    <w:p w:rsidR="00FE3510" w:rsidRPr="00734B50" w:rsidRDefault="00FE3510" w:rsidP="00173A20">
      <w:pPr>
        <w:outlineLvl w:val="1"/>
        <w:rPr>
          <w:lang w:val="pt-BR"/>
        </w:rPr>
      </w:pPr>
      <w:r w:rsidRPr="00734B50">
        <w:rPr>
          <w:rFonts w:cs="Tahoma"/>
          <w:color w:val="000000"/>
          <w:szCs w:val="18"/>
          <w:lang w:val="pt-BR"/>
        </w:rPr>
        <w:t>As seguintes promoções foram excluídas:</w:t>
      </w:r>
    </w:p>
    <w:p w:rsidR="00FE3510" w:rsidRPr="00734B50" w:rsidRDefault="00FE3510" w:rsidP="00173A20">
      <w:pPr>
        <w:outlineLvl w:val="1"/>
        <w:rPr>
          <w:lang w:val="pt-BR"/>
        </w:rPr>
      </w:pPr>
      <w:r w:rsidRPr="00734B50">
        <w:rPr>
          <w:lang w:val="pt-BR"/>
        </w:rPr>
        <w:t>Promoção de 20% de Desconto para Novos Computadores com Windows Intune</w:t>
      </w:r>
    </w:p>
    <w:p w:rsidR="00173A20" w:rsidRPr="00734B50" w:rsidRDefault="00173A20" w:rsidP="00173A20">
      <w:pPr>
        <w:outlineLvl w:val="1"/>
        <w:rPr>
          <w:lang w:val="pt-BR"/>
        </w:rPr>
      </w:pPr>
    </w:p>
    <w:p w:rsidR="00CD7EA6" w:rsidRPr="00734B50" w:rsidRDefault="00173A20" w:rsidP="003E606C">
      <w:pPr>
        <w:spacing w:after="60"/>
        <w:rPr>
          <w:lang w:val="pt-BR"/>
        </w:rPr>
      </w:pPr>
      <w:r w:rsidRPr="00734B50">
        <w:rPr>
          <w:b/>
          <w:lang w:val="pt-BR"/>
        </w:rPr>
        <w:t>Exclusões</w:t>
      </w:r>
    </w:p>
    <w:p w:rsidR="00685009" w:rsidRPr="00734B50" w:rsidRDefault="00685009" w:rsidP="00685009">
      <w:pPr>
        <w:rPr>
          <w:lang w:val="pt-BR"/>
        </w:rPr>
      </w:pPr>
      <w:r w:rsidRPr="00734B50">
        <w:rPr>
          <w:color w:val="000000"/>
          <w:lang w:val="pt-BR"/>
        </w:rPr>
        <w:t>Access 2010</w:t>
      </w:r>
    </w:p>
    <w:p w:rsidR="00685009" w:rsidRPr="00734B50" w:rsidRDefault="00685009" w:rsidP="00685009">
      <w:pPr>
        <w:rPr>
          <w:lang w:val="pt-BR"/>
        </w:rPr>
      </w:pPr>
      <w:r w:rsidRPr="00734B50">
        <w:rPr>
          <w:color w:val="000000"/>
          <w:lang w:val="pt-BR"/>
        </w:rPr>
        <w:t>Duet Enterprise para Microsoft SharePoint e SAP 1.0</w:t>
      </w:r>
    </w:p>
    <w:p w:rsidR="00685009" w:rsidRPr="00734B50" w:rsidRDefault="00685009" w:rsidP="00685009">
      <w:pPr>
        <w:rPr>
          <w:lang w:val="pt-BR"/>
        </w:rPr>
      </w:pPr>
      <w:r w:rsidRPr="00734B50">
        <w:rPr>
          <w:color w:val="000000"/>
          <w:lang w:val="pt-BR"/>
        </w:rPr>
        <w:t>Dynamics CRM Onprem Mobile</w:t>
      </w:r>
    </w:p>
    <w:p w:rsidR="00685009" w:rsidRPr="00653421" w:rsidRDefault="00685009" w:rsidP="00685009">
      <w:r w:rsidRPr="00653421">
        <w:rPr>
          <w:color w:val="000000"/>
        </w:rPr>
        <w:t>Dynamics CRM Mobile</w:t>
      </w:r>
    </w:p>
    <w:p w:rsidR="00685009" w:rsidRPr="00653421" w:rsidRDefault="00685009" w:rsidP="00685009">
      <w:r w:rsidRPr="00653421">
        <w:rPr>
          <w:color w:val="000000"/>
        </w:rPr>
        <w:t>Excel 2010</w:t>
      </w:r>
    </w:p>
    <w:p w:rsidR="00685009" w:rsidRPr="00653421" w:rsidRDefault="00685009" w:rsidP="00685009">
      <w:r w:rsidRPr="00653421">
        <w:rPr>
          <w:color w:val="000000"/>
        </w:rPr>
        <w:t>External Connector do Exchange Server 2010</w:t>
      </w:r>
    </w:p>
    <w:p w:rsidR="00685009" w:rsidRPr="00653421" w:rsidRDefault="00685009" w:rsidP="00685009">
      <w:r w:rsidRPr="00653421">
        <w:rPr>
          <w:color w:val="000000"/>
        </w:rPr>
        <w:t>FAST SearchServer SharePoint</w:t>
      </w:r>
    </w:p>
    <w:p w:rsidR="00685009" w:rsidRPr="00653421" w:rsidRDefault="00685009" w:rsidP="00685009">
      <w:r w:rsidRPr="00653421">
        <w:rPr>
          <w:color w:val="000000"/>
        </w:rPr>
        <w:t>Forefront Protection Suite</w:t>
      </w:r>
    </w:p>
    <w:p w:rsidR="00685009" w:rsidRPr="00653421" w:rsidRDefault="00685009" w:rsidP="00685009">
      <w:r w:rsidRPr="00653421">
        <w:rPr>
          <w:color w:val="000000"/>
        </w:rPr>
        <w:t>Forefront Security para Exchange Server</w:t>
      </w:r>
    </w:p>
    <w:p w:rsidR="00685009" w:rsidRPr="00653421" w:rsidRDefault="00685009" w:rsidP="00685009">
      <w:r w:rsidRPr="00653421">
        <w:rPr>
          <w:color w:val="000000"/>
        </w:rPr>
        <w:t>Forefront Security Office Communication Server</w:t>
      </w:r>
    </w:p>
    <w:p w:rsidR="00685009" w:rsidRPr="00653421" w:rsidRDefault="00685009" w:rsidP="00685009">
      <w:r w:rsidRPr="00653421">
        <w:rPr>
          <w:color w:val="000000"/>
        </w:rPr>
        <w:t>Forefront Security SharePoint</w:t>
      </w:r>
    </w:p>
    <w:p w:rsidR="00685009" w:rsidRPr="00734B50" w:rsidRDefault="00685009" w:rsidP="00685009">
      <w:pPr>
        <w:rPr>
          <w:lang w:val="pt-BR"/>
        </w:rPr>
      </w:pPr>
      <w:r w:rsidRPr="00734B50">
        <w:rPr>
          <w:color w:val="000000"/>
          <w:lang w:val="pt-BR"/>
        </w:rPr>
        <w:t>Console de Gerenciamento do Forefront Security Server</w:t>
      </w:r>
    </w:p>
    <w:p w:rsidR="00685009" w:rsidRPr="00653421" w:rsidRDefault="00685009" w:rsidP="00685009">
      <w:r w:rsidRPr="00653421">
        <w:rPr>
          <w:color w:val="000000"/>
        </w:rPr>
        <w:t>Forefront Security Web</w:t>
      </w:r>
    </w:p>
    <w:p w:rsidR="00685009" w:rsidRPr="00653421" w:rsidRDefault="00685009" w:rsidP="00685009">
      <w:r w:rsidRPr="00653421">
        <w:rPr>
          <w:color w:val="000000"/>
        </w:rPr>
        <w:t>Forefront Threat Management Gateway Enterprise</w:t>
      </w:r>
    </w:p>
    <w:p w:rsidR="00685009" w:rsidRPr="00653421" w:rsidRDefault="00685009" w:rsidP="00685009">
      <w:r w:rsidRPr="00653421">
        <w:rPr>
          <w:color w:val="000000"/>
        </w:rPr>
        <w:t>Forefront Threat Management Gateway Medium Business</w:t>
      </w:r>
    </w:p>
    <w:p w:rsidR="00685009" w:rsidRPr="00653421" w:rsidRDefault="00685009" w:rsidP="00685009">
      <w:r w:rsidRPr="00653421">
        <w:rPr>
          <w:color w:val="000000"/>
        </w:rPr>
        <w:t>Forefront Threat Management Gateway Standard</w:t>
      </w:r>
    </w:p>
    <w:p w:rsidR="00685009" w:rsidRPr="00653421" w:rsidRDefault="00685009" w:rsidP="00685009">
      <w:r w:rsidRPr="00653421">
        <w:rPr>
          <w:color w:val="000000"/>
        </w:rPr>
        <w:t>Forefront Threat Management Gateway Web Protection Service</w:t>
      </w:r>
    </w:p>
    <w:p w:rsidR="00685009" w:rsidRPr="00653421" w:rsidRDefault="00685009" w:rsidP="00685009">
      <w:r w:rsidRPr="00653421">
        <w:rPr>
          <w:color w:val="000000"/>
        </w:rPr>
        <w:t>Forefront Protection 2010 for Exchange Server</w:t>
      </w:r>
    </w:p>
    <w:p w:rsidR="00685009" w:rsidRPr="00653421" w:rsidRDefault="00685009" w:rsidP="00685009">
      <w:r w:rsidRPr="00653421">
        <w:rPr>
          <w:color w:val="000000"/>
        </w:rPr>
        <w:t>External Connector do Forefront Protection 2010 para Exchange Server</w:t>
      </w:r>
    </w:p>
    <w:p w:rsidR="00685009" w:rsidRPr="00653421" w:rsidRDefault="00685009" w:rsidP="00685009">
      <w:r w:rsidRPr="00653421">
        <w:rPr>
          <w:color w:val="000000"/>
        </w:rPr>
        <w:t>Forefront Protection SharePoint</w:t>
      </w:r>
    </w:p>
    <w:p w:rsidR="00685009" w:rsidRPr="00653421" w:rsidRDefault="00685009" w:rsidP="00685009">
      <w:r w:rsidRPr="00653421">
        <w:rPr>
          <w:color w:val="000000"/>
        </w:rPr>
        <w:t>Groove Enterprise Services</w:t>
      </w:r>
    </w:p>
    <w:p w:rsidR="00685009" w:rsidRPr="00653421" w:rsidRDefault="00685009" w:rsidP="00685009">
      <w:r w:rsidRPr="00653421">
        <w:rPr>
          <w:color w:val="000000"/>
        </w:rPr>
        <w:t>Groove Server</w:t>
      </w:r>
    </w:p>
    <w:p w:rsidR="00685009" w:rsidRPr="00653421" w:rsidRDefault="00685009" w:rsidP="00685009">
      <w:r w:rsidRPr="00653421">
        <w:rPr>
          <w:color w:val="000000"/>
        </w:rPr>
        <w:lastRenderedPageBreak/>
        <w:t>InfoPath 2010</w:t>
      </w:r>
    </w:p>
    <w:p w:rsidR="00685009" w:rsidRPr="00653421" w:rsidRDefault="00685009" w:rsidP="00685009">
      <w:r w:rsidRPr="00653421">
        <w:rPr>
          <w:color w:val="000000"/>
        </w:rPr>
        <w:t>Lync 2010</w:t>
      </w:r>
    </w:p>
    <w:p w:rsidR="00685009" w:rsidRPr="00653421" w:rsidRDefault="00685009" w:rsidP="00685009">
      <w:r w:rsidRPr="00653421">
        <w:rPr>
          <w:color w:val="000000"/>
        </w:rPr>
        <w:t>Lync Server 2010 Enterprise Edition</w:t>
      </w:r>
    </w:p>
    <w:p w:rsidR="00685009" w:rsidRPr="00653421" w:rsidRDefault="00685009" w:rsidP="00685009">
      <w:r w:rsidRPr="00653421">
        <w:rPr>
          <w:color w:val="000000"/>
        </w:rPr>
        <w:t>External Connector do Lync Server 2010 Enterprise</w:t>
      </w:r>
    </w:p>
    <w:p w:rsidR="00685009" w:rsidRPr="00653421" w:rsidRDefault="00685009" w:rsidP="00685009">
      <w:r w:rsidRPr="00653421">
        <w:rPr>
          <w:color w:val="000000"/>
        </w:rPr>
        <w:t>External Connector do Lync Server 2010 Plus</w:t>
      </w:r>
    </w:p>
    <w:p w:rsidR="00685009" w:rsidRPr="00653421" w:rsidRDefault="00685009" w:rsidP="00685009">
      <w:r w:rsidRPr="00653421">
        <w:rPr>
          <w:color w:val="000000"/>
        </w:rPr>
        <w:t>External Connector do Lync Server 2010 Standard</w:t>
      </w:r>
    </w:p>
    <w:p w:rsidR="00685009" w:rsidRPr="00653421" w:rsidRDefault="00685009" w:rsidP="00685009">
      <w:r w:rsidRPr="00653421">
        <w:rPr>
          <w:color w:val="000000"/>
        </w:rPr>
        <w:t>Lync Server 2010 Standard Edition</w:t>
      </w:r>
    </w:p>
    <w:p w:rsidR="00685009" w:rsidRPr="00653421" w:rsidRDefault="00685009" w:rsidP="00685009">
      <w:r w:rsidRPr="00653421">
        <w:rPr>
          <w:color w:val="000000"/>
        </w:rPr>
        <w:t>Office Groove Enterprise Services</w:t>
      </w:r>
    </w:p>
    <w:p w:rsidR="00685009" w:rsidRPr="00653421" w:rsidRDefault="00685009" w:rsidP="00685009">
      <w:r w:rsidRPr="00653421">
        <w:rPr>
          <w:color w:val="000000"/>
        </w:rPr>
        <w:t>Office Multi-Language Pack 2010</w:t>
      </w:r>
    </w:p>
    <w:p w:rsidR="00685009" w:rsidRPr="00653421" w:rsidRDefault="00685009" w:rsidP="00685009">
      <w:r w:rsidRPr="00653421">
        <w:rPr>
          <w:color w:val="000000"/>
        </w:rPr>
        <w:t>Office Professional Plus 2010</w:t>
      </w:r>
    </w:p>
    <w:p w:rsidR="00685009" w:rsidRPr="00653421" w:rsidRDefault="00685009" w:rsidP="00685009">
      <w:r w:rsidRPr="00653421">
        <w:rPr>
          <w:color w:val="000000"/>
        </w:rPr>
        <w:t>Office Standard 2010</w:t>
      </w:r>
    </w:p>
    <w:p w:rsidR="00685009" w:rsidRPr="00653421" w:rsidRDefault="00685009" w:rsidP="00685009">
      <w:r w:rsidRPr="00653421">
        <w:rPr>
          <w:color w:val="000000"/>
        </w:rPr>
        <w:t>Office Small Business Get Genuine</w:t>
      </w:r>
    </w:p>
    <w:p w:rsidR="00685009" w:rsidRPr="00653421" w:rsidRDefault="00685009" w:rsidP="00685009">
      <w:r w:rsidRPr="00653421">
        <w:rPr>
          <w:color w:val="000000"/>
        </w:rPr>
        <w:t>OneNote 2010</w:t>
      </w:r>
    </w:p>
    <w:p w:rsidR="00685009" w:rsidRPr="00653421" w:rsidRDefault="00685009" w:rsidP="00685009">
      <w:r w:rsidRPr="00653421">
        <w:rPr>
          <w:color w:val="000000"/>
        </w:rPr>
        <w:t>Outlook 2010</w:t>
      </w:r>
    </w:p>
    <w:p w:rsidR="00685009" w:rsidRPr="00653421" w:rsidRDefault="00685009" w:rsidP="00685009">
      <w:r w:rsidRPr="00653421">
        <w:rPr>
          <w:color w:val="000000"/>
        </w:rPr>
        <w:t>Outlook com Business Contact Manager</w:t>
      </w:r>
    </w:p>
    <w:p w:rsidR="00685009" w:rsidRPr="00653421" w:rsidRDefault="00685009" w:rsidP="00685009">
      <w:r w:rsidRPr="00653421">
        <w:rPr>
          <w:color w:val="000000"/>
        </w:rPr>
        <w:t>PowerPoint 2010</w:t>
      </w:r>
    </w:p>
    <w:p w:rsidR="00685009" w:rsidRPr="00653421" w:rsidRDefault="00685009" w:rsidP="00685009">
      <w:r w:rsidRPr="00653421">
        <w:rPr>
          <w:color w:val="000000"/>
        </w:rPr>
        <w:t>Project 2010 Standard</w:t>
      </w:r>
    </w:p>
    <w:p w:rsidR="00685009" w:rsidRPr="00653421" w:rsidRDefault="00685009" w:rsidP="00685009">
      <w:r w:rsidRPr="00653421">
        <w:rPr>
          <w:color w:val="000000"/>
        </w:rPr>
        <w:t>Project 2010 Professional</w:t>
      </w:r>
    </w:p>
    <w:p w:rsidR="00685009" w:rsidRPr="00653421" w:rsidRDefault="00685009" w:rsidP="00685009">
      <w:r w:rsidRPr="00653421">
        <w:rPr>
          <w:color w:val="000000"/>
        </w:rPr>
        <w:t>Search Server 2010</w:t>
      </w:r>
    </w:p>
    <w:p w:rsidR="00685009" w:rsidRPr="00734B50" w:rsidRDefault="00685009" w:rsidP="00685009">
      <w:pPr>
        <w:rPr>
          <w:lang w:val="fr-FR"/>
        </w:rPr>
      </w:pPr>
      <w:r w:rsidRPr="00734B50">
        <w:rPr>
          <w:color w:val="000000"/>
          <w:lang w:val="fr-FR"/>
        </w:rPr>
        <w:t>SharePoint Server 2010 para Internet Sites Enterprise</w:t>
      </w:r>
    </w:p>
    <w:p w:rsidR="00685009" w:rsidRPr="00653421" w:rsidRDefault="00685009" w:rsidP="00685009">
      <w:r w:rsidRPr="00653421">
        <w:rPr>
          <w:color w:val="000000"/>
        </w:rPr>
        <w:t>SharePoint Server 2010 para Internet Sites Standard</w:t>
      </w:r>
    </w:p>
    <w:p w:rsidR="00685009" w:rsidRPr="00653421" w:rsidRDefault="00685009" w:rsidP="00685009">
      <w:r w:rsidRPr="00653421">
        <w:rPr>
          <w:color w:val="000000"/>
        </w:rPr>
        <w:t>SharePoint Workspace 2010</w:t>
      </w:r>
    </w:p>
    <w:p w:rsidR="00685009" w:rsidRPr="00653421" w:rsidRDefault="00685009" w:rsidP="00685009">
      <w:r w:rsidRPr="00653421">
        <w:rPr>
          <w:color w:val="000000"/>
        </w:rPr>
        <w:t>Visio 2010 Premium</w:t>
      </w:r>
    </w:p>
    <w:p w:rsidR="00685009" w:rsidRPr="00653421" w:rsidRDefault="00685009" w:rsidP="00685009">
      <w:r w:rsidRPr="00653421">
        <w:rPr>
          <w:color w:val="000000"/>
        </w:rPr>
        <w:t>Visio 2010 Standard</w:t>
      </w:r>
    </w:p>
    <w:p w:rsidR="00685009" w:rsidRPr="00653421" w:rsidRDefault="00685009" w:rsidP="00685009">
      <w:r w:rsidRPr="00653421">
        <w:rPr>
          <w:color w:val="000000"/>
        </w:rPr>
        <w:t>Windows Intune (Por Dispositivo)</w:t>
      </w:r>
    </w:p>
    <w:p w:rsidR="00685009" w:rsidRPr="00653421" w:rsidRDefault="00685009" w:rsidP="00685009">
      <w:r w:rsidRPr="00653421">
        <w:rPr>
          <w:color w:val="000000"/>
        </w:rPr>
        <w:t>Complemento do Windows Intune (Por Dispositivo)</w:t>
      </w:r>
    </w:p>
    <w:p w:rsidR="00685009" w:rsidRPr="00653421" w:rsidRDefault="00685009" w:rsidP="00685009">
      <w:r w:rsidRPr="00653421">
        <w:rPr>
          <w:color w:val="000000"/>
        </w:rPr>
        <w:t>Windows MultiPoint Server 2011 Standard</w:t>
      </w:r>
    </w:p>
    <w:p w:rsidR="00685009" w:rsidRPr="00653421" w:rsidRDefault="00685009" w:rsidP="00685009">
      <w:r w:rsidRPr="00653421">
        <w:rPr>
          <w:color w:val="000000"/>
        </w:rPr>
        <w:t>Windows MultiPoint Server 2011 Premium</w:t>
      </w:r>
    </w:p>
    <w:p w:rsidR="00685009" w:rsidRPr="00653421" w:rsidRDefault="00685009" w:rsidP="00685009">
      <w:r w:rsidRPr="00653421">
        <w:rPr>
          <w:color w:val="000000"/>
        </w:rPr>
        <w:t>CAL do Windows MultiPoint Server 2011</w:t>
      </w:r>
    </w:p>
    <w:p w:rsidR="00685009" w:rsidRPr="00653421" w:rsidRDefault="00685009" w:rsidP="00685009">
      <w:r w:rsidRPr="00653421">
        <w:rPr>
          <w:color w:val="000000"/>
        </w:rPr>
        <w:t>CAL do Windows MultiPoint Server 2011 com CAL do Windows Server 2008</w:t>
      </w:r>
    </w:p>
    <w:p w:rsidR="00685009" w:rsidRPr="00653421" w:rsidRDefault="00685009" w:rsidP="00685009">
      <w:r w:rsidRPr="00653421">
        <w:rPr>
          <w:color w:val="000000"/>
        </w:rPr>
        <w:t>Windows MultiPoint Server 2011 Premium com CAL do Windows MultiPoint Server 2011 (5 Clientes)</w:t>
      </w:r>
    </w:p>
    <w:p w:rsidR="00685009" w:rsidRPr="00734B50" w:rsidRDefault="00685009" w:rsidP="00685009">
      <w:pPr>
        <w:rPr>
          <w:lang w:val="pt-BR"/>
        </w:rPr>
      </w:pPr>
      <w:r w:rsidRPr="00734B50">
        <w:rPr>
          <w:color w:val="000000"/>
          <w:lang w:val="pt-BR"/>
        </w:rPr>
        <w:t>Windows MultiPoint Server 2011 Premium com CAL do Windows MultiPoint Server 2011 (5 Clientes) com</w:t>
      </w:r>
      <w:r w:rsidR="001C0BE9" w:rsidRPr="00734B50">
        <w:rPr>
          <w:color w:val="000000"/>
          <w:lang w:val="pt-BR"/>
        </w:rPr>
        <w:t> </w:t>
      </w:r>
      <w:r w:rsidRPr="00734B50">
        <w:rPr>
          <w:color w:val="000000"/>
          <w:lang w:val="pt-BR"/>
        </w:rPr>
        <w:t>CAL</w:t>
      </w:r>
      <w:r w:rsidR="001C0BE9" w:rsidRPr="00734B50">
        <w:rPr>
          <w:color w:val="000000"/>
          <w:lang w:val="pt-BR"/>
        </w:rPr>
        <w:t> </w:t>
      </w:r>
      <w:r w:rsidRPr="00734B50">
        <w:rPr>
          <w:color w:val="000000"/>
          <w:lang w:val="pt-BR"/>
        </w:rPr>
        <w:t>do</w:t>
      </w:r>
      <w:r w:rsidR="001C0BE9" w:rsidRPr="00734B50">
        <w:rPr>
          <w:color w:val="000000"/>
          <w:lang w:val="pt-BR"/>
        </w:rPr>
        <w:t> </w:t>
      </w:r>
      <w:r w:rsidRPr="00734B50">
        <w:rPr>
          <w:color w:val="000000"/>
          <w:lang w:val="pt-BR"/>
        </w:rPr>
        <w:t>Windows Server 2008 (5 Clientes)</w:t>
      </w:r>
    </w:p>
    <w:p w:rsidR="00685009" w:rsidRPr="00734B50" w:rsidRDefault="00685009" w:rsidP="00685009">
      <w:pPr>
        <w:rPr>
          <w:lang w:val="pt-BR"/>
        </w:rPr>
      </w:pPr>
      <w:r w:rsidRPr="00734B50">
        <w:rPr>
          <w:color w:val="000000"/>
          <w:lang w:val="pt-BR"/>
        </w:rPr>
        <w:t>Word 2010</w:t>
      </w:r>
    </w:p>
    <w:p w:rsidR="00173A20" w:rsidRPr="00734B50" w:rsidRDefault="00173A20" w:rsidP="00173A20">
      <w:pPr>
        <w:rPr>
          <w:lang w:val="pt-BR"/>
        </w:rPr>
      </w:pPr>
    </w:p>
    <w:p w:rsidR="00A33CF7" w:rsidRPr="00734B50" w:rsidRDefault="00A33CF7" w:rsidP="00173A20">
      <w:pPr>
        <w:rPr>
          <w:lang w:val="pt-BR"/>
        </w:rPr>
      </w:pPr>
    </w:p>
    <w:p w:rsidR="00E64830" w:rsidRPr="00734B50" w:rsidRDefault="00E64830" w:rsidP="00E64830">
      <w:pPr>
        <w:pStyle w:val="Heading2"/>
        <w:ind w:left="0"/>
        <w:jc w:val="both"/>
        <w:rPr>
          <w:lang w:val="pt-BR"/>
        </w:rPr>
      </w:pPr>
      <w:bookmarkStart w:id="627" w:name="_Toc353470821"/>
      <w:r w:rsidRPr="00734B50">
        <w:rPr>
          <w:rFonts w:ascii="Tahoma" w:hAnsi="Tahoma" w:cs="Tahoma"/>
          <w:color w:val="FF6600"/>
          <w:lang w:val="pt-BR"/>
        </w:rPr>
        <w:t>ALTERAÇÕES EM NOVEMBRO DE 2012</w:t>
      </w:r>
      <w:bookmarkEnd w:id="627"/>
    </w:p>
    <w:p w:rsidR="00E64830" w:rsidRPr="00734B50" w:rsidRDefault="00E64830" w:rsidP="007B0DDA">
      <w:pPr>
        <w:pStyle w:val="Heading2"/>
        <w:ind w:left="0"/>
        <w:jc w:val="both"/>
        <w:rPr>
          <w:sz w:val="18"/>
          <w:szCs w:val="18"/>
          <w:lang w:val="pt-BR"/>
        </w:rPr>
      </w:pPr>
    </w:p>
    <w:p w:rsidR="00E64830" w:rsidRPr="00734B50" w:rsidRDefault="00E64830" w:rsidP="003E606C">
      <w:pPr>
        <w:spacing w:after="60"/>
        <w:rPr>
          <w:lang w:val="pt-BR"/>
        </w:rPr>
      </w:pPr>
      <w:r w:rsidRPr="00734B50">
        <w:rPr>
          <w:b/>
          <w:lang w:val="pt-BR"/>
        </w:rPr>
        <w:t>Adições</w:t>
      </w:r>
    </w:p>
    <w:p w:rsidR="00E64830" w:rsidRPr="00734B50" w:rsidRDefault="00E64830" w:rsidP="00C530A9">
      <w:pPr>
        <w:rPr>
          <w:lang w:val="pt-BR"/>
        </w:rPr>
      </w:pPr>
      <w:r w:rsidRPr="00734B50">
        <w:rPr>
          <w:lang w:val="pt-BR"/>
        </w:rPr>
        <w:t>Microsoft Windows Server Essentials 2012</w:t>
      </w:r>
    </w:p>
    <w:p w:rsidR="00E64830" w:rsidRPr="00734B50" w:rsidRDefault="00E64830" w:rsidP="00C530A9">
      <w:pPr>
        <w:rPr>
          <w:lang w:val="pt-BR"/>
        </w:rPr>
      </w:pPr>
      <w:r w:rsidRPr="00734B50">
        <w:rPr>
          <w:lang w:val="pt-BR"/>
        </w:rPr>
        <w:t>Microsoft AutoRoute Euro 2013</w:t>
      </w:r>
    </w:p>
    <w:p w:rsidR="00E64830" w:rsidRPr="00734B50" w:rsidRDefault="00E64830" w:rsidP="00C530A9">
      <w:pPr>
        <w:rPr>
          <w:lang w:val="pt-BR"/>
        </w:rPr>
      </w:pPr>
      <w:r w:rsidRPr="00734B50">
        <w:rPr>
          <w:lang w:val="pt-BR"/>
        </w:rPr>
        <w:t>Microsoft Desktop Organization Pack 2012 para Software Assurance</w:t>
      </w:r>
    </w:p>
    <w:p w:rsidR="00E64830" w:rsidRPr="00734B50" w:rsidRDefault="00E64830" w:rsidP="00C530A9">
      <w:pPr>
        <w:rPr>
          <w:lang w:val="pt-BR"/>
        </w:rPr>
      </w:pPr>
    </w:p>
    <w:p w:rsidR="00D24E3C" w:rsidRPr="00734B50" w:rsidRDefault="00D24E3C" w:rsidP="003E606C">
      <w:pPr>
        <w:spacing w:after="60"/>
        <w:rPr>
          <w:lang w:val="pt-BR"/>
        </w:rPr>
      </w:pPr>
      <w:r w:rsidRPr="00734B50">
        <w:rPr>
          <w:b/>
          <w:lang w:val="pt-BR"/>
        </w:rPr>
        <w:t>Promoções</w:t>
      </w:r>
    </w:p>
    <w:p w:rsidR="00D24E3C" w:rsidRPr="00734B50" w:rsidRDefault="00D24E3C" w:rsidP="00E64830">
      <w:pPr>
        <w:rPr>
          <w:lang w:val="pt-BR"/>
        </w:rPr>
      </w:pPr>
      <w:r w:rsidRPr="00734B50">
        <w:rPr>
          <w:color w:val="000000"/>
          <w:lang w:val="pt-BR"/>
        </w:rPr>
        <w:t>As seguintes promoções foram adicionadas:</w:t>
      </w:r>
    </w:p>
    <w:p w:rsidR="00D24E3C" w:rsidRPr="00734B50" w:rsidRDefault="00D24E3C" w:rsidP="00E64830">
      <w:pPr>
        <w:rPr>
          <w:lang w:val="pt-BR"/>
        </w:rPr>
      </w:pPr>
      <w:r w:rsidRPr="00734B50">
        <w:rPr>
          <w:color w:val="000000"/>
          <w:lang w:val="pt-BR"/>
        </w:rPr>
        <w:t>30% de Desconto na Atualização para o Visual Studio Premium com MSDN</w:t>
      </w:r>
    </w:p>
    <w:p w:rsidR="00D24E3C" w:rsidRPr="00653421" w:rsidRDefault="00D24E3C" w:rsidP="00ED2410">
      <w:r w:rsidRPr="00653421">
        <w:t>Step-up para Windows 8 com SA</w:t>
      </w:r>
    </w:p>
    <w:p w:rsidR="00D24E3C" w:rsidRPr="00734B50" w:rsidRDefault="00D24E3C" w:rsidP="00ED2410">
      <w:pPr>
        <w:rPr>
          <w:lang w:val="pt-BR"/>
        </w:rPr>
      </w:pPr>
      <w:r w:rsidRPr="00734B50">
        <w:rPr>
          <w:lang w:val="pt-BR"/>
        </w:rPr>
        <w:t>Promoção de 20% de Desconto para Novos Computadores com Windows Intune</w:t>
      </w:r>
    </w:p>
    <w:p w:rsidR="00D24E3C" w:rsidRPr="00734B50" w:rsidRDefault="00D24E3C" w:rsidP="00E64830">
      <w:pPr>
        <w:rPr>
          <w:lang w:val="pt-BR"/>
        </w:rPr>
      </w:pPr>
    </w:p>
    <w:p w:rsidR="00E64830" w:rsidRPr="00734B50" w:rsidRDefault="00E64830" w:rsidP="003E606C">
      <w:pPr>
        <w:spacing w:after="60"/>
        <w:rPr>
          <w:lang w:val="pt-BR"/>
        </w:rPr>
      </w:pPr>
      <w:r w:rsidRPr="00734B50">
        <w:rPr>
          <w:b/>
          <w:lang w:val="pt-BR"/>
        </w:rPr>
        <w:t>Alterações</w:t>
      </w:r>
    </w:p>
    <w:p w:rsidR="00D24E3C" w:rsidRPr="00734B50" w:rsidRDefault="00D8428A" w:rsidP="00E64830">
      <w:pPr>
        <w:rPr>
          <w:lang w:val="pt-BR"/>
        </w:rPr>
      </w:pPr>
      <w:r w:rsidRPr="00734B50">
        <w:rPr>
          <w:color w:val="000000"/>
          <w:lang w:val="pt-BR"/>
        </w:rPr>
        <w:t>Foram feitas atualizações nos seguintes produtos:</w:t>
      </w:r>
    </w:p>
    <w:p w:rsidR="003A5ABA" w:rsidRPr="00653421" w:rsidRDefault="00D8428A" w:rsidP="00E64830">
      <w:r w:rsidRPr="00653421">
        <w:rPr>
          <w:color w:val="000000"/>
        </w:rPr>
        <w:t>Microsoft Desktop Optimization Pack</w:t>
      </w:r>
    </w:p>
    <w:p w:rsidR="000225E7" w:rsidRPr="00653421" w:rsidRDefault="000225E7" w:rsidP="00C530A9"/>
    <w:p w:rsidR="00E64830" w:rsidRPr="00653421" w:rsidRDefault="00E64830" w:rsidP="003E606C">
      <w:pPr>
        <w:spacing w:after="60"/>
      </w:pPr>
      <w:r w:rsidRPr="00653421">
        <w:rPr>
          <w:b/>
        </w:rPr>
        <w:t>Exclusões</w:t>
      </w:r>
    </w:p>
    <w:p w:rsidR="00E64830" w:rsidRPr="00653421" w:rsidRDefault="00E64830" w:rsidP="00C530A9">
      <w:r w:rsidRPr="00653421">
        <w:t>Windows Small Business Server Essentials 2011</w:t>
      </w:r>
    </w:p>
    <w:p w:rsidR="00E64830" w:rsidRPr="00734B50" w:rsidRDefault="00E64830" w:rsidP="00C530A9">
      <w:pPr>
        <w:rPr>
          <w:lang w:val="pt-BR"/>
        </w:rPr>
      </w:pPr>
      <w:r w:rsidRPr="00734B50">
        <w:rPr>
          <w:lang w:val="pt-BR"/>
        </w:rPr>
        <w:t>AutoRoute 2011</w:t>
      </w:r>
    </w:p>
    <w:p w:rsidR="00E64830" w:rsidRPr="00734B50" w:rsidRDefault="00E64830" w:rsidP="00C530A9">
      <w:pPr>
        <w:rPr>
          <w:lang w:val="pt-BR"/>
        </w:rPr>
      </w:pPr>
      <w:r w:rsidRPr="00734B50">
        <w:rPr>
          <w:lang w:val="pt-BR"/>
        </w:rPr>
        <w:t>Microsoft Desktop Optimization Pack 2011 R2 para Software Assurance</w:t>
      </w:r>
    </w:p>
    <w:p w:rsidR="007B0DDA" w:rsidRPr="00734B50" w:rsidRDefault="007B0DDA" w:rsidP="007B0DDA">
      <w:pPr>
        <w:pStyle w:val="Heading2"/>
        <w:ind w:left="0"/>
        <w:jc w:val="both"/>
        <w:rPr>
          <w:lang w:val="pt-BR"/>
        </w:rPr>
      </w:pPr>
      <w:bookmarkStart w:id="628" w:name="_Toc336338169"/>
      <w:bookmarkStart w:id="629" w:name="_Toc353470822"/>
      <w:r w:rsidRPr="00734B50">
        <w:rPr>
          <w:rFonts w:ascii="Tahoma" w:hAnsi="Tahoma" w:cs="Tahoma"/>
          <w:color w:val="FF6600"/>
          <w:lang w:val="pt-BR"/>
        </w:rPr>
        <w:lastRenderedPageBreak/>
        <w:t>ALTERAÇÕES EM OUTUBRO DE 2012</w:t>
      </w:r>
      <w:bookmarkEnd w:id="628"/>
      <w:bookmarkEnd w:id="629"/>
    </w:p>
    <w:p w:rsidR="007B0DDA" w:rsidRPr="00734B50" w:rsidRDefault="007B0DDA" w:rsidP="007B0DDA">
      <w:pPr>
        <w:rPr>
          <w:lang w:val="pt-BR"/>
        </w:rPr>
      </w:pPr>
    </w:p>
    <w:p w:rsidR="007B0DDA" w:rsidRPr="00734B50" w:rsidRDefault="007B0DDA" w:rsidP="003E606C">
      <w:pPr>
        <w:spacing w:after="60"/>
        <w:rPr>
          <w:lang w:val="pt-BR"/>
        </w:rPr>
      </w:pPr>
      <w:r w:rsidRPr="00734B50">
        <w:rPr>
          <w:b/>
          <w:lang w:val="pt-BR"/>
        </w:rPr>
        <w:t>Adições</w:t>
      </w:r>
    </w:p>
    <w:p w:rsidR="007B0DDA" w:rsidRPr="00734B50" w:rsidRDefault="00AD19DE" w:rsidP="007B0DDA">
      <w:pPr>
        <w:rPr>
          <w:lang w:val="pt-BR"/>
        </w:rPr>
      </w:pPr>
      <w:r w:rsidRPr="00734B50">
        <w:rPr>
          <w:rFonts w:cs="Tahoma"/>
          <w:color w:val="000000"/>
          <w:szCs w:val="20"/>
          <w:lang w:val="pt-BR"/>
        </w:rPr>
        <w:t>Licença de Assinatura do Windows Companion</w:t>
      </w:r>
    </w:p>
    <w:p w:rsidR="007B0DDA" w:rsidRPr="00734B50" w:rsidRDefault="007B0DDA" w:rsidP="007B0DDA">
      <w:pPr>
        <w:rPr>
          <w:lang w:val="pt-BR"/>
        </w:rPr>
      </w:pPr>
    </w:p>
    <w:p w:rsidR="007B0DDA" w:rsidRPr="00734B50" w:rsidRDefault="007B0DDA" w:rsidP="003E606C">
      <w:pPr>
        <w:spacing w:after="60"/>
        <w:rPr>
          <w:lang w:val="pt-BR"/>
        </w:rPr>
      </w:pPr>
      <w:r w:rsidRPr="00734B50">
        <w:rPr>
          <w:b/>
          <w:lang w:val="pt-BR"/>
        </w:rPr>
        <w:t>Alterações</w:t>
      </w:r>
    </w:p>
    <w:p w:rsidR="007B0DDA" w:rsidRPr="00734B50" w:rsidRDefault="007B0DDA" w:rsidP="007B0DDA">
      <w:pPr>
        <w:rPr>
          <w:lang w:val="pt-BR"/>
        </w:rPr>
      </w:pPr>
      <w:r w:rsidRPr="00734B50">
        <w:rPr>
          <w:rFonts w:cs="Tahoma"/>
          <w:color w:val="000000"/>
          <w:szCs w:val="20"/>
          <w:lang w:val="pt-BR"/>
        </w:rPr>
        <w:t>Os valores de ponto foram alterados para os seguintes produtos:</w:t>
      </w:r>
    </w:p>
    <w:p w:rsidR="007B0DDA" w:rsidRPr="00734B50" w:rsidRDefault="007B0DDA" w:rsidP="007B0DDA">
      <w:pPr>
        <w:rPr>
          <w:lang w:val="fr-FR"/>
        </w:rPr>
      </w:pPr>
      <w:r w:rsidRPr="00734B50">
        <w:rPr>
          <w:rFonts w:cs="Tahoma"/>
          <w:color w:val="000000"/>
          <w:szCs w:val="20"/>
          <w:lang w:val="fr-FR"/>
        </w:rPr>
        <w:t>Core Infrastructure Server Suite Datacenter</w:t>
      </w:r>
    </w:p>
    <w:p w:rsidR="007B0DDA" w:rsidRPr="00734B50" w:rsidRDefault="007B0DDA" w:rsidP="007B0DDA">
      <w:pPr>
        <w:rPr>
          <w:lang w:val="fr-FR"/>
        </w:rPr>
      </w:pPr>
      <w:r w:rsidRPr="00734B50">
        <w:rPr>
          <w:rFonts w:cs="Tahoma"/>
          <w:color w:val="000000"/>
          <w:szCs w:val="20"/>
          <w:lang w:val="fr-FR"/>
        </w:rPr>
        <w:t>Core Infrastructure Server Suite Standard</w:t>
      </w:r>
    </w:p>
    <w:p w:rsidR="007B0DDA" w:rsidRPr="00734B50" w:rsidRDefault="007B0DDA" w:rsidP="007B0DDA">
      <w:pPr>
        <w:rPr>
          <w:lang w:val="pt-BR"/>
        </w:rPr>
      </w:pPr>
      <w:r w:rsidRPr="00734B50">
        <w:rPr>
          <w:rFonts w:cs="Tahoma"/>
          <w:color w:val="000000"/>
          <w:szCs w:val="20"/>
          <w:lang w:val="pt-BR"/>
        </w:rPr>
        <w:t>Licença de Gerenciamento do System Center 2012 Standard Server (2 processadores)</w:t>
      </w:r>
    </w:p>
    <w:p w:rsidR="007B0DDA" w:rsidRPr="00734B50" w:rsidRDefault="007B0DDA" w:rsidP="007B0DDA">
      <w:pPr>
        <w:rPr>
          <w:lang w:val="pt-BR"/>
        </w:rPr>
      </w:pPr>
      <w:r w:rsidRPr="00734B50">
        <w:rPr>
          <w:rFonts w:cs="Tahoma"/>
          <w:color w:val="000000"/>
          <w:szCs w:val="20"/>
          <w:lang w:val="pt-BR"/>
        </w:rPr>
        <w:t>Licença de Gerenciamento do System Center 2012 Datacenter Server (2 processadores)</w:t>
      </w:r>
    </w:p>
    <w:p w:rsidR="007B0DDA" w:rsidRPr="00734B50" w:rsidRDefault="007B0DDA" w:rsidP="007B0DDA">
      <w:pPr>
        <w:rPr>
          <w:lang w:val="pt-BR"/>
        </w:rPr>
      </w:pPr>
      <w:r w:rsidRPr="00734B50">
        <w:rPr>
          <w:rFonts w:cs="Tahoma"/>
          <w:color w:val="000000"/>
          <w:szCs w:val="20"/>
          <w:lang w:val="pt-BR"/>
        </w:rPr>
        <w:t>System Center Configuration Manager 2007 R3</w:t>
      </w:r>
    </w:p>
    <w:p w:rsidR="007B0DDA" w:rsidRPr="00734B50" w:rsidRDefault="007B0DDA" w:rsidP="007B0DDA">
      <w:pPr>
        <w:rPr>
          <w:lang w:val="pt-BR"/>
        </w:rPr>
      </w:pPr>
      <w:r w:rsidRPr="00734B50">
        <w:rPr>
          <w:rFonts w:cs="Tahoma"/>
          <w:color w:val="000000"/>
          <w:szCs w:val="20"/>
          <w:lang w:val="pt-BR"/>
        </w:rPr>
        <w:t xml:space="preserve">Licença de Gerenciamento de Servidor do System Center Configuration Manager 2007 R3 Enterprise </w:t>
      </w:r>
    </w:p>
    <w:p w:rsidR="007B0DDA" w:rsidRPr="00734B50" w:rsidRDefault="007B0DDA" w:rsidP="007B0DDA">
      <w:pPr>
        <w:rPr>
          <w:lang w:val="pt-BR"/>
        </w:rPr>
      </w:pPr>
      <w:r w:rsidRPr="00734B50">
        <w:rPr>
          <w:rFonts w:cs="Tahoma"/>
          <w:color w:val="000000"/>
          <w:szCs w:val="20"/>
          <w:lang w:val="pt-BR"/>
        </w:rPr>
        <w:t>Licença de Gerenciamento de Servidor Standard (ML de Servidor Standard) do System Center Configuration Manager</w:t>
      </w:r>
      <w:r w:rsidR="00465D54" w:rsidRPr="00734B50">
        <w:rPr>
          <w:rFonts w:cs="Tahoma"/>
          <w:color w:val="000000"/>
          <w:szCs w:val="20"/>
          <w:lang w:val="pt-BR"/>
        </w:rPr>
        <w:t> </w:t>
      </w:r>
      <w:r w:rsidRPr="00734B50">
        <w:rPr>
          <w:rFonts w:cs="Tahoma"/>
          <w:color w:val="000000"/>
          <w:szCs w:val="20"/>
          <w:lang w:val="pt-BR"/>
        </w:rPr>
        <w:t>2007 R3)</w:t>
      </w:r>
    </w:p>
    <w:p w:rsidR="007B0DDA" w:rsidRPr="00734B50" w:rsidRDefault="007B0DDA" w:rsidP="007B0DDA">
      <w:pPr>
        <w:rPr>
          <w:lang w:val="pt-BR"/>
        </w:rPr>
      </w:pPr>
      <w:r w:rsidRPr="00734B50">
        <w:rPr>
          <w:rFonts w:cs="Tahoma"/>
          <w:color w:val="000000"/>
          <w:szCs w:val="20"/>
          <w:lang w:val="pt-BR"/>
        </w:rPr>
        <w:t>System Center Configuration Manager 2007 R3 com Tecnologia SQL Server 2008</w:t>
      </w:r>
    </w:p>
    <w:p w:rsidR="007B0DDA" w:rsidRPr="00734B50" w:rsidRDefault="007B0DDA" w:rsidP="007B0DDA">
      <w:pPr>
        <w:rPr>
          <w:lang w:val="pt-BR"/>
        </w:rPr>
      </w:pPr>
      <w:r w:rsidRPr="00734B50">
        <w:rPr>
          <w:rFonts w:cs="Tahoma"/>
          <w:color w:val="000000"/>
          <w:szCs w:val="20"/>
          <w:lang w:val="pt-BR"/>
        </w:rPr>
        <w:t>Licença de Gerenciamento de Cliente do System Center Data Protection Manager 2010 por Usuário</w:t>
      </w:r>
    </w:p>
    <w:p w:rsidR="007B0DDA" w:rsidRPr="00734B50" w:rsidRDefault="007B0DDA" w:rsidP="007B0DDA">
      <w:pPr>
        <w:rPr>
          <w:lang w:val="pt-BR"/>
        </w:rPr>
      </w:pPr>
      <w:r w:rsidRPr="00734B50">
        <w:rPr>
          <w:rFonts w:cs="Tahoma"/>
          <w:color w:val="000000"/>
          <w:szCs w:val="20"/>
          <w:lang w:val="pt-BR"/>
        </w:rPr>
        <w:t>Licença de Gerenciamento de Cliente do System Center Data Protection Manager 2010 por OSE</w:t>
      </w:r>
    </w:p>
    <w:p w:rsidR="007B0DDA" w:rsidRPr="00734B50" w:rsidRDefault="007B0DDA" w:rsidP="007B0DDA">
      <w:pPr>
        <w:rPr>
          <w:lang w:val="pt-BR"/>
        </w:rPr>
      </w:pPr>
      <w:r w:rsidRPr="00734B50">
        <w:rPr>
          <w:rFonts w:cs="Tahoma"/>
          <w:color w:val="000000"/>
          <w:szCs w:val="20"/>
          <w:lang w:val="pt-BR"/>
        </w:rPr>
        <w:t xml:space="preserve">Licença de Gerenciamento de Servidor Enterprise do System Center Data Protection Manager 2010 </w:t>
      </w:r>
    </w:p>
    <w:p w:rsidR="007B0DDA" w:rsidRPr="00734B50" w:rsidRDefault="007B0DDA" w:rsidP="007B0DDA">
      <w:pPr>
        <w:rPr>
          <w:lang w:val="pt-BR"/>
        </w:rPr>
      </w:pPr>
      <w:r w:rsidRPr="00734B50">
        <w:rPr>
          <w:rFonts w:cs="Tahoma"/>
          <w:color w:val="000000"/>
          <w:szCs w:val="20"/>
          <w:lang w:val="pt-BR"/>
        </w:rPr>
        <w:t xml:space="preserve">Licença de Gerenciamento de Servidor Standard do System Center Data Protection Manager 2010 </w:t>
      </w:r>
    </w:p>
    <w:p w:rsidR="007B0DDA" w:rsidRPr="00734B50" w:rsidRDefault="007B0DDA" w:rsidP="007B0DDA">
      <w:pPr>
        <w:rPr>
          <w:lang w:val="pt-BR"/>
        </w:rPr>
      </w:pPr>
      <w:r w:rsidRPr="00734B50">
        <w:rPr>
          <w:rFonts w:cs="Tahoma"/>
          <w:color w:val="000000"/>
          <w:szCs w:val="20"/>
          <w:lang w:val="pt-BR"/>
        </w:rPr>
        <w:t>System Center Operations Manager 2007 R2</w:t>
      </w:r>
    </w:p>
    <w:p w:rsidR="007B0DDA" w:rsidRPr="00734B50" w:rsidRDefault="007B0DDA" w:rsidP="007B0DDA">
      <w:pPr>
        <w:rPr>
          <w:lang w:val="pt-BR"/>
        </w:rPr>
      </w:pPr>
      <w:r w:rsidRPr="00734B50">
        <w:rPr>
          <w:rFonts w:cs="Tahoma"/>
          <w:color w:val="000000"/>
          <w:szCs w:val="20"/>
          <w:lang w:val="pt-BR"/>
        </w:rPr>
        <w:t>System Center Operations Manager 2007 R2 com Tecnologia SQL Server 2008</w:t>
      </w:r>
    </w:p>
    <w:p w:rsidR="007B0DDA" w:rsidRPr="00734B50" w:rsidRDefault="007B0DDA" w:rsidP="007B0DDA">
      <w:pPr>
        <w:rPr>
          <w:lang w:val="pt-BR"/>
        </w:rPr>
      </w:pPr>
      <w:r w:rsidRPr="00734B50">
        <w:rPr>
          <w:rFonts w:cs="Tahoma"/>
          <w:color w:val="000000"/>
          <w:szCs w:val="20"/>
          <w:lang w:val="pt-BR"/>
        </w:rPr>
        <w:t xml:space="preserve">Licença de Gerenciamento de Servidor Standard do System Center Operations Manager 2007 R2 </w:t>
      </w:r>
    </w:p>
    <w:p w:rsidR="007B0DDA" w:rsidRPr="00734B50" w:rsidRDefault="007B0DDA" w:rsidP="007B0DDA">
      <w:pPr>
        <w:rPr>
          <w:lang w:val="pt-BR"/>
        </w:rPr>
      </w:pPr>
      <w:r w:rsidRPr="00734B50">
        <w:rPr>
          <w:rFonts w:cs="Tahoma"/>
          <w:color w:val="000000"/>
          <w:szCs w:val="20"/>
          <w:lang w:val="pt-BR"/>
        </w:rPr>
        <w:t xml:space="preserve">Licença de Gerenciamento de Servidor Enterprise do System Center Operations Manager 2007 R2 </w:t>
      </w:r>
    </w:p>
    <w:p w:rsidR="007B0DDA" w:rsidRPr="00734B50" w:rsidRDefault="007B0DDA" w:rsidP="007B0DDA">
      <w:pPr>
        <w:rPr>
          <w:lang w:val="pt-BR"/>
        </w:rPr>
      </w:pPr>
      <w:r w:rsidRPr="00734B50">
        <w:rPr>
          <w:rFonts w:cs="Tahoma"/>
          <w:color w:val="000000"/>
          <w:szCs w:val="20"/>
          <w:lang w:val="pt-BR"/>
        </w:rPr>
        <w:t>Licença de Gerenciamento de Cliente do System Center Operations Manager 2007 R2 por OSE</w:t>
      </w:r>
    </w:p>
    <w:p w:rsidR="007B0DDA" w:rsidRPr="00734B50" w:rsidRDefault="007B0DDA" w:rsidP="007B0DDA">
      <w:pPr>
        <w:rPr>
          <w:lang w:val="pt-BR"/>
        </w:rPr>
      </w:pPr>
      <w:r w:rsidRPr="00734B50">
        <w:rPr>
          <w:rFonts w:cs="Tahoma"/>
          <w:color w:val="000000"/>
          <w:szCs w:val="20"/>
          <w:lang w:val="pt-BR"/>
        </w:rPr>
        <w:t>Licença de Gerenciamento de Cliente do System Center Operations Manager 2007 R2 por Usuário</w:t>
      </w:r>
    </w:p>
    <w:p w:rsidR="007B0DDA" w:rsidRPr="00734B50" w:rsidRDefault="007B0DDA" w:rsidP="007B0DDA">
      <w:pPr>
        <w:rPr>
          <w:lang w:val="pt-BR"/>
        </w:rPr>
      </w:pPr>
      <w:r w:rsidRPr="00734B50">
        <w:rPr>
          <w:rFonts w:cs="Tahoma"/>
          <w:color w:val="000000"/>
          <w:szCs w:val="20"/>
          <w:lang w:val="pt-BR"/>
        </w:rPr>
        <w:t xml:space="preserve">System Center Server Management Suite Enterprise </w:t>
      </w:r>
    </w:p>
    <w:p w:rsidR="007B0DDA" w:rsidRPr="00734B50" w:rsidRDefault="007B0DDA" w:rsidP="007B0DDA">
      <w:pPr>
        <w:rPr>
          <w:lang w:val="pt-BR"/>
        </w:rPr>
      </w:pPr>
      <w:r w:rsidRPr="00734B50">
        <w:rPr>
          <w:rFonts w:cs="Tahoma"/>
          <w:color w:val="000000"/>
          <w:szCs w:val="20"/>
          <w:lang w:val="pt-BR"/>
        </w:rPr>
        <w:t>System Center Server Management Suite Datacenter</w:t>
      </w:r>
    </w:p>
    <w:p w:rsidR="007B0DDA" w:rsidRPr="00734B50" w:rsidRDefault="007B0DDA" w:rsidP="007B0DDA">
      <w:pPr>
        <w:rPr>
          <w:lang w:val="pt-BR"/>
        </w:rPr>
      </w:pPr>
      <w:r w:rsidRPr="00734B50">
        <w:rPr>
          <w:rFonts w:cs="Tahoma"/>
          <w:color w:val="000000"/>
          <w:szCs w:val="20"/>
          <w:lang w:val="pt-BR"/>
        </w:rPr>
        <w:t>System Center Service Manager 2010</w:t>
      </w:r>
    </w:p>
    <w:p w:rsidR="007B0DDA" w:rsidRPr="00734B50" w:rsidRDefault="007B0DDA" w:rsidP="007B0DDA">
      <w:pPr>
        <w:rPr>
          <w:lang w:val="pt-BR"/>
        </w:rPr>
      </w:pPr>
      <w:r w:rsidRPr="00734B50">
        <w:rPr>
          <w:rFonts w:cs="Tahoma"/>
          <w:color w:val="000000"/>
          <w:szCs w:val="20"/>
          <w:lang w:val="pt-BR"/>
        </w:rPr>
        <w:t>System Center Service Manager 2010 com Tecnologia SQL Server 2008</w:t>
      </w:r>
    </w:p>
    <w:p w:rsidR="007B0DDA" w:rsidRPr="00734B50" w:rsidRDefault="007B0DDA" w:rsidP="007B0DDA">
      <w:pPr>
        <w:rPr>
          <w:lang w:val="pt-BR"/>
        </w:rPr>
      </w:pPr>
      <w:r w:rsidRPr="00734B50">
        <w:rPr>
          <w:rFonts w:cs="Tahoma"/>
          <w:color w:val="000000"/>
          <w:szCs w:val="20"/>
          <w:lang w:val="pt-BR"/>
        </w:rPr>
        <w:t>Licença de Gerenciamento de Cliente (ML de Cliente) do System Center Service Manager 2010 por OSE</w:t>
      </w:r>
    </w:p>
    <w:p w:rsidR="007B0DDA" w:rsidRPr="00734B50" w:rsidRDefault="007B0DDA" w:rsidP="007B0DDA">
      <w:pPr>
        <w:rPr>
          <w:lang w:val="pt-BR"/>
        </w:rPr>
      </w:pPr>
      <w:r w:rsidRPr="00734B50">
        <w:rPr>
          <w:rFonts w:cs="Tahoma"/>
          <w:color w:val="000000"/>
          <w:szCs w:val="20"/>
          <w:lang w:val="pt-BR"/>
        </w:rPr>
        <w:t>Licença de Gerenciamento de Cliente (ML de Cliente) do System Center Service Manager 2010 por Usuário</w:t>
      </w:r>
    </w:p>
    <w:p w:rsidR="007B0DDA" w:rsidRPr="00734B50" w:rsidRDefault="007B0DDA" w:rsidP="007B0DDA">
      <w:pPr>
        <w:rPr>
          <w:lang w:val="pt-BR"/>
        </w:rPr>
      </w:pPr>
      <w:r w:rsidRPr="00734B50">
        <w:rPr>
          <w:rFonts w:cs="Tahoma"/>
          <w:color w:val="000000"/>
          <w:szCs w:val="20"/>
          <w:lang w:val="pt-BR"/>
        </w:rPr>
        <w:t>Licença de Gerenciamento de Servidor (ML de Servidor) do System Center Service Manager 2010 por OSE</w:t>
      </w:r>
    </w:p>
    <w:p w:rsidR="007B0DDA" w:rsidRPr="00734B50" w:rsidRDefault="007B0DDA" w:rsidP="007B0DDA">
      <w:pPr>
        <w:rPr>
          <w:lang w:val="pt-BR"/>
        </w:rPr>
      </w:pPr>
      <w:r w:rsidRPr="00734B50">
        <w:rPr>
          <w:rFonts w:cs="Tahoma"/>
          <w:color w:val="000000"/>
          <w:szCs w:val="20"/>
          <w:lang w:val="pt-BR"/>
        </w:rPr>
        <w:t>Licença de Gerenciamento de Cliente do System Center Virtual Machine Manager 2008 R2 por OSE</w:t>
      </w:r>
    </w:p>
    <w:p w:rsidR="007B0DDA" w:rsidRPr="00734B50" w:rsidRDefault="007B0DDA" w:rsidP="007B0DDA">
      <w:pPr>
        <w:rPr>
          <w:lang w:val="pt-BR"/>
        </w:rPr>
      </w:pPr>
      <w:r w:rsidRPr="00734B50">
        <w:rPr>
          <w:rFonts w:cs="Tahoma"/>
          <w:color w:val="000000"/>
          <w:szCs w:val="20"/>
          <w:lang w:val="pt-BR"/>
        </w:rPr>
        <w:t>Licença de Gerenciamento de Cliente do System Center Virtual Machine Manager 2008 R2 por Usuário</w:t>
      </w:r>
    </w:p>
    <w:p w:rsidR="007B0DDA" w:rsidRPr="00734B50" w:rsidRDefault="007B0DDA" w:rsidP="007B0DDA">
      <w:pPr>
        <w:rPr>
          <w:lang w:val="pt-BR"/>
        </w:rPr>
      </w:pPr>
      <w:r w:rsidRPr="00734B50">
        <w:rPr>
          <w:rFonts w:cs="Tahoma"/>
          <w:color w:val="000000"/>
          <w:szCs w:val="20"/>
          <w:lang w:val="pt-BR"/>
        </w:rPr>
        <w:t>Licença de Gerenciamento de Servidor Enterprise do System Center Virtual Machine Manager 2008 R2</w:t>
      </w:r>
    </w:p>
    <w:p w:rsidR="007B0DDA" w:rsidRPr="00734B50" w:rsidRDefault="007B0DDA" w:rsidP="007B0DDA">
      <w:pPr>
        <w:rPr>
          <w:lang w:val="pt-BR"/>
        </w:rPr>
      </w:pPr>
    </w:p>
    <w:p w:rsidR="007B0DDA" w:rsidRPr="00734B50" w:rsidRDefault="007B0DDA" w:rsidP="003E606C">
      <w:pPr>
        <w:spacing w:after="60"/>
        <w:rPr>
          <w:lang w:val="fr-FR"/>
        </w:rPr>
      </w:pPr>
      <w:r w:rsidRPr="00734B50">
        <w:rPr>
          <w:b/>
          <w:lang w:val="fr-FR"/>
        </w:rPr>
        <w:t>Exclusões</w:t>
      </w:r>
    </w:p>
    <w:p w:rsidR="007B0DDA" w:rsidRPr="00734B50" w:rsidRDefault="007B0DDA" w:rsidP="007B0DDA">
      <w:pPr>
        <w:rPr>
          <w:lang w:val="fr-FR"/>
        </w:rPr>
      </w:pPr>
      <w:r w:rsidRPr="00734B50">
        <w:rPr>
          <w:color w:val="000000"/>
          <w:lang w:val="fr-FR"/>
        </w:rPr>
        <w:t>System Center Mobile Device Manager 2008</w:t>
      </w:r>
    </w:p>
    <w:p w:rsidR="00B20EAC" w:rsidRPr="00734B50" w:rsidRDefault="00B20EAC" w:rsidP="007B0DDA">
      <w:pPr>
        <w:rPr>
          <w:lang w:val="fr-FR"/>
        </w:rPr>
      </w:pPr>
      <w:r w:rsidRPr="00734B50">
        <w:rPr>
          <w:color w:val="000000"/>
          <w:lang w:val="fr-FR"/>
        </w:rPr>
        <w:t>Database Consolidation Appliance 2012</w:t>
      </w:r>
    </w:p>
    <w:p w:rsidR="00593FBD" w:rsidRPr="00734B50" w:rsidRDefault="00593FBD" w:rsidP="00593FBD">
      <w:pPr>
        <w:ind w:right="720"/>
        <w:rPr>
          <w:lang w:val="fr-FR"/>
        </w:rPr>
      </w:pPr>
    </w:p>
    <w:p w:rsidR="00A31A6D" w:rsidRPr="00734B50" w:rsidRDefault="00A31A6D" w:rsidP="00593FBD">
      <w:pPr>
        <w:ind w:right="720"/>
        <w:rPr>
          <w:lang w:val="fr-FR"/>
        </w:rPr>
      </w:pPr>
    </w:p>
    <w:p w:rsidR="00593FBD" w:rsidRPr="00734B50" w:rsidRDefault="003D1247" w:rsidP="00593FBD">
      <w:pPr>
        <w:pStyle w:val="Heading2"/>
        <w:ind w:left="0"/>
        <w:jc w:val="both"/>
        <w:rPr>
          <w:lang w:val="pt-BR"/>
        </w:rPr>
      </w:pPr>
      <w:bookmarkStart w:id="630" w:name="_Toc336338170"/>
      <w:bookmarkStart w:id="631" w:name="_Toc353470823"/>
      <w:r w:rsidRPr="00734B50">
        <w:rPr>
          <w:rFonts w:ascii="Tahoma" w:hAnsi="Tahoma" w:cs="Tahoma"/>
          <w:color w:val="FF6600"/>
          <w:lang w:val="pt-BR"/>
        </w:rPr>
        <w:t>ALTERAÇÕES EM SETEMBRO DE 2012</w:t>
      </w:r>
      <w:bookmarkEnd w:id="630"/>
      <w:bookmarkEnd w:id="631"/>
    </w:p>
    <w:p w:rsidR="007B0DDA" w:rsidRPr="00734B50" w:rsidRDefault="007B0DDA">
      <w:pPr>
        <w:ind w:right="720"/>
        <w:rPr>
          <w:lang w:val="pt-BR"/>
        </w:rPr>
      </w:pPr>
    </w:p>
    <w:p w:rsidR="00593FBD" w:rsidRPr="00734B50" w:rsidRDefault="00593FBD" w:rsidP="003E606C">
      <w:pPr>
        <w:spacing w:after="60"/>
        <w:rPr>
          <w:lang w:val="pt-BR"/>
        </w:rPr>
      </w:pPr>
      <w:r w:rsidRPr="00734B50">
        <w:rPr>
          <w:b/>
          <w:lang w:val="pt-BR"/>
        </w:rPr>
        <w:t>Adições</w:t>
      </w:r>
    </w:p>
    <w:p w:rsidR="00593FBD" w:rsidRPr="00734B50" w:rsidRDefault="00593FBD"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Professional 2012</w:t>
      </w:r>
    </w:p>
    <w:p w:rsidR="00593FBD" w:rsidRPr="00734B50" w:rsidRDefault="00593FBD"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Professional 2012 com MSDN</w:t>
      </w:r>
    </w:p>
    <w:p w:rsidR="00593FBD" w:rsidRPr="00734B50" w:rsidRDefault="00CB0262"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Premium 2012 com MSDN</w:t>
      </w:r>
    </w:p>
    <w:p w:rsidR="00CB0262" w:rsidRPr="00734B50" w:rsidRDefault="00CB0262"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Ultimate 2012 com MSDN</w:t>
      </w:r>
    </w:p>
    <w:p w:rsidR="00593FBD" w:rsidRPr="00734B50" w:rsidRDefault="00CB0262"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Test Professional 2012 com MSDN</w:t>
      </w:r>
    </w:p>
    <w:p w:rsidR="00593FBD" w:rsidRPr="00734B50" w:rsidRDefault="00CB0262"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Team Foundation Server 2012 com Tecnologia SQL Server 2012</w:t>
      </w:r>
    </w:p>
    <w:p w:rsidR="00CB0262" w:rsidRPr="00734B50" w:rsidRDefault="00CB0262" w:rsidP="00EF4590">
      <w:pPr>
        <w:rPr>
          <w:lang w:val="pt-BR"/>
        </w:rPr>
      </w:pPr>
      <w:r w:rsidRPr="00734B50">
        <w:rPr>
          <w:rFonts w:cs="Tahoma"/>
          <w:color w:val="000000"/>
          <w:szCs w:val="20"/>
          <w:lang w:val="pt-BR"/>
        </w:rPr>
        <w:t>CAL do Dispositivo do Visual Studio</w:t>
      </w:r>
      <w:r w:rsidRPr="00734B50">
        <w:rPr>
          <w:rFonts w:cs="Tahoma"/>
          <w:color w:val="000000"/>
          <w:szCs w:val="20"/>
          <w:vertAlign w:val="superscript"/>
          <w:lang w:val="pt-BR"/>
        </w:rPr>
        <w:t>®</w:t>
      </w:r>
      <w:r w:rsidRPr="00734B50">
        <w:rPr>
          <w:rFonts w:cs="Tahoma"/>
          <w:color w:val="000000"/>
          <w:szCs w:val="20"/>
          <w:lang w:val="pt-BR"/>
        </w:rPr>
        <w:t xml:space="preserve"> Team Foundation Server 2012</w:t>
      </w:r>
    </w:p>
    <w:p w:rsidR="00CB0262" w:rsidRPr="00734B50" w:rsidRDefault="00CB0262" w:rsidP="00EF4590">
      <w:pPr>
        <w:rPr>
          <w:lang w:val="pt-BR"/>
        </w:rPr>
      </w:pPr>
      <w:r w:rsidRPr="00734B50">
        <w:rPr>
          <w:rFonts w:cs="Tahoma"/>
          <w:color w:val="000000"/>
          <w:szCs w:val="20"/>
          <w:lang w:val="pt-BR"/>
        </w:rPr>
        <w:t>CAL do Usuário do Visual Studio</w:t>
      </w:r>
      <w:r w:rsidRPr="00734B50">
        <w:rPr>
          <w:rFonts w:cs="Tahoma"/>
          <w:color w:val="000000"/>
          <w:szCs w:val="20"/>
          <w:vertAlign w:val="superscript"/>
          <w:lang w:val="pt-BR"/>
        </w:rPr>
        <w:t>®</w:t>
      </w:r>
      <w:r w:rsidRPr="00734B50">
        <w:rPr>
          <w:rFonts w:cs="Tahoma"/>
          <w:color w:val="000000"/>
          <w:szCs w:val="20"/>
          <w:lang w:val="pt-BR"/>
        </w:rPr>
        <w:t xml:space="preserve"> Team Foundation Server 2012</w:t>
      </w:r>
    </w:p>
    <w:p w:rsidR="00CB0262" w:rsidRPr="00734B50" w:rsidRDefault="00CB0262" w:rsidP="00EF4590">
      <w:pPr>
        <w:rPr>
          <w:lang w:val="pt-BR"/>
        </w:rPr>
      </w:pPr>
      <w:r w:rsidRPr="00734B50">
        <w:rPr>
          <w:rFonts w:cs="Tahoma"/>
          <w:color w:val="000000"/>
          <w:szCs w:val="20"/>
          <w:lang w:val="pt-BR"/>
        </w:rPr>
        <w:t>External Connector do Visual Studio</w:t>
      </w:r>
      <w:r w:rsidRPr="00734B50">
        <w:rPr>
          <w:rFonts w:cs="Tahoma"/>
          <w:color w:val="000000"/>
          <w:szCs w:val="20"/>
          <w:vertAlign w:val="superscript"/>
          <w:lang w:val="pt-BR"/>
        </w:rPr>
        <w:t>®</w:t>
      </w:r>
      <w:r w:rsidRPr="00734B50">
        <w:rPr>
          <w:rFonts w:cs="Tahoma"/>
          <w:color w:val="000000"/>
          <w:szCs w:val="20"/>
          <w:lang w:val="pt-BR"/>
        </w:rPr>
        <w:t xml:space="preserve"> Team Foundation Server 2012</w:t>
      </w:r>
    </w:p>
    <w:p w:rsidR="00CB0262" w:rsidRPr="00734B50" w:rsidRDefault="00CB0262" w:rsidP="00EF4590">
      <w:pPr>
        <w:rPr>
          <w:lang w:val="pt-BR"/>
        </w:rPr>
      </w:pPr>
      <w:r w:rsidRPr="00734B50">
        <w:rPr>
          <w:rFonts w:cs="Tahoma"/>
          <w:color w:val="000000"/>
          <w:szCs w:val="20"/>
          <w:lang w:val="pt-BR"/>
        </w:rPr>
        <w:t>CAL do Windows Server™ 2012 (Dispositivo e Usuário)</w:t>
      </w:r>
    </w:p>
    <w:p w:rsidR="00CB0262" w:rsidRPr="00653421" w:rsidRDefault="00CB0262" w:rsidP="00EF4590">
      <w:r w:rsidRPr="00653421">
        <w:rPr>
          <w:rFonts w:cs="Tahoma"/>
          <w:color w:val="000000"/>
          <w:szCs w:val="20"/>
        </w:rPr>
        <w:t>Windows Server™ 2012 Datacenter</w:t>
      </w:r>
    </w:p>
    <w:p w:rsidR="00CB0262" w:rsidRPr="00653421" w:rsidRDefault="00CB0262" w:rsidP="00EF4590">
      <w:r w:rsidRPr="00653421">
        <w:rPr>
          <w:rFonts w:cs="Tahoma"/>
          <w:color w:val="000000"/>
          <w:szCs w:val="20"/>
        </w:rPr>
        <w:t>Windows Server™ 2012 Standard</w:t>
      </w:r>
    </w:p>
    <w:p w:rsidR="00CB0262" w:rsidRPr="00734B50" w:rsidRDefault="00CB0262" w:rsidP="00EF4590">
      <w:pPr>
        <w:rPr>
          <w:lang w:val="pt-BR"/>
        </w:rPr>
      </w:pPr>
      <w:r w:rsidRPr="00734B50">
        <w:rPr>
          <w:rFonts w:cs="Tahoma"/>
          <w:color w:val="000000"/>
          <w:szCs w:val="20"/>
          <w:lang w:val="pt-BR"/>
        </w:rPr>
        <w:lastRenderedPageBreak/>
        <w:t>External Connector do Windows Server™ 2012</w:t>
      </w:r>
    </w:p>
    <w:p w:rsidR="00CB0262" w:rsidRPr="00734B50" w:rsidRDefault="00CB0262" w:rsidP="00EF4590">
      <w:pPr>
        <w:rPr>
          <w:lang w:val="pt-BR"/>
        </w:rPr>
      </w:pPr>
      <w:r w:rsidRPr="00734B50">
        <w:rPr>
          <w:rFonts w:cs="Tahoma"/>
          <w:color w:val="000000"/>
          <w:szCs w:val="20"/>
          <w:lang w:val="pt-BR"/>
        </w:rPr>
        <w:t>CAL de Serviços de Área de Trabalho Remota do Windows Server™ 2012</w:t>
      </w:r>
    </w:p>
    <w:p w:rsidR="00CB0262" w:rsidRPr="00734B50" w:rsidRDefault="00CB0262" w:rsidP="00EF4590">
      <w:pPr>
        <w:rPr>
          <w:lang w:val="pt-BR"/>
        </w:rPr>
      </w:pPr>
      <w:r w:rsidRPr="00734B50">
        <w:rPr>
          <w:rFonts w:cs="Tahoma"/>
          <w:color w:val="000000"/>
          <w:szCs w:val="20"/>
          <w:lang w:val="pt-BR"/>
        </w:rPr>
        <w:t>External Connector dos Serviços de Área de Trabalho Remota do Windows Server™ 2012</w:t>
      </w:r>
    </w:p>
    <w:p w:rsidR="00CB0262" w:rsidRPr="00734B50" w:rsidRDefault="00CB0262" w:rsidP="00EF4590">
      <w:pPr>
        <w:rPr>
          <w:lang w:val="pt-BR"/>
        </w:rPr>
      </w:pPr>
      <w:r w:rsidRPr="00734B50">
        <w:rPr>
          <w:rFonts w:cs="Tahoma"/>
          <w:color w:val="000000"/>
          <w:szCs w:val="20"/>
          <w:lang w:val="pt-BR"/>
        </w:rPr>
        <w:t>CAL dos Serviços de Gerenciamento de Direitos do Windows Server™ 2012</w:t>
      </w:r>
    </w:p>
    <w:p w:rsidR="00CB0262" w:rsidRPr="00734B50" w:rsidRDefault="00CB0262" w:rsidP="00EF4590">
      <w:pPr>
        <w:rPr>
          <w:lang w:val="pt-BR"/>
        </w:rPr>
      </w:pPr>
      <w:r w:rsidRPr="00734B50">
        <w:rPr>
          <w:rFonts w:cs="Tahoma"/>
          <w:color w:val="000000"/>
          <w:szCs w:val="20"/>
          <w:lang w:val="pt-BR"/>
        </w:rPr>
        <w:t>External Connector dos Serviços de Gerenciamento de Direitos do Windows Server™ 2012</w:t>
      </w:r>
    </w:p>
    <w:p w:rsidR="00CB0262" w:rsidRPr="00734B50" w:rsidRDefault="0095607F" w:rsidP="00EF4590">
      <w:pPr>
        <w:rPr>
          <w:lang w:val="pt-BR"/>
        </w:rPr>
      </w:pPr>
      <w:r w:rsidRPr="00734B50">
        <w:rPr>
          <w:rFonts w:cs="Tahoma"/>
          <w:color w:val="000000"/>
          <w:szCs w:val="18"/>
          <w:lang w:val="pt-BR"/>
        </w:rPr>
        <w:t xml:space="preserve">CAL Aditiva Empresarial do Microsoft </w:t>
      </w:r>
      <w:r w:rsidRPr="00734B50">
        <w:rPr>
          <w:rFonts w:cs="Tahoma"/>
          <w:color w:val="000000"/>
          <w:szCs w:val="20"/>
          <w:lang w:val="pt-BR"/>
        </w:rPr>
        <w:t>Dynamics AX 2012 (Usuário e Dispositivo)</w:t>
      </w:r>
    </w:p>
    <w:p w:rsidR="00CB0262" w:rsidRPr="00734B50" w:rsidRDefault="0095607F" w:rsidP="00EF4590">
      <w:pPr>
        <w:rPr>
          <w:lang w:val="pt-BR"/>
        </w:rPr>
      </w:pPr>
      <w:r w:rsidRPr="00734B50">
        <w:rPr>
          <w:rFonts w:cs="Tahoma"/>
          <w:color w:val="000000"/>
          <w:szCs w:val="18"/>
          <w:lang w:val="pt-BR"/>
        </w:rPr>
        <w:t xml:space="preserve">CAL Empresarial do Microsoft </w:t>
      </w:r>
      <w:r w:rsidRPr="00734B50">
        <w:rPr>
          <w:rFonts w:cs="Tahoma"/>
          <w:color w:val="000000"/>
          <w:szCs w:val="20"/>
          <w:lang w:val="pt-BR"/>
        </w:rPr>
        <w:t>Dynamics AX 2012 (Usuário e Dispositivo)</w:t>
      </w:r>
    </w:p>
    <w:p w:rsidR="00CB0262" w:rsidRPr="00734B50" w:rsidRDefault="0095607F" w:rsidP="00EF4590">
      <w:pPr>
        <w:rPr>
          <w:lang w:val="pt-BR"/>
        </w:rPr>
      </w:pPr>
      <w:r w:rsidRPr="00734B50">
        <w:rPr>
          <w:rFonts w:cs="Tahoma"/>
          <w:color w:val="000000"/>
          <w:szCs w:val="18"/>
          <w:lang w:val="pt-BR"/>
        </w:rPr>
        <w:t xml:space="preserve">CAL Aditiva Funcional do Microsoft </w:t>
      </w:r>
      <w:r w:rsidRPr="00734B50">
        <w:rPr>
          <w:rFonts w:cs="Tahoma"/>
          <w:color w:val="000000"/>
          <w:szCs w:val="20"/>
          <w:lang w:val="pt-BR"/>
        </w:rPr>
        <w:t>Dynamics AX 2012 (Usuário e Dispositivo)</w:t>
      </w:r>
    </w:p>
    <w:p w:rsidR="00CB0262" w:rsidRPr="00734B50" w:rsidRDefault="0095607F" w:rsidP="00EF4590">
      <w:pPr>
        <w:rPr>
          <w:lang w:val="pt-BR"/>
        </w:rPr>
      </w:pPr>
      <w:r w:rsidRPr="00734B50">
        <w:rPr>
          <w:rFonts w:cs="Tahoma"/>
          <w:color w:val="000000"/>
          <w:szCs w:val="18"/>
          <w:lang w:val="pt-BR"/>
        </w:rPr>
        <w:t xml:space="preserve">CAL Funcional do Microsoft </w:t>
      </w:r>
      <w:r w:rsidRPr="00734B50">
        <w:rPr>
          <w:rFonts w:cs="Tahoma"/>
          <w:color w:val="000000"/>
          <w:szCs w:val="20"/>
          <w:lang w:val="pt-BR"/>
        </w:rPr>
        <w:t>Dynamics AX 2012 (Usuário e Dispositivo)</w:t>
      </w:r>
    </w:p>
    <w:p w:rsidR="00CB0262" w:rsidRPr="00734B50" w:rsidRDefault="0095607F" w:rsidP="00EF4590">
      <w:pPr>
        <w:rPr>
          <w:lang w:val="pt-BR"/>
        </w:rPr>
      </w:pPr>
      <w:r w:rsidRPr="00734B50">
        <w:rPr>
          <w:rFonts w:cs="Tahoma"/>
          <w:color w:val="000000"/>
          <w:szCs w:val="18"/>
          <w:lang w:val="pt-BR"/>
        </w:rPr>
        <w:t xml:space="preserve">CAL de Autoatendimento do Microsoft </w:t>
      </w:r>
      <w:r w:rsidRPr="00734B50">
        <w:rPr>
          <w:rFonts w:cs="Tahoma"/>
          <w:color w:val="000000"/>
          <w:szCs w:val="20"/>
          <w:lang w:val="pt-BR"/>
        </w:rPr>
        <w:t>Dynamics AX 2012 (Usuário e Dispositivo)</w:t>
      </w:r>
    </w:p>
    <w:p w:rsidR="00CB0262" w:rsidRPr="00734B50" w:rsidRDefault="0095607F" w:rsidP="00EF4590">
      <w:pPr>
        <w:rPr>
          <w:lang w:val="pt-BR"/>
        </w:rPr>
      </w:pPr>
      <w:r w:rsidRPr="00734B50">
        <w:rPr>
          <w:rFonts w:cs="Tahoma"/>
          <w:color w:val="000000"/>
          <w:szCs w:val="18"/>
          <w:lang w:val="pt-BR"/>
        </w:rPr>
        <w:t xml:space="preserve">Microsoft </w:t>
      </w:r>
      <w:r w:rsidRPr="00734B50">
        <w:rPr>
          <w:rFonts w:cs="Tahoma"/>
          <w:color w:val="000000"/>
          <w:szCs w:val="20"/>
          <w:lang w:val="pt-BR"/>
        </w:rPr>
        <w:t>Dynamics AX 2012 Server</w:t>
      </w:r>
    </w:p>
    <w:p w:rsidR="00CB0262" w:rsidRPr="00734B50" w:rsidRDefault="0095607F" w:rsidP="00EF4590">
      <w:pPr>
        <w:rPr>
          <w:lang w:val="pt-BR"/>
        </w:rPr>
      </w:pPr>
      <w:r w:rsidRPr="00734B50">
        <w:rPr>
          <w:rFonts w:cs="Tahoma"/>
          <w:color w:val="000000"/>
          <w:szCs w:val="18"/>
          <w:lang w:val="pt-BR"/>
        </w:rPr>
        <w:t xml:space="preserve">CAL Aditiva de Tarefa do Microsoft </w:t>
      </w:r>
      <w:r w:rsidRPr="00734B50">
        <w:rPr>
          <w:rFonts w:cs="Tahoma"/>
          <w:color w:val="000000"/>
          <w:szCs w:val="20"/>
          <w:lang w:val="pt-BR"/>
        </w:rPr>
        <w:t>Dynamics AX 2012 (Usuário e Dispositivo)</w:t>
      </w:r>
    </w:p>
    <w:p w:rsidR="00CB0262" w:rsidRPr="00734B50" w:rsidRDefault="0095607F" w:rsidP="00EF4590">
      <w:pPr>
        <w:rPr>
          <w:lang w:val="pt-BR"/>
        </w:rPr>
      </w:pPr>
      <w:r w:rsidRPr="00734B50">
        <w:rPr>
          <w:rFonts w:cs="Tahoma"/>
          <w:color w:val="000000"/>
          <w:szCs w:val="18"/>
          <w:lang w:val="pt-BR"/>
        </w:rPr>
        <w:t xml:space="preserve">CAL de Tarefa do Microsoft </w:t>
      </w:r>
      <w:r w:rsidRPr="00734B50">
        <w:rPr>
          <w:rFonts w:cs="Tahoma"/>
          <w:color w:val="000000"/>
          <w:szCs w:val="20"/>
          <w:lang w:val="pt-BR"/>
        </w:rPr>
        <w:t>Dynamics AX 2012 (Usuário e Dispositivo)</w:t>
      </w:r>
    </w:p>
    <w:p w:rsidR="00CB0262" w:rsidRPr="00653421" w:rsidRDefault="00CB0262" w:rsidP="00EF4590">
      <w:r w:rsidRPr="00653421">
        <w:rPr>
          <w:rFonts w:cs="Tahoma"/>
          <w:color w:val="000000"/>
          <w:szCs w:val="20"/>
        </w:rPr>
        <w:t>Windows 8 Enterprise Sideloading</w:t>
      </w:r>
    </w:p>
    <w:p w:rsidR="00CB0262" w:rsidRPr="00653421" w:rsidRDefault="00CB0262" w:rsidP="00EF4590">
      <w:r w:rsidRPr="00653421">
        <w:rPr>
          <w:rFonts w:cs="Tahoma"/>
          <w:color w:val="000000"/>
          <w:szCs w:val="20"/>
        </w:rPr>
        <w:t>Atualização do Windows 8 Pro</w:t>
      </w:r>
    </w:p>
    <w:p w:rsidR="00394D71" w:rsidRPr="00734B50" w:rsidRDefault="00394D71" w:rsidP="00EF4590">
      <w:pPr>
        <w:rPr>
          <w:lang w:val="pt-BR"/>
        </w:rPr>
      </w:pPr>
      <w:r w:rsidRPr="00734B50">
        <w:rPr>
          <w:rFonts w:cs="Tahoma"/>
          <w:color w:val="000000"/>
          <w:szCs w:val="18"/>
          <w:lang w:val="pt-BR"/>
        </w:rPr>
        <w:t>Windows 8 Pro com MDOP</w:t>
      </w:r>
    </w:p>
    <w:p w:rsidR="00CB0262" w:rsidRPr="00734B50" w:rsidRDefault="00CB0262" w:rsidP="00EF4590">
      <w:pPr>
        <w:rPr>
          <w:lang w:val="pt-BR"/>
        </w:rPr>
      </w:pPr>
      <w:r w:rsidRPr="00734B50">
        <w:rPr>
          <w:rFonts w:cs="Tahoma"/>
          <w:color w:val="000000"/>
          <w:szCs w:val="20"/>
          <w:lang w:val="pt-BR"/>
        </w:rPr>
        <w:t>Direitos de Locação para Windows</w:t>
      </w:r>
    </w:p>
    <w:p w:rsidR="00593FBD" w:rsidRPr="00734B50" w:rsidRDefault="00593FBD" w:rsidP="00EF4590">
      <w:pPr>
        <w:rPr>
          <w:lang w:val="pt-BR"/>
        </w:rPr>
      </w:pPr>
    </w:p>
    <w:p w:rsidR="00593FBD" w:rsidRPr="00734B50" w:rsidRDefault="00593FBD" w:rsidP="003E606C">
      <w:pPr>
        <w:spacing w:after="60"/>
        <w:rPr>
          <w:lang w:val="pt-BR"/>
        </w:rPr>
      </w:pPr>
      <w:r w:rsidRPr="00734B50">
        <w:rPr>
          <w:b/>
          <w:lang w:val="pt-BR"/>
        </w:rPr>
        <w:t>Promoções</w:t>
      </w:r>
    </w:p>
    <w:p w:rsidR="00F84628" w:rsidRPr="00734B50" w:rsidRDefault="00F84628" w:rsidP="00F84628">
      <w:pPr>
        <w:rPr>
          <w:lang w:val="pt-BR"/>
        </w:rPr>
      </w:pPr>
      <w:r w:rsidRPr="00734B50">
        <w:rPr>
          <w:color w:val="000000"/>
          <w:lang w:val="pt-BR"/>
        </w:rPr>
        <w:t>As seguintes promoções foram adicionadas:</w:t>
      </w:r>
    </w:p>
    <w:p w:rsidR="00F84628" w:rsidRPr="00734B50" w:rsidRDefault="00F84628" w:rsidP="00F84628">
      <w:pPr>
        <w:rPr>
          <w:lang w:val="pt-BR"/>
        </w:rPr>
      </w:pPr>
      <w:r w:rsidRPr="00734B50">
        <w:rPr>
          <w:rFonts w:eastAsia="Times New Roman" w:cs="Tahoma"/>
          <w:color w:val="000000"/>
          <w:szCs w:val="18"/>
          <w:lang w:val="pt-BR"/>
        </w:rPr>
        <w:t>Promoção de Step-up do Windows Server Datacenter</w:t>
      </w:r>
    </w:p>
    <w:p w:rsidR="00F84628" w:rsidRPr="00734B50" w:rsidRDefault="00F84628" w:rsidP="00F84628">
      <w:pPr>
        <w:rPr>
          <w:lang w:val="pt-BR"/>
        </w:rPr>
      </w:pPr>
      <w:r w:rsidRPr="00734B50">
        <w:rPr>
          <w:rFonts w:eastAsia="Times New Roman" w:cs="Tahoma"/>
          <w:color w:val="000000"/>
          <w:szCs w:val="18"/>
          <w:lang w:val="pt-BR"/>
        </w:rPr>
        <w:t xml:space="preserve">Forefront Online Protection para Exchange </w:t>
      </w:r>
    </w:p>
    <w:p w:rsidR="00F84628" w:rsidRPr="00734B50" w:rsidRDefault="00F84628" w:rsidP="00F84628">
      <w:pPr>
        <w:rPr>
          <w:lang w:val="pt-BR"/>
        </w:rPr>
      </w:pPr>
    </w:p>
    <w:p w:rsidR="00F84628" w:rsidRPr="00734B50" w:rsidRDefault="00F84628" w:rsidP="00F84628">
      <w:pPr>
        <w:outlineLvl w:val="1"/>
        <w:rPr>
          <w:lang w:val="pt-BR"/>
        </w:rPr>
      </w:pPr>
      <w:r w:rsidRPr="00734B50">
        <w:rPr>
          <w:rFonts w:cs="Tahoma"/>
          <w:color w:val="000000"/>
          <w:szCs w:val="18"/>
          <w:lang w:val="pt-BR"/>
        </w:rPr>
        <w:t>As seguintes promoções foram excluídas</w:t>
      </w:r>
    </w:p>
    <w:p w:rsidR="00F84628" w:rsidRPr="00734B50" w:rsidRDefault="00F84628" w:rsidP="00F84628">
      <w:pPr>
        <w:rPr>
          <w:lang w:val="pt-BR"/>
        </w:rPr>
      </w:pPr>
      <w:r w:rsidRPr="00734B50">
        <w:rPr>
          <w:color w:val="000000"/>
          <w:lang w:val="pt-BR"/>
        </w:rPr>
        <w:t>Promoção Enrollment for Core Infrastructure Standard Suite</w:t>
      </w:r>
    </w:p>
    <w:p w:rsidR="00F84628" w:rsidRPr="00734B50" w:rsidRDefault="00F84628" w:rsidP="00F84628">
      <w:pPr>
        <w:outlineLvl w:val="1"/>
        <w:rPr>
          <w:lang w:val="pt-BR"/>
        </w:rPr>
      </w:pPr>
    </w:p>
    <w:p w:rsidR="00593FBD" w:rsidRPr="00734B50" w:rsidRDefault="00593FBD" w:rsidP="003E606C">
      <w:pPr>
        <w:spacing w:after="60"/>
        <w:rPr>
          <w:lang w:val="pt-BR"/>
        </w:rPr>
      </w:pPr>
      <w:r w:rsidRPr="00734B50">
        <w:rPr>
          <w:b/>
          <w:lang w:val="pt-BR"/>
        </w:rPr>
        <w:t>Exclusões</w:t>
      </w:r>
    </w:p>
    <w:p w:rsidR="00B07E07" w:rsidRPr="00734B50" w:rsidRDefault="00B07E07" w:rsidP="00EF4590">
      <w:pPr>
        <w:rPr>
          <w:lang w:val="pt-BR"/>
        </w:rPr>
      </w:pPr>
      <w:r w:rsidRPr="00734B50">
        <w:rPr>
          <w:rFonts w:cs="Tahoma"/>
          <w:color w:val="000000"/>
          <w:szCs w:val="20"/>
          <w:lang w:val="pt-BR"/>
        </w:rPr>
        <w:t>Tellme Basic (Taxa)</w:t>
      </w:r>
    </w:p>
    <w:p w:rsidR="00B07E07" w:rsidRPr="00734B50" w:rsidRDefault="00B07E07" w:rsidP="00EF4590">
      <w:pPr>
        <w:rPr>
          <w:lang w:val="pt-BR"/>
        </w:rPr>
      </w:pPr>
      <w:r w:rsidRPr="00734B50">
        <w:rPr>
          <w:rFonts w:cs="Tahoma"/>
          <w:color w:val="000000"/>
          <w:szCs w:val="20"/>
          <w:lang w:val="pt-BR"/>
        </w:rPr>
        <w:t>Tellme Standard (Taxa)</w:t>
      </w:r>
    </w:p>
    <w:p w:rsidR="00B07E07" w:rsidRPr="00734B50" w:rsidRDefault="00B07E07" w:rsidP="00EF4590">
      <w:pPr>
        <w:rPr>
          <w:lang w:val="pt-BR"/>
        </w:rPr>
      </w:pPr>
      <w:r w:rsidRPr="00734B50">
        <w:rPr>
          <w:rFonts w:cs="Tahoma"/>
          <w:color w:val="000000"/>
          <w:szCs w:val="20"/>
          <w:lang w:val="pt-BR"/>
        </w:rPr>
        <w:t>Tellme Premium (Taxa)</w:t>
      </w:r>
    </w:p>
    <w:p w:rsidR="00B07E07" w:rsidRPr="00734B50" w:rsidRDefault="00B07E07" w:rsidP="00EF4590">
      <w:pPr>
        <w:rPr>
          <w:lang w:val="pt-BR"/>
        </w:rPr>
      </w:pPr>
      <w:r w:rsidRPr="00734B50">
        <w:rPr>
          <w:rFonts w:cs="Tahoma"/>
          <w:color w:val="000000"/>
          <w:szCs w:val="20"/>
          <w:lang w:val="pt-BR"/>
        </w:rPr>
        <w:t>Tellme Basic (SL de Serviços)</w:t>
      </w:r>
    </w:p>
    <w:p w:rsidR="00B07E07" w:rsidRPr="00734B50" w:rsidRDefault="00B07E07" w:rsidP="00EF4590">
      <w:pPr>
        <w:rPr>
          <w:lang w:val="pt-BR"/>
        </w:rPr>
      </w:pPr>
      <w:r w:rsidRPr="00734B50">
        <w:rPr>
          <w:rFonts w:cs="Tahoma"/>
          <w:color w:val="000000"/>
          <w:szCs w:val="20"/>
          <w:lang w:val="pt-BR"/>
        </w:rPr>
        <w:t>Tellme Standard (SL de Serviços)</w:t>
      </w:r>
    </w:p>
    <w:p w:rsidR="00B07E07" w:rsidRPr="00734B50" w:rsidRDefault="00B07E07" w:rsidP="00EF4590">
      <w:pPr>
        <w:rPr>
          <w:lang w:val="pt-BR"/>
        </w:rPr>
      </w:pPr>
      <w:r w:rsidRPr="00734B50">
        <w:rPr>
          <w:rFonts w:cs="Tahoma"/>
          <w:color w:val="000000"/>
          <w:szCs w:val="20"/>
          <w:lang w:val="pt-BR"/>
        </w:rPr>
        <w:t>Tellme Premium (SL de Serviços)</w:t>
      </w:r>
    </w:p>
    <w:p w:rsidR="003F704E" w:rsidRPr="00734B50" w:rsidRDefault="003F704E" w:rsidP="00EF4590">
      <w:pPr>
        <w:rPr>
          <w:lang w:val="pt-BR"/>
        </w:rPr>
      </w:pPr>
      <w:r w:rsidRPr="00734B50">
        <w:rPr>
          <w:rFonts w:cs="Tahoma"/>
          <w:color w:val="000000"/>
          <w:szCs w:val="20"/>
          <w:lang w:val="pt-BR"/>
        </w:rPr>
        <w:t>Minutos excedentes do Tellme (Taxa)</w:t>
      </w:r>
    </w:p>
    <w:p w:rsidR="00593FBD" w:rsidRPr="00653421" w:rsidRDefault="00CB0262" w:rsidP="00EF4590">
      <w:r w:rsidRPr="00653421">
        <w:rPr>
          <w:rFonts w:cs="Tahoma"/>
          <w:color w:val="000000"/>
          <w:szCs w:val="20"/>
        </w:rPr>
        <w:t>Visual Studio</w:t>
      </w:r>
      <w:r w:rsidRPr="00653421">
        <w:rPr>
          <w:rFonts w:cs="Tahoma"/>
          <w:color w:val="000000"/>
          <w:szCs w:val="20"/>
          <w:vertAlign w:val="superscript"/>
        </w:rPr>
        <w:t>®</w:t>
      </w:r>
      <w:r w:rsidRPr="00653421">
        <w:rPr>
          <w:rFonts w:cs="Tahoma"/>
          <w:color w:val="000000"/>
          <w:szCs w:val="20"/>
        </w:rPr>
        <w:t xml:space="preserve"> 2010 Professional</w:t>
      </w:r>
    </w:p>
    <w:p w:rsidR="00593FBD" w:rsidRPr="00653421" w:rsidRDefault="00CB0262" w:rsidP="00EF4590">
      <w:r w:rsidRPr="00653421">
        <w:rPr>
          <w:rFonts w:cs="Tahoma"/>
          <w:color w:val="000000"/>
          <w:szCs w:val="20"/>
        </w:rPr>
        <w:t>Visual Studio</w:t>
      </w:r>
      <w:r w:rsidRPr="00653421">
        <w:rPr>
          <w:rFonts w:cs="Tahoma"/>
          <w:color w:val="000000"/>
          <w:szCs w:val="20"/>
          <w:vertAlign w:val="superscript"/>
        </w:rPr>
        <w:t>®</w:t>
      </w:r>
      <w:r w:rsidRPr="00653421">
        <w:rPr>
          <w:rFonts w:cs="Tahoma"/>
          <w:color w:val="000000"/>
          <w:szCs w:val="20"/>
        </w:rPr>
        <w:t xml:space="preserve"> 2010 Professional with MSDN</w:t>
      </w:r>
    </w:p>
    <w:p w:rsidR="00CB0262" w:rsidRPr="00653421" w:rsidRDefault="00CB0262" w:rsidP="00EF4590">
      <w:r w:rsidRPr="00653421">
        <w:rPr>
          <w:rFonts w:cs="Tahoma"/>
          <w:color w:val="000000"/>
          <w:szCs w:val="20"/>
        </w:rPr>
        <w:t>Visual Studio</w:t>
      </w:r>
      <w:r w:rsidRPr="00653421">
        <w:rPr>
          <w:rFonts w:cs="Tahoma"/>
          <w:color w:val="000000"/>
          <w:szCs w:val="20"/>
          <w:vertAlign w:val="superscript"/>
        </w:rPr>
        <w:t>®</w:t>
      </w:r>
      <w:r w:rsidRPr="00653421">
        <w:rPr>
          <w:rFonts w:cs="Tahoma"/>
          <w:color w:val="000000"/>
          <w:szCs w:val="20"/>
        </w:rPr>
        <w:t xml:space="preserve"> 2010 Professional with MSDN Embedded</w:t>
      </w:r>
    </w:p>
    <w:p w:rsidR="00CB0262" w:rsidRPr="00734B50" w:rsidRDefault="00CB0262"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2010 Premium</w:t>
      </w:r>
    </w:p>
    <w:p w:rsidR="00CB0262" w:rsidRPr="00734B50" w:rsidRDefault="00CB0262"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2010 Premium com MSDN</w:t>
      </w:r>
    </w:p>
    <w:p w:rsidR="00CB0262" w:rsidRPr="00734B50" w:rsidRDefault="00CB0262"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2010 Ultimate</w:t>
      </w:r>
    </w:p>
    <w:p w:rsidR="00CB0262" w:rsidRPr="00734B50" w:rsidRDefault="00CB0262"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2010 Ultimate com MSDN</w:t>
      </w:r>
    </w:p>
    <w:p w:rsidR="00CB0262" w:rsidRPr="00734B50" w:rsidRDefault="00CB0262"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Test Professional 2010</w:t>
      </w:r>
    </w:p>
    <w:p w:rsidR="00CB0262" w:rsidRPr="00734B50" w:rsidRDefault="00101CDD"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Test Professional 2010 com MSDN</w:t>
      </w:r>
    </w:p>
    <w:p w:rsidR="00CB0262" w:rsidRPr="00734B50" w:rsidRDefault="00101CDD"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LightSwitch 2011</w:t>
      </w:r>
    </w:p>
    <w:p w:rsidR="00CB0262" w:rsidRPr="00653421" w:rsidRDefault="00101CDD" w:rsidP="00EF4590">
      <w:r w:rsidRPr="00653421">
        <w:rPr>
          <w:rFonts w:cs="Tahoma"/>
          <w:color w:val="000000"/>
          <w:szCs w:val="20"/>
        </w:rPr>
        <w:t>Visual Studio</w:t>
      </w:r>
      <w:r w:rsidRPr="00653421">
        <w:rPr>
          <w:rFonts w:cs="Tahoma"/>
          <w:color w:val="000000"/>
          <w:szCs w:val="20"/>
          <w:vertAlign w:val="superscript"/>
        </w:rPr>
        <w:t>®</w:t>
      </w:r>
      <w:r w:rsidRPr="00653421">
        <w:rPr>
          <w:rFonts w:cs="Tahoma"/>
          <w:color w:val="000000"/>
          <w:szCs w:val="20"/>
        </w:rPr>
        <w:t xml:space="preserve"> Load Test Virtual User Pack 2010</w:t>
      </w:r>
    </w:p>
    <w:p w:rsidR="00CB0262" w:rsidRPr="00734B50" w:rsidRDefault="00101CDD" w:rsidP="00EF4590">
      <w:pPr>
        <w:rPr>
          <w:lang w:val="pt-BR"/>
        </w:rPr>
      </w:pPr>
      <w:r w:rsidRPr="00734B50">
        <w:rPr>
          <w:rFonts w:cs="Tahoma"/>
          <w:color w:val="000000"/>
          <w:szCs w:val="20"/>
          <w:lang w:val="pt-BR"/>
        </w:rPr>
        <w:t>Visual Studio</w:t>
      </w:r>
      <w:r w:rsidRPr="00734B50">
        <w:rPr>
          <w:rFonts w:cs="Tahoma"/>
          <w:color w:val="000000"/>
          <w:szCs w:val="20"/>
          <w:vertAlign w:val="superscript"/>
          <w:lang w:val="pt-BR"/>
        </w:rPr>
        <w:t>®</w:t>
      </w:r>
      <w:r w:rsidRPr="00734B50">
        <w:rPr>
          <w:rFonts w:cs="Tahoma"/>
          <w:color w:val="000000"/>
          <w:szCs w:val="20"/>
          <w:lang w:val="pt-BR"/>
        </w:rPr>
        <w:t xml:space="preserve"> Team Foundation Server 2010 com Tecnologia SQL Server 2008</w:t>
      </w:r>
    </w:p>
    <w:p w:rsidR="00CB0262" w:rsidRPr="00734B50" w:rsidRDefault="00101CDD" w:rsidP="00EF4590">
      <w:pPr>
        <w:rPr>
          <w:lang w:val="pt-BR"/>
        </w:rPr>
      </w:pPr>
      <w:r w:rsidRPr="00734B50">
        <w:rPr>
          <w:rFonts w:cs="Tahoma"/>
          <w:color w:val="000000"/>
          <w:szCs w:val="20"/>
          <w:lang w:val="pt-BR"/>
        </w:rPr>
        <w:t>CAL do Dispositivo do Visual Studio</w:t>
      </w:r>
      <w:r w:rsidRPr="00734B50">
        <w:rPr>
          <w:rFonts w:cs="Tahoma"/>
          <w:color w:val="000000"/>
          <w:szCs w:val="20"/>
          <w:vertAlign w:val="superscript"/>
          <w:lang w:val="pt-BR"/>
        </w:rPr>
        <w:t>®</w:t>
      </w:r>
      <w:r w:rsidRPr="00734B50">
        <w:rPr>
          <w:rFonts w:cs="Tahoma"/>
          <w:color w:val="000000"/>
          <w:szCs w:val="20"/>
          <w:lang w:val="pt-BR"/>
        </w:rPr>
        <w:t xml:space="preserve"> Team Foundation Server 2010</w:t>
      </w:r>
    </w:p>
    <w:p w:rsidR="00CB0262" w:rsidRPr="00734B50" w:rsidRDefault="00101CDD" w:rsidP="00EF4590">
      <w:pPr>
        <w:rPr>
          <w:lang w:val="pt-BR"/>
        </w:rPr>
      </w:pPr>
      <w:r w:rsidRPr="00734B50">
        <w:rPr>
          <w:rFonts w:cs="Tahoma"/>
          <w:color w:val="000000"/>
          <w:szCs w:val="20"/>
          <w:lang w:val="pt-BR"/>
        </w:rPr>
        <w:t>CAL do Usuário do Visual Studio</w:t>
      </w:r>
      <w:r w:rsidRPr="00734B50">
        <w:rPr>
          <w:rFonts w:cs="Tahoma"/>
          <w:color w:val="000000"/>
          <w:szCs w:val="20"/>
          <w:vertAlign w:val="superscript"/>
          <w:lang w:val="pt-BR"/>
        </w:rPr>
        <w:t>®</w:t>
      </w:r>
      <w:r w:rsidRPr="00734B50">
        <w:rPr>
          <w:rFonts w:cs="Tahoma"/>
          <w:color w:val="000000"/>
          <w:szCs w:val="20"/>
          <w:lang w:val="pt-BR"/>
        </w:rPr>
        <w:t xml:space="preserve"> Team Foundation Server 2010</w:t>
      </w:r>
    </w:p>
    <w:p w:rsidR="00CB0262" w:rsidRPr="00734B50" w:rsidRDefault="00101CDD" w:rsidP="00EF4590">
      <w:pPr>
        <w:rPr>
          <w:lang w:val="pt-BR"/>
        </w:rPr>
      </w:pPr>
      <w:r w:rsidRPr="00734B50">
        <w:rPr>
          <w:rFonts w:cs="Tahoma"/>
          <w:color w:val="000000"/>
          <w:szCs w:val="20"/>
          <w:lang w:val="pt-BR"/>
        </w:rPr>
        <w:t>External Connector do Visual Studio</w:t>
      </w:r>
      <w:r w:rsidRPr="00734B50">
        <w:rPr>
          <w:rFonts w:cs="Tahoma"/>
          <w:color w:val="000000"/>
          <w:szCs w:val="20"/>
          <w:vertAlign w:val="superscript"/>
          <w:lang w:val="pt-BR"/>
        </w:rPr>
        <w:t>®</w:t>
      </w:r>
      <w:r w:rsidRPr="00734B50">
        <w:rPr>
          <w:rFonts w:cs="Tahoma"/>
          <w:color w:val="000000"/>
          <w:szCs w:val="20"/>
          <w:lang w:val="pt-BR"/>
        </w:rPr>
        <w:t xml:space="preserve"> Team Foundation Server 2010</w:t>
      </w:r>
    </w:p>
    <w:p w:rsidR="00101CDD" w:rsidRPr="00734B50" w:rsidRDefault="00101CDD" w:rsidP="00EF4590">
      <w:pPr>
        <w:rPr>
          <w:lang w:val="pt-BR"/>
        </w:rPr>
      </w:pPr>
      <w:r w:rsidRPr="00734B50">
        <w:rPr>
          <w:rFonts w:cs="Tahoma"/>
          <w:color w:val="000000"/>
          <w:szCs w:val="20"/>
          <w:lang w:val="pt-BR"/>
        </w:rPr>
        <w:t>CAL do Windows Server™ 2008 (Dispositivo e Usuário)</w:t>
      </w:r>
    </w:p>
    <w:p w:rsidR="00CB0262" w:rsidRPr="00734B50" w:rsidRDefault="00101CDD" w:rsidP="00EF4590">
      <w:pPr>
        <w:rPr>
          <w:lang w:val="pt-BR"/>
        </w:rPr>
      </w:pPr>
      <w:r w:rsidRPr="00734B50">
        <w:rPr>
          <w:rFonts w:cs="Tahoma"/>
          <w:color w:val="000000"/>
          <w:szCs w:val="20"/>
          <w:lang w:val="pt-BR"/>
        </w:rPr>
        <w:t>Windows Server™ 2008 R2 HPC Edition</w:t>
      </w:r>
    </w:p>
    <w:p w:rsidR="00101CDD" w:rsidRPr="00734B50" w:rsidRDefault="00101CDD" w:rsidP="00EF4590">
      <w:pPr>
        <w:rPr>
          <w:lang w:val="pt-BR"/>
        </w:rPr>
      </w:pPr>
      <w:r w:rsidRPr="00734B50">
        <w:rPr>
          <w:rFonts w:cs="Tahoma"/>
          <w:color w:val="000000"/>
          <w:szCs w:val="20"/>
          <w:lang w:val="pt-BR"/>
        </w:rPr>
        <w:t>Windows Server™ 2008 R2 Datacenter</w:t>
      </w:r>
    </w:p>
    <w:p w:rsidR="00CB0262" w:rsidRPr="00734B50" w:rsidRDefault="00101CDD" w:rsidP="00EF4590">
      <w:pPr>
        <w:rPr>
          <w:lang w:val="pt-BR"/>
        </w:rPr>
      </w:pPr>
      <w:r w:rsidRPr="00734B50">
        <w:rPr>
          <w:rFonts w:cs="Tahoma"/>
          <w:color w:val="000000"/>
          <w:szCs w:val="20"/>
          <w:lang w:val="pt-BR"/>
        </w:rPr>
        <w:t>Windows Server™ 2008 R2 Enterprise</w:t>
      </w:r>
    </w:p>
    <w:p w:rsidR="00101CDD" w:rsidRPr="00734B50" w:rsidRDefault="00101CDD" w:rsidP="00EF4590">
      <w:pPr>
        <w:rPr>
          <w:lang w:val="pt-BR"/>
        </w:rPr>
      </w:pPr>
      <w:r w:rsidRPr="00734B50">
        <w:rPr>
          <w:rFonts w:cs="Tahoma"/>
          <w:color w:val="000000"/>
          <w:szCs w:val="20"/>
          <w:lang w:val="pt-BR"/>
        </w:rPr>
        <w:t>Windows Server™ 2008 R2 Itanium Based Systems</w:t>
      </w:r>
    </w:p>
    <w:p w:rsidR="00101CDD" w:rsidRPr="00734B50" w:rsidRDefault="00101CDD" w:rsidP="00EF4590">
      <w:pPr>
        <w:rPr>
          <w:lang w:val="pt-BR"/>
        </w:rPr>
      </w:pPr>
      <w:r w:rsidRPr="00734B50">
        <w:rPr>
          <w:rFonts w:cs="Tahoma"/>
          <w:color w:val="000000"/>
          <w:szCs w:val="20"/>
          <w:lang w:val="pt-BR"/>
        </w:rPr>
        <w:t>Windows Server™ 2008 R2 Standard</w:t>
      </w:r>
    </w:p>
    <w:p w:rsidR="00CB0262" w:rsidRPr="00734B50" w:rsidRDefault="00101CDD" w:rsidP="00EF4590">
      <w:pPr>
        <w:rPr>
          <w:lang w:val="pt-BR"/>
        </w:rPr>
      </w:pPr>
      <w:r w:rsidRPr="00734B50">
        <w:rPr>
          <w:rFonts w:cs="Tahoma"/>
          <w:color w:val="000000"/>
          <w:szCs w:val="20"/>
          <w:lang w:val="pt-BR"/>
        </w:rPr>
        <w:t>External Connector do Windows Server™ 2008</w:t>
      </w:r>
    </w:p>
    <w:p w:rsidR="00CB0262" w:rsidRPr="00734B50" w:rsidRDefault="00101CDD" w:rsidP="00EF4590">
      <w:pPr>
        <w:rPr>
          <w:lang w:val="pt-BR"/>
        </w:rPr>
      </w:pPr>
      <w:r w:rsidRPr="00734B50">
        <w:rPr>
          <w:rFonts w:cs="Tahoma"/>
          <w:color w:val="000000"/>
          <w:szCs w:val="20"/>
          <w:lang w:val="pt-BR"/>
        </w:rPr>
        <w:t>CAL de Serviços de Área de Trabalho Remota do Windows Server™ 2008</w:t>
      </w:r>
    </w:p>
    <w:p w:rsidR="00101CDD" w:rsidRPr="00734B50" w:rsidRDefault="00101CDD" w:rsidP="00EF4590">
      <w:pPr>
        <w:rPr>
          <w:lang w:val="pt-BR"/>
        </w:rPr>
      </w:pPr>
      <w:r w:rsidRPr="00734B50">
        <w:rPr>
          <w:rFonts w:cs="Tahoma"/>
          <w:color w:val="000000"/>
          <w:szCs w:val="20"/>
          <w:lang w:val="pt-BR"/>
        </w:rPr>
        <w:t>External Connector dos Serviços de Área de Trabalho Remota do Windows Server™ 2008</w:t>
      </w:r>
    </w:p>
    <w:p w:rsidR="00101CDD" w:rsidRPr="00734B50" w:rsidRDefault="00101CDD" w:rsidP="00EF4590">
      <w:pPr>
        <w:rPr>
          <w:lang w:val="pt-BR"/>
        </w:rPr>
      </w:pPr>
      <w:r w:rsidRPr="00734B50">
        <w:rPr>
          <w:rFonts w:cs="Tahoma"/>
          <w:color w:val="000000"/>
          <w:szCs w:val="20"/>
          <w:lang w:val="pt-BR"/>
        </w:rPr>
        <w:lastRenderedPageBreak/>
        <w:t>CAL dos Serviços de Gerenciamento de Direitos do Windows Server™ 2008</w:t>
      </w:r>
    </w:p>
    <w:p w:rsidR="00101CDD" w:rsidRPr="00734B50" w:rsidRDefault="00101CDD" w:rsidP="00EF4590">
      <w:pPr>
        <w:rPr>
          <w:lang w:val="pt-BR"/>
        </w:rPr>
      </w:pPr>
      <w:r w:rsidRPr="00734B50">
        <w:rPr>
          <w:rFonts w:cs="Tahoma"/>
          <w:color w:val="000000"/>
          <w:szCs w:val="20"/>
          <w:lang w:val="pt-BR"/>
        </w:rPr>
        <w:t>External Connector dos Serviços de Gerenciamento de Direitos do Windows Server™ 2008</w:t>
      </w:r>
    </w:p>
    <w:p w:rsidR="00101CDD" w:rsidRPr="00653421" w:rsidRDefault="00101CDD" w:rsidP="00EF4590">
      <w:r w:rsidRPr="00653421">
        <w:rPr>
          <w:rFonts w:cs="Tahoma"/>
          <w:color w:val="000000"/>
          <w:szCs w:val="20"/>
        </w:rPr>
        <w:t>Windows Web Server 2008 R2</w:t>
      </w:r>
    </w:p>
    <w:p w:rsidR="00101CDD" w:rsidRPr="00653421" w:rsidRDefault="00101CDD" w:rsidP="00EF4590">
      <w:r w:rsidRPr="00653421">
        <w:rPr>
          <w:rFonts w:cs="Tahoma"/>
          <w:color w:val="000000"/>
          <w:szCs w:val="20"/>
        </w:rPr>
        <w:t>HPC Pack 2008 R2 Enterprise</w:t>
      </w:r>
    </w:p>
    <w:p w:rsidR="00101CDD" w:rsidRPr="00653421" w:rsidRDefault="00101CDD" w:rsidP="00EF4590">
      <w:r w:rsidRPr="00653421">
        <w:rPr>
          <w:rFonts w:cs="Tahoma"/>
          <w:color w:val="000000"/>
          <w:szCs w:val="20"/>
        </w:rPr>
        <w:t>HPC Pack 2008 R2 para Workstation</w:t>
      </w:r>
    </w:p>
    <w:p w:rsidR="00101CDD" w:rsidRPr="00653421" w:rsidRDefault="00101CDD" w:rsidP="00EF4590">
      <w:r w:rsidRPr="00653421">
        <w:rPr>
          <w:rFonts w:cs="Tahoma"/>
          <w:color w:val="000000"/>
          <w:szCs w:val="20"/>
        </w:rPr>
        <w:t>Windows HPC Server 2008 R2 Suite</w:t>
      </w:r>
    </w:p>
    <w:p w:rsidR="00101CDD" w:rsidRPr="00653421" w:rsidRDefault="00101CDD" w:rsidP="00EF4590">
      <w:r w:rsidRPr="00653421">
        <w:rPr>
          <w:rFonts w:cs="Tahoma"/>
          <w:color w:val="000000"/>
          <w:szCs w:val="20"/>
        </w:rPr>
        <w:t>Win Starter 7</w:t>
      </w:r>
    </w:p>
    <w:p w:rsidR="00101CDD" w:rsidRPr="00734B50" w:rsidRDefault="00101CDD" w:rsidP="00EF4590">
      <w:pPr>
        <w:rPr>
          <w:lang w:val="pt-BR"/>
        </w:rPr>
      </w:pPr>
      <w:r w:rsidRPr="00734B50">
        <w:rPr>
          <w:rFonts w:cs="Tahoma"/>
          <w:color w:val="000000"/>
          <w:szCs w:val="20"/>
          <w:lang w:val="pt-BR"/>
        </w:rPr>
        <w:t>Atualização para Win 7 Professional</w:t>
      </w:r>
    </w:p>
    <w:p w:rsidR="001253FF" w:rsidRPr="00734B50" w:rsidRDefault="001253FF" w:rsidP="00EF4590">
      <w:pPr>
        <w:rPr>
          <w:lang w:val="pt-BR"/>
        </w:rPr>
      </w:pPr>
      <w:r w:rsidRPr="00734B50">
        <w:rPr>
          <w:rFonts w:cs="Tahoma"/>
          <w:color w:val="000000"/>
          <w:szCs w:val="18"/>
          <w:lang w:val="pt-BR"/>
        </w:rPr>
        <w:t>Windows 7 Professional com MDOP</w:t>
      </w:r>
    </w:p>
    <w:p w:rsidR="00CB0262" w:rsidRPr="00734B50" w:rsidRDefault="00CB0262" w:rsidP="00EF4590">
      <w:pPr>
        <w:rPr>
          <w:lang w:val="pt-BR"/>
        </w:rPr>
      </w:pPr>
    </w:p>
    <w:p w:rsidR="00593FBD" w:rsidRPr="00734B50" w:rsidRDefault="00593FBD">
      <w:pPr>
        <w:ind w:right="720"/>
        <w:rPr>
          <w:lang w:val="pt-BR"/>
        </w:rPr>
      </w:pPr>
    </w:p>
    <w:p w:rsidR="00EB4DA8" w:rsidRPr="00734B50" w:rsidRDefault="00EB4DA8" w:rsidP="00EB4DA8">
      <w:pPr>
        <w:pStyle w:val="Heading2"/>
        <w:ind w:left="0"/>
        <w:jc w:val="both"/>
        <w:rPr>
          <w:lang w:val="pt-BR"/>
        </w:rPr>
      </w:pPr>
      <w:bookmarkStart w:id="632" w:name="_Toc336338171"/>
      <w:bookmarkStart w:id="633" w:name="_Toc353470824"/>
      <w:r w:rsidRPr="00734B50">
        <w:rPr>
          <w:rFonts w:ascii="Tahoma" w:hAnsi="Tahoma" w:cs="Tahoma"/>
          <w:color w:val="FF6600"/>
          <w:lang w:val="pt-BR"/>
        </w:rPr>
        <w:t>ALTERAÇÕES EM AGOSTO DE 2012</w:t>
      </w:r>
      <w:bookmarkEnd w:id="632"/>
      <w:bookmarkEnd w:id="633"/>
    </w:p>
    <w:p w:rsidR="00EB4DA8" w:rsidRPr="00734B50" w:rsidRDefault="00EB4DA8" w:rsidP="00EB4DA8">
      <w:pPr>
        <w:rPr>
          <w:lang w:val="pt-BR"/>
        </w:rPr>
      </w:pPr>
    </w:p>
    <w:p w:rsidR="00EB4DA8" w:rsidRPr="00734B50" w:rsidRDefault="00EB4DA8" w:rsidP="003E606C">
      <w:pPr>
        <w:spacing w:after="60"/>
        <w:rPr>
          <w:lang w:val="pt-BR"/>
        </w:rPr>
      </w:pPr>
      <w:r w:rsidRPr="00734B50">
        <w:rPr>
          <w:b/>
          <w:lang w:val="pt-BR"/>
        </w:rPr>
        <w:t>Adições</w:t>
      </w:r>
    </w:p>
    <w:p w:rsidR="00EB4DA8" w:rsidRPr="00734B50" w:rsidRDefault="00EB4DA8" w:rsidP="00EB4DA8">
      <w:pPr>
        <w:rPr>
          <w:lang w:val="pt-BR"/>
        </w:rPr>
      </w:pPr>
      <w:r w:rsidRPr="00734B50">
        <w:rPr>
          <w:rFonts w:cs="Tahoma"/>
          <w:szCs w:val="18"/>
          <w:lang w:val="pt-BR"/>
        </w:rPr>
        <w:t>MapPoint</w:t>
      </w:r>
      <w:r w:rsidRPr="00734B50">
        <w:rPr>
          <w:rFonts w:cs="Tahoma"/>
          <w:szCs w:val="18"/>
          <w:vertAlign w:val="superscript"/>
          <w:lang w:val="pt-BR"/>
        </w:rPr>
        <w:t>®</w:t>
      </w:r>
      <w:r w:rsidRPr="00734B50">
        <w:rPr>
          <w:rFonts w:cs="Tahoma"/>
          <w:szCs w:val="18"/>
          <w:lang w:val="pt-BR"/>
        </w:rPr>
        <w:t xml:space="preserve"> Fleet Edition 2013</w:t>
      </w:r>
    </w:p>
    <w:p w:rsidR="00EB4DA8" w:rsidRPr="00734B50" w:rsidRDefault="00EB4DA8" w:rsidP="00EB4DA8">
      <w:pPr>
        <w:rPr>
          <w:lang w:val="pt-BR"/>
        </w:rPr>
      </w:pPr>
      <w:r w:rsidRPr="00734B50">
        <w:rPr>
          <w:rFonts w:cs="Tahoma"/>
          <w:szCs w:val="18"/>
          <w:lang w:val="pt-BR"/>
        </w:rPr>
        <w:t>MapPoint</w:t>
      </w:r>
      <w:r w:rsidRPr="00734B50">
        <w:rPr>
          <w:rFonts w:cs="Tahoma"/>
          <w:szCs w:val="18"/>
          <w:vertAlign w:val="superscript"/>
          <w:lang w:val="pt-BR"/>
        </w:rPr>
        <w:t>®</w:t>
      </w:r>
      <w:r w:rsidRPr="00734B50">
        <w:rPr>
          <w:rFonts w:cs="Tahoma"/>
          <w:szCs w:val="18"/>
          <w:lang w:val="pt-BR"/>
        </w:rPr>
        <w:t xml:space="preserve"> 2013 para Windows </w:t>
      </w:r>
    </w:p>
    <w:p w:rsidR="00DA364B" w:rsidRPr="00734B50" w:rsidRDefault="00DA364B" w:rsidP="00EB4DA8">
      <w:pPr>
        <w:rPr>
          <w:lang w:val="pt-BR"/>
        </w:rPr>
      </w:pPr>
      <w:r w:rsidRPr="00734B50">
        <w:rPr>
          <w:rFonts w:cs="Tahoma"/>
          <w:szCs w:val="18"/>
          <w:lang w:val="pt-BR"/>
        </w:rPr>
        <w:t>API do Tradutor da Microsoft</w:t>
      </w:r>
    </w:p>
    <w:p w:rsidR="009E224B" w:rsidRPr="00653421" w:rsidRDefault="009E224B" w:rsidP="00EB4DA8">
      <w:r w:rsidRPr="00653421">
        <w:rPr>
          <w:rFonts w:cs="Tahoma"/>
          <w:szCs w:val="18"/>
        </w:rPr>
        <w:t>Office 365 Planos G1-G4</w:t>
      </w:r>
    </w:p>
    <w:p w:rsidR="00EB4DA8" w:rsidRPr="00653421" w:rsidRDefault="00465D54" w:rsidP="00EB4DA8">
      <w:r w:rsidRPr="00653421">
        <w:rPr>
          <w:rFonts w:cs="Tahoma"/>
          <w:szCs w:val="18"/>
        </w:rPr>
        <w:t>Streets and Trips 2013</w:t>
      </w:r>
    </w:p>
    <w:p w:rsidR="00EB4DA8" w:rsidRPr="00653421" w:rsidRDefault="00EB4DA8" w:rsidP="00EB4DA8"/>
    <w:p w:rsidR="00EB4DA8" w:rsidRPr="00734B50" w:rsidRDefault="00EB4DA8" w:rsidP="003E606C">
      <w:pPr>
        <w:spacing w:after="60"/>
        <w:rPr>
          <w:lang w:val="pt-BR"/>
        </w:rPr>
      </w:pPr>
      <w:r w:rsidRPr="00734B50">
        <w:rPr>
          <w:b/>
          <w:lang w:val="pt-BR"/>
        </w:rPr>
        <w:t>Promoções</w:t>
      </w:r>
    </w:p>
    <w:p w:rsidR="00EB4DA8" w:rsidRPr="00734B50" w:rsidRDefault="00EB4DA8" w:rsidP="00EB4DA8">
      <w:pPr>
        <w:rPr>
          <w:lang w:val="pt-BR"/>
        </w:rPr>
      </w:pPr>
      <w:r w:rsidRPr="00734B50">
        <w:rPr>
          <w:rFonts w:cs="Tahoma"/>
          <w:color w:val="000000"/>
          <w:szCs w:val="18"/>
          <w:lang w:val="pt-BR"/>
        </w:rPr>
        <w:t>Não há adições, exclusões nem términos de promoções.</w:t>
      </w:r>
    </w:p>
    <w:p w:rsidR="00EB4DA8" w:rsidRPr="00653421" w:rsidRDefault="00EB4DA8" w:rsidP="003E606C">
      <w:pPr>
        <w:spacing w:after="60"/>
      </w:pPr>
      <w:r w:rsidRPr="005D0F50">
        <w:rPr>
          <w:rFonts w:cs="Tahoma"/>
          <w:szCs w:val="18"/>
        </w:rPr>
        <w:br/>
      </w:r>
      <w:r w:rsidRPr="00653421">
        <w:rPr>
          <w:b/>
        </w:rPr>
        <w:t>Exclusões</w:t>
      </w:r>
    </w:p>
    <w:p w:rsidR="00EB4DA8" w:rsidRPr="00653421" w:rsidRDefault="00EB4DA8" w:rsidP="00EB4DA8">
      <w:r w:rsidRPr="00653421">
        <w:rPr>
          <w:rFonts w:cs="Tahoma"/>
          <w:szCs w:val="18"/>
        </w:rPr>
        <w:t>MapPoint</w:t>
      </w:r>
      <w:r w:rsidRPr="00653421">
        <w:rPr>
          <w:rFonts w:cs="Tahoma"/>
          <w:szCs w:val="18"/>
          <w:vertAlign w:val="superscript"/>
        </w:rPr>
        <w:t>®</w:t>
      </w:r>
      <w:r w:rsidRPr="00653421">
        <w:rPr>
          <w:rFonts w:cs="Tahoma"/>
          <w:szCs w:val="18"/>
        </w:rPr>
        <w:t xml:space="preserve"> Fleet Edition 2011</w:t>
      </w:r>
    </w:p>
    <w:p w:rsidR="00EB4DA8" w:rsidRPr="00653421" w:rsidRDefault="00EB4DA8" w:rsidP="00EB4DA8">
      <w:r w:rsidRPr="00653421">
        <w:rPr>
          <w:rFonts w:cs="Tahoma"/>
          <w:szCs w:val="18"/>
        </w:rPr>
        <w:t>MapPoint</w:t>
      </w:r>
      <w:r w:rsidRPr="00653421">
        <w:rPr>
          <w:rFonts w:cs="Tahoma"/>
          <w:szCs w:val="18"/>
          <w:vertAlign w:val="superscript"/>
        </w:rPr>
        <w:t>®</w:t>
      </w:r>
      <w:r w:rsidR="00465D54" w:rsidRPr="00653421">
        <w:rPr>
          <w:rFonts w:cs="Tahoma"/>
          <w:szCs w:val="18"/>
        </w:rPr>
        <w:t xml:space="preserve"> 2011 para Windows</w:t>
      </w:r>
    </w:p>
    <w:p w:rsidR="00EB4DA8" w:rsidRPr="00734B50" w:rsidRDefault="00465D54" w:rsidP="00EB4DA8">
      <w:pPr>
        <w:rPr>
          <w:lang w:val="pt-BR"/>
        </w:rPr>
      </w:pPr>
      <w:r w:rsidRPr="00734B50">
        <w:rPr>
          <w:rFonts w:cs="Tahoma"/>
          <w:szCs w:val="18"/>
          <w:lang w:val="pt-BR"/>
        </w:rPr>
        <w:t>Streets and Trips 2011</w:t>
      </w:r>
    </w:p>
    <w:p w:rsidR="00EB4DA8" w:rsidRPr="00734B50" w:rsidRDefault="00EB4DA8" w:rsidP="00EB4DA8">
      <w:pPr>
        <w:rPr>
          <w:lang w:val="pt-BR"/>
        </w:rPr>
      </w:pPr>
    </w:p>
    <w:p w:rsidR="00EB4DA8" w:rsidRPr="00734B50" w:rsidRDefault="00EB4DA8" w:rsidP="005A23F4">
      <w:pPr>
        <w:pStyle w:val="Heading2"/>
        <w:ind w:left="0"/>
        <w:jc w:val="both"/>
        <w:rPr>
          <w:rFonts w:ascii="Tahoma" w:hAnsi="Tahoma" w:cs="Tahoma"/>
          <w:sz w:val="18"/>
          <w:szCs w:val="18"/>
          <w:lang w:val="pt-BR"/>
        </w:rPr>
      </w:pPr>
    </w:p>
    <w:p w:rsidR="005A23F4" w:rsidRPr="00734B50" w:rsidRDefault="005A23F4" w:rsidP="005A23F4">
      <w:pPr>
        <w:pStyle w:val="Heading2"/>
        <w:ind w:left="0"/>
        <w:jc w:val="both"/>
        <w:rPr>
          <w:lang w:val="pt-BR"/>
        </w:rPr>
      </w:pPr>
      <w:bookmarkStart w:id="634" w:name="_Toc336338172"/>
      <w:bookmarkStart w:id="635" w:name="_Toc353470825"/>
      <w:r w:rsidRPr="00734B50">
        <w:rPr>
          <w:rFonts w:ascii="Tahoma" w:hAnsi="Tahoma" w:cs="Tahoma"/>
          <w:color w:val="FF6600"/>
          <w:lang w:val="pt-BR"/>
        </w:rPr>
        <w:t>ALTERAÇÕES EM JULHO DE 2012</w:t>
      </w:r>
      <w:bookmarkEnd w:id="634"/>
      <w:bookmarkEnd w:id="635"/>
    </w:p>
    <w:p w:rsidR="005A23F4" w:rsidRPr="00734B50" w:rsidRDefault="005A23F4" w:rsidP="005A23F4">
      <w:pPr>
        <w:rPr>
          <w:lang w:val="pt-BR"/>
        </w:rPr>
      </w:pPr>
    </w:p>
    <w:p w:rsidR="00172CBA" w:rsidRPr="00734B50" w:rsidRDefault="00172CBA" w:rsidP="003E606C">
      <w:pPr>
        <w:spacing w:after="60"/>
        <w:rPr>
          <w:lang w:val="pt-BR"/>
        </w:rPr>
      </w:pPr>
      <w:r w:rsidRPr="00734B50">
        <w:rPr>
          <w:b/>
          <w:lang w:val="pt-BR"/>
        </w:rPr>
        <w:t>Adições</w:t>
      </w:r>
    </w:p>
    <w:p w:rsidR="00856858" w:rsidRPr="00734B50" w:rsidRDefault="00856858" w:rsidP="00FF73C5">
      <w:pPr>
        <w:rPr>
          <w:lang w:val="pt-BR"/>
        </w:rPr>
      </w:pPr>
      <w:r w:rsidRPr="00734B50">
        <w:rPr>
          <w:rFonts w:cs="Tahoma"/>
          <w:szCs w:val="18"/>
          <w:lang w:val="pt-BR"/>
        </w:rPr>
        <w:t>Lync Online Plano 3</w:t>
      </w:r>
    </w:p>
    <w:p w:rsidR="00B1779F" w:rsidRPr="00734B50" w:rsidRDefault="00B1779F" w:rsidP="00492E6C">
      <w:pPr>
        <w:rPr>
          <w:lang w:val="pt-BR"/>
        </w:rPr>
      </w:pPr>
      <w:r w:rsidRPr="00734B50">
        <w:rPr>
          <w:rFonts w:cs="Tahoma"/>
          <w:szCs w:val="18"/>
          <w:lang w:val="pt-BR"/>
        </w:rPr>
        <w:t>Lync Online Plano 3A</w:t>
      </w:r>
    </w:p>
    <w:p w:rsidR="00856858" w:rsidRPr="00734B50" w:rsidRDefault="00856858" w:rsidP="00DA364B">
      <w:pPr>
        <w:rPr>
          <w:lang w:val="pt-BR"/>
        </w:rPr>
      </w:pPr>
      <w:r w:rsidRPr="00734B50">
        <w:rPr>
          <w:rFonts w:cs="Tahoma"/>
          <w:szCs w:val="18"/>
          <w:lang w:val="pt-BR"/>
        </w:rPr>
        <w:t>Aplicativos da Web do Office com SharePoint Plano 2A</w:t>
      </w:r>
    </w:p>
    <w:p w:rsidR="00172CBA" w:rsidRPr="00653421" w:rsidRDefault="00856858" w:rsidP="00543693">
      <w:r w:rsidRPr="00653421">
        <w:rPr>
          <w:rFonts w:cs="Tahoma"/>
          <w:szCs w:val="18"/>
        </w:rPr>
        <w:t xml:space="preserve">Learning Solutions IT Academy (SL de Usuário) </w:t>
      </w:r>
    </w:p>
    <w:p w:rsidR="00172CBA" w:rsidRPr="00653421" w:rsidRDefault="00172CBA" w:rsidP="00546475"/>
    <w:p w:rsidR="00172CBA" w:rsidRPr="00734B50" w:rsidRDefault="00172CBA" w:rsidP="003E606C">
      <w:pPr>
        <w:spacing w:after="60"/>
        <w:rPr>
          <w:lang w:val="pt-BR"/>
        </w:rPr>
      </w:pPr>
      <w:r w:rsidRPr="00734B50">
        <w:rPr>
          <w:b/>
          <w:lang w:val="pt-BR"/>
        </w:rPr>
        <w:t>Promoções</w:t>
      </w:r>
    </w:p>
    <w:p w:rsidR="00172CBA" w:rsidRPr="00734B50" w:rsidRDefault="00172CBA" w:rsidP="002765CF">
      <w:pPr>
        <w:rPr>
          <w:lang w:val="pt-BR"/>
        </w:rPr>
      </w:pPr>
      <w:bookmarkStart w:id="636" w:name="_Toc325609137"/>
      <w:r w:rsidRPr="00734B50">
        <w:rPr>
          <w:rFonts w:cs="Tahoma"/>
          <w:color w:val="000000"/>
          <w:szCs w:val="18"/>
          <w:lang w:val="pt-BR"/>
        </w:rPr>
        <w:t>Não há adições, exclusões nem términos de promoções.</w:t>
      </w:r>
      <w:bookmarkEnd w:id="636"/>
    </w:p>
    <w:p w:rsidR="00172CBA" w:rsidRPr="00734B50" w:rsidRDefault="00172CBA" w:rsidP="003E606C">
      <w:pPr>
        <w:spacing w:after="60"/>
        <w:rPr>
          <w:lang w:val="pt-BR"/>
        </w:rPr>
      </w:pPr>
      <w:r w:rsidRPr="00734B50">
        <w:rPr>
          <w:rFonts w:cs="Tahoma"/>
          <w:szCs w:val="18"/>
          <w:lang w:val="pt-BR"/>
        </w:rPr>
        <w:br/>
      </w:r>
      <w:r w:rsidRPr="00734B50">
        <w:rPr>
          <w:b/>
          <w:lang w:val="pt-BR"/>
        </w:rPr>
        <w:t>Exclusões</w:t>
      </w:r>
    </w:p>
    <w:p w:rsidR="00172CBA" w:rsidRPr="00734B50" w:rsidRDefault="00172CBA" w:rsidP="00EB4DA8">
      <w:pPr>
        <w:rPr>
          <w:lang w:val="pt-BR"/>
        </w:rPr>
      </w:pPr>
      <w:r w:rsidRPr="00734B50">
        <w:rPr>
          <w:rFonts w:cs="Tahoma"/>
          <w:color w:val="000000"/>
          <w:szCs w:val="20"/>
          <w:lang w:val="pt-BR"/>
        </w:rPr>
        <w:t>Não houve exclusões de produtos.</w:t>
      </w:r>
    </w:p>
    <w:p w:rsidR="00B1779F" w:rsidRPr="00734B50" w:rsidRDefault="00B1779F" w:rsidP="00EB4DA8">
      <w:pPr>
        <w:rPr>
          <w:lang w:val="pt-BR"/>
        </w:rPr>
      </w:pPr>
    </w:p>
    <w:p w:rsidR="00B1779F" w:rsidRPr="00734B50" w:rsidRDefault="00B1779F" w:rsidP="003E606C">
      <w:pPr>
        <w:spacing w:after="60"/>
        <w:rPr>
          <w:lang w:val="pt-BR"/>
        </w:rPr>
      </w:pPr>
      <w:r w:rsidRPr="00734B50">
        <w:rPr>
          <w:b/>
          <w:lang w:val="pt-BR"/>
        </w:rPr>
        <w:t>Outras Alterações</w:t>
      </w:r>
    </w:p>
    <w:p w:rsidR="00B1779F" w:rsidRPr="00734B50" w:rsidRDefault="00B1779F" w:rsidP="00EB4DA8">
      <w:pPr>
        <w:rPr>
          <w:lang w:val="pt-BR"/>
        </w:rPr>
      </w:pPr>
      <w:r w:rsidRPr="00734B50">
        <w:rPr>
          <w:rFonts w:cs="Tahoma"/>
          <w:color w:val="000000"/>
          <w:szCs w:val="20"/>
          <w:lang w:val="pt-BR"/>
        </w:rPr>
        <w:t xml:space="preserve">As Seções 3 a 5 foram reorganizadas nas Seções 3 a 9 para melhorias de uso. </w:t>
      </w:r>
    </w:p>
    <w:p w:rsidR="00B1779F" w:rsidRPr="00734B50" w:rsidRDefault="00B1779F" w:rsidP="00172CBA">
      <w:pPr>
        <w:ind w:right="720"/>
        <w:rPr>
          <w:lang w:val="pt-BR"/>
        </w:rPr>
      </w:pPr>
    </w:p>
    <w:p w:rsidR="005A23F4" w:rsidRPr="00734B50" w:rsidRDefault="005A23F4" w:rsidP="00BB6A1F">
      <w:pPr>
        <w:pStyle w:val="Heading2"/>
        <w:ind w:left="0"/>
        <w:jc w:val="both"/>
        <w:rPr>
          <w:lang w:val="pt-BR"/>
        </w:rPr>
      </w:pPr>
    </w:p>
    <w:p w:rsidR="00BB6A1F" w:rsidRPr="00734B50" w:rsidRDefault="00E702AC" w:rsidP="00BB6A1F">
      <w:pPr>
        <w:pStyle w:val="Heading2"/>
        <w:ind w:left="0"/>
        <w:jc w:val="both"/>
        <w:rPr>
          <w:lang w:val="pt-BR"/>
        </w:rPr>
      </w:pPr>
      <w:bookmarkStart w:id="637" w:name="_Toc336338173"/>
      <w:bookmarkStart w:id="638" w:name="_Toc353470826"/>
      <w:r w:rsidRPr="00734B50">
        <w:rPr>
          <w:rFonts w:ascii="Tahoma" w:hAnsi="Tahoma" w:cs="Tahoma"/>
          <w:color w:val="FF6600"/>
          <w:lang w:val="pt-BR"/>
        </w:rPr>
        <w:t>ALTERAÇÕES EM JUNHO DE 2012</w:t>
      </w:r>
      <w:bookmarkEnd w:id="637"/>
      <w:bookmarkEnd w:id="638"/>
    </w:p>
    <w:p w:rsidR="00BB6A1F" w:rsidRPr="00734B50" w:rsidRDefault="00BB6A1F" w:rsidP="00BB6A1F">
      <w:pPr>
        <w:rPr>
          <w:lang w:val="pt-BR"/>
        </w:rPr>
      </w:pPr>
    </w:p>
    <w:p w:rsidR="00BB6A1F" w:rsidRPr="00734B50" w:rsidRDefault="00BB6A1F" w:rsidP="003E606C">
      <w:pPr>
        <w:spacing w:after="60"/>
        <w:rPr>
          <w:lang w:val="pt-BR"/>
        </w:rPr>
      </w:pPr>
      <w:r w:rsidRPr="00734B50">
        <w:rPr>
          <w:b/>
          <w:lang w:val="pt-BR"/>
        </w:rPr>
        <w:t>Adições</w:t>
      </w:r>
    </w:p>
    <w:p w:rsidR="00B435C3" w:rsidRPr="00734B50" w:rsidRDefault="00B435C3" w:rsidP="00BA3004">
      <w:pPr>
        <w:rPr>
          <w:lang w:val="pt-BR"/>
        </w:rPr>
      </w:pPr>
      <w:r w:rsidRPr="00734B50">
        <w:rPr>
          <w:rFonts w:cs="Tahoma"/>
          <w:szCs w:val="18"/>
          <w:lang w:val="pt-BR"/>
        </w:rPr>
        <w:t>Dynamics CRM Mobile (Online; Por Usuário)</w:t>
      </w:r>
    </w:p>
    <w:p w:rsidR="00B435C3" w:rsidRPr="00734B50" w:rsidRDefault="00B435C3" w:rsidP="00BA3004">
      <w:pPr>
        <w:rPr>
          <w:lang w:val="pt-BR"/>
        </w:rPr>
      </w:pPr>
      <w:r w:rsidRPr="00734B50">
        <w:rPr>
          <w:rFonts w:cs="Tahoma"/>
          <w:szCs w:val="18"/>
          <w:lang w:val="pt-BR"/>
        </w:rPr>
        <w:t>Dynamics CRM Onprem Mobile</w:t>
      </w:r>
    </w:p>
    <w:p w:rsidR="004945FA" w:rsidRPr="00734B50" w:rsidRDefault="004945FA" w:rsidP="00BA3004">
      <w:pPr>
        <w:rPr>
          <w:lang w:val="pt-BR"/>
        </w:rPr>
      </w:pPr>
      <w:r w:rsidRPr="00734B50">
        <w:rPr>
          <w:rFonts w:eastAsia="Calibri" w:cs="Tahoma"/>
          <w:color w:val="000000"/>
          <w:szCs w:val="18"/>
          <w:lang w:val="pt-BR"/>
        </w:rPr>
        <w:t>Servidor A (SL de Usuário)</w:t>
      </w:r>
    </w:p>
    <w:p w:rsidR="00AD5DCD" w:rsidRPr="00734B50" w:rsidRDefault="00AD5DCD" w:rsidP="00BA3004">
      <w:pPr>
        <w:rPr>
          <w:lang w:val="pt-BR"/>
        </w:rPr>
      </w:pPr>
      <w:r w:rsidRPr="00734B50">
        <w:rPr>
          <w:rFonts w:cs="Tahoma"/>
          <w:color w:val="000000"/>
          <w:szCs w:val="18"/>
          <w:lang w:val="pt-BR"/>
        </w:rPr>
        <w:t>Exchange Online Plan 1A para Alunos</w:t>
      </w:r>
    </w:p>
    <w:p w:rsidR="00AD5DCD" w:rsidRPr="00734B50" w:rsidRDefault="00AD5DCD" w:rsidP="00BA3004">
      <w:pPr>
        <w:rPr>
          <w:lang w:val="pt-BR"/>
        </w:rPr>
      </w:pPr>
      <w:r w:rsidRPr="00734B50">
        <w:rPr>
          <w:rFonts w:cs="Tahoma"/>
          <w:color w:val="000000"/>
          <w:szCs w:val="18"/>
          <w:lang w:val="pt-BR"/>
        </w:rPr>
        <w:t>Exchange Online Plano 2A</w:t>
      </w:r>
    </w:p>
    <w:p w:rsidR="007B4641" w:rsidRPr="00734B50" w:rsidRDefault="007B4641" w:rsidP="00BA3004">
      <w:pPr>
        <w:rPr>
          <w:lang w:val="pt-BR"/>
        </w:rPr>
      </w:pPr>
      <w:r w:rsidRPr="00734B50">
        <w:rPr>
          <w:rFonts w:cs="Tahoma"/>
          <w:color w:val="000000"/>
          <w:szCs w:val="20"/>
          <w:lang w:val="pt-BR"/>
        </w:rPr>
        <w:t>CAL do Forefront Identity Manager 2010 R2 (Somente usuário)</w:t>
      </w:r>
    </w:p>
    <w:p w:rsidR="004945FA" w:rsidRPr="00653421" w:rsidRDefault="004945FA" w:rsidP="00BA3004">
      <w:r w:rsidRPr="00653421">
        <w:rPr>
          <w:rFonts w:cs="Tahoma"/>
          <w:color w:val="000000"/>
          <w:szCs w:val="20"/>
        </w:rPr>
        <w:lastRenderedPageBreak/>
        <w:t>Forefront Identity Manager 2010 R2 External Connector</w:t>
      </w:r>
    </w:p>
    <w:p w:rsidR="004945FA" w:rsidRPr="00653421" w:rsidRDefault="004945FA" w:rsidP="00BA3004">
      <w:r w:rsidRPr="00653421">
        <w:rPr>
          <w:rFonts w:cs="Tahoma"/>
          <w:color w:val="000000"/>
          <w:szCs w:val="20"/>
        </w:rPr>
        <w:t>Forefront Identity Manager 2010 R2 Server</w:t>
      </w:r>
    </w:p>
    <w:p w:rsidR="004945FA" w:rsidRPr="00653421" w:rsidRDefault="004945FA" w:rsidP="00BA3004">
      <w:r w:rsidRPr="00653421">
        <w:rPr>
          <w:rFonts w:cs="Tahoma"/>
          <w:color w:val="000000"/>
          <w:szCs w:val="20"/>
        </w:rPr>
        <w:t>Forefront Identity Manager 2010 R2 – Windows Live Edition</w:t>
      </w:r>
    </w:p>
    <w:p w:rsidR="00834000" w:rsidRPr="00734B50" w:rsidRDefault="00834000" w:rsidP="00BA3004">
      <w:pPr>
        <w:rPr>
          <w:lang w:val="pt-BR"/>
        </w:rPr>
      </w:pPr>
      <w:r w:rsidRPr="00734B50">
        <w:rPr>
          <w:rFonts w:cs="Tahoma"/>
          <w:color w:val="000000"/>
          <w:szCs w:val="20"/>
          <w:lang w:val="pt-BR"/>
        </w:rPr>
        <w:t>Office 365 A2-A4 (SL de Usuário)</w:t>
      </w:r>
    </w:p>
    <w:p w:rsidR="00834000" w:rsidRPr="00734B50" w:rsidRDefault="00834000" w:rsidP="00BA3004">
      <w:pPr>
        <w:rPr>
          <w:lang w:val="pt-BR"/>
        </w:rPr>
      </w:pPr>
      <w:r w:rsidRPr="00734B50">
        <w:rPr>
          <w:rFonts w:cs="Tahoma"/>
          <w:color w:val="000000"/>
          <w:szCs w:val="20"/>
          <w:lang w:val="pt-BR"/>
        </w:rPr>
        <w:t xml:space="preserve">Assinatura A do Office Professional Plus </w:t>
      </w:r>
      <w:r w:rsidRPr="00734B50">
        <w:rPr>
          <w:rFonts w:cs="Tahoma"/>
          <w:color w:val="000000"/>
          <w:szCs w:val="18"/>
          <w:lang w:val="pt-BR"/>
        </w:rPr>
        <w:t>(SL de Usuário)</w:t>
      </w:r>
    </w:p>
    <w:p w:rsidR="00834000" w:rsidRPr="00734B50" w:rsidRDefault="00834000" w:rsidP="00BA3004">
      <w:pPr>
        <w:rPr>
          <w:lang w:val="pt-BR"/>
        </w:rPr>
      </w:pPr>
      <w:r w:rsidRPr="00734B50">
        <w:rPr>
          <w:rFonts w:cs="Tahoma"/>
          <w:color w:val="000000"/>
          <w:szCs w:val="18"/>
          <w:lang w:val="pt-BR"/>
        </w:rPr>
        <w:t>Aplicativos da Web do Office A (SL do Usuário)</w:t>
      </w:r>
    </w:p>
    <w:p w:rsidR="00D82FA6" w:rsidRPr="00734B50" w:rsidRDefault="00A862BA" w:rsidP="00BA3004">
      <w:pPr>
        <w:rPr>
          <w:lang w:val="pt-BR"/>
        </w:rPr>
      </w:pPr>
      <w:r w:rsidRPr="00734B50">
        <w:rPr>
          <w:rFonts w:cs="Tahoma"/>
          <w:color w:val="000000"/>
          <w:szCs w:val="18"/>
          <w:lang w:val="pt-BR"/>
        </w:rPr>
        <w:t>Armazenamento Extra do SharePoint™ Online de A 1 GB (SL Complementar)</w:t>
      </w:r>
    </w:p>
    <w:p w:rsidR="00A862BA" w:rsidRPr="00734B50" w:rsidRDefault="00A862BA" w:rsidP="00BA3004">
      <w:pPr>
        <w:rPr>
          <w:lang w:val="pt-BR"/>
        </w:rPr>
      </w:pPr>
    </w:p>
    <w:p w:rsidR="00BB6A1F" w:rsidRPr="00734B50" w:rsidRDefault="00BB6A1F" w:rsidP="003E606C">
      <w:pPr>
        <w:spacing w:after="60"/>
        <w:rPr>
          <w:lang w:val="pt-BR"/>
        </w:rPr>
      </w:pPr>
      <w:r w:rsidRPr="00734B50">
        <w:rPr>
          <w:b/>
          <w:lang w:val="pt-BR"/>
        </w:rPr>
        <w:t>Promoções</w:t>
      </w:r>
    </w:p>
    <w:p w:rsidR="00BB6A1F" w:rsidRPr="00734B50" w:rsidRDefault="00751573" w:rsidP="00BA3004">
      <w:pPr>
        <w:rPr>
          <w:lang w:val="pt-BR"/>
        </w:rPr>
      </w:pPr>
      <w:bookmarkStart w:id="639" w:name="_Toc323034103"/>
      <w:bookmarkStart w:id="640" w:name="_Toc325609139"/>
      <w:bookmarkStart w:id="641" w:name="_Toc328145933"/>
      <w:r w:rsidRPr="00734B50">
        <w:rPr>
          <w:rFonts w:cs="Tahoma"/>
          <w:color w:val="000000"/>
          <w:szCs w:val="18"/>
          <w:lang w:val="pt-BR"/>
        </w:rPr>
        <w:t>Não há adições, exclusões nem términos de promoções.</w:t>
      </w:r>
      <w:bookmarkEnd w:id="639"/>
      <w:bookmarkEnd w:id="640"/>
      <w:bookmarkEnd w:id="641"/>
    </w:p>
    <w:p w:rsidR="00BB6A1F" w:rsidRPr="00734B50" w:rsidRDefault="00BB6A1F" w:rsidP="003E606C">
      <w:pPr>
        <w:spacing w:after="60"/>
        <w:rPr>
          <w:lang w:val="pt-BR"/>
        </w:rPr>
      </w:pPr>
      <w:r w:rsidRPr="00734B50">
        <w:rPr>
          <w:rFonts w:cs="Tahoma"/>
          <w:szCs w:val="18"/>
          <w:lang w:val="pt-BR"/>
        </w:rPr>
        <w:br/>
      </w:r>
      <w:r w:rsidRPr="00734B50">
        <w:rPr>
          <w:b/>
          <w:lang w:val="pt-BR"/>
        </w:rPr>
        <w:t>Exclusões</w:t>
      </w:r>
    </w:p>
    <w:p w:rsidR="00BB6A1F" w:rsidRPr="00734B50" w:rsidRDefault="007B4641" w:rsidP="00BA3004">
      <w:pPr>
        <w:rPr>
          <w:lang w:val="pt-BR"/>
        </w:rPr>
      </w:pPr>
      <w:r w:rsidRPr="00734B50">
        <w:rPr>
          <w:rFonts w:cs="Tahoma"/>
          <w:color w:val="000000"/>
          <w:szCs w:val="20"/>
          <w:lang w:val="pt-BR"/>
        </w:rPr>
        <w:t>CAL do Forefront Identity Manager 2010 (Somente Usuário)</w:t>
      </w:r>
    </w:p>
    <w:p w:rsidR="004945FA" w:rsidRPr="00653421" w:rsidRDefault="004945FA" w:rsidP="00BA3004">
      <w:r w:rsidRPr="00653421">
        <w:rPr>
          <w:rFonts w:cs="Tahoma"/>
          <w:color w:val="000000"/>
          <w:szCs w:val="20"/>
        </w:rPr>
        <w:t>External Connector do Forefront Identity Manager 2010</w:t>
      </w:r>
    </w:p>
    <w:p w:rsidR="004945FA" w:rsidRPr="00653421" w:rsidRDefault="004945FA" w:rsidP="00BA3004">
      <w:r w:rsidRPr="00653421">
        <w:rPr>
          <w:rFonts w:cs="Tahoma"/>
          <w:color w:val="000000"/>
          <w:szCs w:val="20"/>
        </w:rPr>
        <w:t>Forefront Identity Manager 2010 Server</w:t>
      </w:r>
    </w:p>
    <w:p w:rsidR="00E9432A" w:rsidRPr="00653421" w:rsidRDefault="004945FA" w:rsidP="00D57D2B">
      <w:r w:rsidRPr="00653421">
        <w:rPr>
          <w:rFonts w:cs="Tahoma"/>
          <w:color w:val="000000"/>
          <w:szCs w:val="20"/>
        </w:rPr>
        <w:t>Forefront Identity Manager 2010 – Windows Live Edition</w:t>
      </w:r>
    </w:p>
    <w:p w:rsidR="00023FE7" w:rsidRPr="00653421" w:rsidRDefault="00EF4590" w:rsidP="00BA1576">
      <w:pPr>
        <w:spacing w:after="120"/>
        <w:rPr>
          <w:rStyle w:val="Heading1Char"/>
          <w:sz w:val="36"/>
          <w:szCs w:val="36"/>
          <w:lang w:val="x-none" w:eastAsia="x-none"/>
        </w:rPr>
      </w:pPr>
      <w:r w:rsidRPr="00C50FD1">
        <w:rPr>
          <w:lang w:val="pt-BR"/>
        </w:rPr>
        <w:br w:type="page"/>
      </w:r>
      <w:bookmarkStart w:id="642" w:name="_Toc336338180"/>
      <w:bookmarkStart w:id="643" w:name="_Toc353470827"/>
      <w:r w:rsidRPr="00653421">
        <w:rPr>
          <w:rStyle w:val="Heading1Char"/>
          <w:sz w:val="36"/>
          <w:szCs w:val="36"/>
          <w:lang w:val="x-none" w:eastAsia="x-none"/>
        </w:rPr>
        <w:lastRenderedPageBreak/>
        <w:t>Seção 2 – promoções de ProdutoS</w:t>
      </w:r>
      <w:bookmarkEnd w:id="642"/>
      <w:bookmarkEnd w:id="643"/>
    </w:p>
    <w:p w:rsidR="00023FE7" w:rsidRPr="00734B50" w:rsidRDefault="00023FE7" w:rsidP="00510F6B">
      <w:pPr>
        <w:ind w:right="720"/>
        <w:rPr>
          <w:lang w:val="pt-BR"/>
        </w:rPr>
      </w:pPr>
    </w:p>
    <w:p w:rsidR="00187499" w:rsidRPr="00734B50" w:rsidRDefault="00187499" w:rsidP="00187499">
      <w:pPr>
        <w:pStyle w:val="Heading2"/>
        <w:ind w:left="0"/>
        <w:rPr>
          <w:lang w:val="pt-BR"/>
        </w:rPr>
      </w:pPr>
      <w:bookmarkStart w:id="644" w:name="_Toc353470828"/>
      <w:bookmarkStart w:id="645" w:name="_Toc336338181"/>
      <w:r w:rsidRPr="00734B50">
        <w:rPr>
          <w:rFonts w:ascii="Tahoma" w:hAnsi="Tahoma" w:cs="Tahoma"/>
          <w:color w:val="FF9429"/>
          <w:lang w:val="pt-BR"/>
        </w:rPr>
        <w:t xml:space="preserve">Microsoft Dynamics AX 2012 R2 - Promoção </w:t>
      </w:r>
      <w:r w:rsidR="00C133AB" w:rsidRPr="00734B50">
        <w:rPr>
          <w:rFonts w:ascii="Tahoma" w:hAnsi="Tahoma" w:cs="Tahoma"/>
          <w:color w:val="FF9429"/>
          <w:lang w:val="pt-BR"/>
        </w:rPr>
        <w:t>“</w:t>
      </w:r>
      <w:r w:rsidRPr="00734B50">
        <w:rPr>
          <w:rFonts w:ascii="Tahoma" w:hAnsi="Tahoma" w:cs="Tahoma"/>
          <w:color w:val="FF9429"/>
          <w:lang w:val="pt-BR"/>
        </w:rPr>
        <w:t>Compre Uma CAL Empresarial Ganhe outra CAL Funcional</w:t>
      </w:r>
      <w:r w:rsidR="00C133AB" w:rsidRPr="00734B50">
        <w:rPr>
          <w:rFonts w:ascii="Tahoma" w:hAnsi="Tahoma" w:cs="Tahoma"/>
          <w:color w:val="FF9429"/>
          <w:lang w:val="pt-BR"/>
        </w:rPr>
        <w:t>”</w:t>
      </w:r>
      <w:bookmarkEnd w:id="644"/>
    </w:p>
    <w:p w:rsidR="00B33F0B" w:rsidRPr="00734B50" w:rsidRDefault="00B33F0B" w:rsidP="00B33F0B">
      <w:pPr>
        <w:rPr>
          <w:lang w:val="pt-BR"/>
        </w:rPr>
      </w:pPr>
    </w:p>
    <w:bookmarkEnd w:id="645"/>
    <w:p w:rsidR="00187499" w:rsidRPr="00734B50" w:rsidRDefault="007177A5" w:rsidP="0064651F">
      <w:pPr>
        <w:spacing w:after="200" w:line="276" w:lineRule="auto"/>
        <w:rPr>
          <w:lang w:val="pt-BR"/>
        </w:rPr>
      </w:pPr>
      <w:r w:rsidRPr="00734B50">
        <w:rPr>
          <w:lang w:val="pt-BR"/>
        </w:rPr>
        <w:t xml:space="preserve">Como oferta por tempo limitado de 1º de março de 2013 a 28 de junho de 2013, a Microsoft oferece 1 (uma) CAL Funcional para cada CAL Empresarial adquirida durante o período promocional. Essa promoção está disponível de acordo com os seguintes programas de licenciamento na lista de preços: Contrato Enterprise, Assinatura do Contrato Enterprise da Microsoft, Contrato do Governo Americano e Campus e Contrato School para Enterprise Education Solutions. No mínimo 30 CALs Empresariais são necessários e devem ser adquiridas da SKU promocional publicada. Todas as licenças concedidas sob esta oferta incluirão a cobertura do Software Assurance ou a cobertura de Assinatura. Essa cobertura se encerrará no término da cobertura nas licenças qualificadas. Ao término dessa cobertura, os clientes poderão renovar o Software Assurance ou a Assinatura. </w:t>
      </w:r>
      <w:bookmarkStart w:id="646" w:name="_Toc336338182"/>
    </w:p>
    <w:p w:rsidR="00187499" w:rsidRPr="00734B50" w:rsidRDefault="00187499" w:rsidP="00187499">
      <w:pPr>
        <w:pStyle w:val="Heading2"/>
        <w:ind w:left="0"/>
        <w:rPr>
          <w:lang w:val="pt-BR"/>
        </w:rPr>
      </w:pPr>
      <w:bookmarkStart w:id="647" w:name="_Toc353470829"/>
      <w:r w:rsidRPr="00734B50">
        <w:rPr>
          <w:rFonts w:ascii="Tahoma" w:hAnsi="Tahoma" w:cs="Tahoma"/>
          <w:color w:val="FF9429"/>
          <w:lang w:val="pt-BR"/>
        </w:rPr>
        <w:t>Microsoft Dynamics AX 2012 R2 - Promoção de Introdução ao EA</w:t>
      </w:r>
      <w:bookmarkEnd w:id="647"/>
    </w:p>
    <w:p w:rsidR="00B33F0B" w:rsidRPr="00734B50" w:rsidRDefault="00B33F0B" w:rsidP="00B33F0B">
      <w:pPr>
        <w:rPr>
          <w:lang w:val="pt-BR"/>
        </w:rPr>
      </w:pPr>
    </w:p>
    <w:bookmarkEnd w:id="646"/>
    <w:p w:rsidR="001D214E" w:rsidRPr="00734B50" w:rsidRDefault="001D214E" w:rsidP="001D214E">
      <w:pPr>
        <w:spacing w:after="200" w:line="276" w:lineRule="auto"/>
        <w:rPr>
          <w:lang w:val="pt-BR"/>
        </w:rPr>
      </w:pPr>
      <w:r w:rsidRPr="00734B50">
        <w:rPr>
          <w:lang w:val="pt-BR"/>
        </w:rPr>
        <w:t xml:space="preserve">Como uma oferta por tempo limitado de </w:t>
      </w:r>
      <w:r w:rsidRPr="00734B50">
        <w:rPr>
          <w:rFonts w:eastAsia="Calibri" w:cs="Tahoma"/>
          <w:szCs w:val="18"/>
          <w:lang w:val="pt-BR"/>
        </w:rPr>
        <w:t>1</w:t>
      </w:r>
      <w:r w:rsidRPr="00734B50">
        <w:rPr>
          <w:rFonts w:eastAsia="Calibri" w:cs="Tahoma"/>
          <w:szCs w:val="18"/>
          <w:vertAlign w:val="superscript"/>
          <w:lang w:val="pt-BR"/>
        </w:rPr>
        <w:t>o</w:t>
      </w:r>
      <w:r w:rsidRPr="00734B50">
        <w:rPr>
          <w:rFonts w:eastAsia="Calibri" w:cs="Tahoma"/>
          <w:szCs w:val="18"/>
          <w:lang w:val="pt-BR"/>
        </w:rPr>
        <w:t xml:space="preserve"> de março de 2013 a 28 de junho de 2013, a Microsoft oferece 3 (três) CALs Empresariais e 50 (cinquenta) CALs de Autoatendimento com a aquisição da primeira licença do Microsoft Dynamics AX</w:t>
      </w:r>
      <w:r w:rsidRPr="00734B50">
        <w:rPr>
          <w:lang w:val="pt-BR"/>
        </w:rPr>
        <w:t xml:space="preserve"> 2012 </w:t>
      </w:r>
      <w:r w:rsidRPr="00734B50">
        <w:rPr>
          <w:rFonts w:eastAsia="Calibri" w:cs="Tahoma"/>
          <w:szCs w:val="18"/>
          <w:lang w:val="pt-BR"/>
        </w:rPr>
        <w:t>R2 Server.</w:t>
      </w:r>
      <w:r w:rsidR="00DD7735" w:rsidRPr="00734B50">
        <w:rPr>
          <w:lang w:val="pt-BR"/>
        </w:rPr>
        <w:t xml:space="preserve"> </w:t>
      </w:r>
      <w:r w:rsidRPr="00734B50">
        <w:rPr>
          <w:lang w:val="pt-BR"/>
        </w:rPr>
        <w:t xml:space="preserve">Essa promoção está disponível </w:t>
      </w:r>
      <w:r w:rsidRPr="00734B50">
        <w:rPr>
          <w:rFonts w:eastAsia="Calibri" w:cs="Tahoma"/>
          <w:szCs w:val="18"/>
          <w:lang w:val="pt-BR"/>
        </w:rPr>
        <w:t xml:space="preserve">somente </w:t>
      </w:r>
      <w:r w:rsidRPr="00734B50">
        <w:rPr>
          <w:lang w:val="pt-BR"/>
        </w:rPr>
        <w:t>nos programas de licenciamento Microsoft Enterprise Agreement</w:t>
      </w:r>
      <w:r w:rsidRPr="00734B50">
        <w:rPr>
          <w:rFonts w:eastAsia="Calibri" w:cs="Tahoma"/>
          <w:szCs w:val="18"/>
          <w:lang w:val="pt-BR"/>
        </w:rPr>
        <w:t xml:space="preserve">. </w:t>
      </w:r>
    </w:p>
    <w:p w:rsidR="00187499" w:rsidRPr="00734B50" w:rsidRDefault="00187499" w:rsidP="00B33F0B">
      <w:pPr>
        <w:spacing w:after="200" w:line="276" w:lineRule="auto"/>
        <w:rPr>
          <w:lang w:val="pt-BR"/>
        </w:rPr>
      </w:pPr>
      <w:r w:rsidRPr="00734B50">
        <w:rPr>
          <w:rFonts w:eastAsia="Calibri" w:cs="Tahoma"/>
          <w:szCs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bookmarkStart w:id="648" w:name="_Toc336338183"/>
      <w:r w:rsidRPr="00734B50">
        <w:rPr>
          <w:rFonts w:eastAsia="Calibri" w:cs="Tahoma"/>
          <w:szCs w:val="18"/>
          <w:lang w:val="pt-BR"/>
        </w:rPr>
        <w:t>O direito de usar o software outorgado expirará quando o direito de usar o software de acordo com a licença qualificada do Microsoft Dynamics AX 2012 R2 Server expirar. A evidência da licença do Servidor qualificada e esta Nota do Produto evidenciarão o direito do cliente de usar as licenças do Microsoft Dynamics AX 2012 R2 sob os termos desta oferta. Os clientes não poderão transferir as licenças outorgadas sob esta oferta separadamente das licenças qualificadas correspondentes.</w:t>
      </w:r>
    </w:p>
    <w:p w:rsidR="005D1BAF" w:rsidRPr="00734B50" w:rsidRDefault="005D1BAF" w:rsidP="005D1BAF">
      <w:pPr>
        <w:pStyle w:val="Heading2"/>
        <w:ind w:left="0"/>
        <w:rPr>
          <w:lang w:val="pt-BR"/>
        </w:rPr>
      </w:pPr>
      <w:bookmarkStart w:id="649" w:name="_Toc353470830"/>
      <w:r w:rsidRPr="00734B50">
        <w:rPr>
          <w:rFonts w:ascii="Tahoma" w:eastAsia="Times New Roman" w:hAnsi="Tahoma" w:cs="Tahoma"/>
          <w:color w:val="FF9429"/>
          <w:lang w:val="pt-BR"/>
        </w:rPr>
        <w:t>Promoção de Step-up do Windows Server Datacenter</w:t>
      </w:r>
      <w:bookmarkEnd w:id="648"/>
      <w:bookmarkEnd w:id="649"/>
    </w:p>
    <w:p w:rsidR="00EF4590" w:rsidRPr="00734B50" w:rsidRDefault="00EF4590" w:rsidP="00EF4590">
      <w:pPr>
        <w:spacing w:line="276" w:lineRule="auto"/>
        <w:rPr>
          <w:lang w:val="pt-BR"/>
        </w:rPr>
      </w:pPr>
    </w:p>
    <w:p w:rsidR="005D1BAF" w:rsidRPr="00734B50" w:rsidRDefault="005D1BAF" w:rsidP="005D1BAF">
      <w:pPr>
        <w:spacing w:after="200" w:line="276" w:lineRule="auto"/>
        <w:rPr>
          <w:lang w:val="pt-BR"/>
        </w:rPr>
      </w:pPr>
      <w:r w:rsidRPr="00734B50">
        <w:rPr>
          <w:color w:val="000000"/>
          <w:lang w:val="pt-BR"/>
        </w:rPr>
        <w:t>Como oferta por tempo limitado de 1º de setembro de 2012 a 31 de março de 2013, a Microsoft oferece uma economia de até 20% no preço da Licença e Software Assurance (L&amp;SA) para a edição Windows Server DC.</w:t>
      </w:r>
      <w:r w:rsidR="00DD7735" w:rsidRPr="00734B50">
        <w:rPr>
          <w:color w:val="000000"/>
          <w:lang w:val="pt-BR"/>
        </w:rPr>
        <w:t xml:space="preserve"> </w:t>
      </w:r>
      <w:r w:rsidRPr="00734B50">
        <w:rPr>
          <w:color w:val="000000"/>
          <w:lang w:val="pt-BR"/>
        </w:rPr>
        <w:t>Esta</w:t>
      </w:r>
      <w:r w:rsidR="00475D07" w:rsidRPr="00734B50">
        <w:rPr>
          <w:color w:val="000000"/>
          <w:lang w:val="pt-BR"/>
        </w:rPr>
        <w:t> </w:t>
      </w:r>
      <w:r w:rsidRPr="00734B50">
        <w:rPr>
          <w:color w:val="000000"/>
          <w:lang w:val="pt-BR"/>
        </w:rPr>
        <w:t>promoção está disponível de acordo com o Contrato Microsoft Enterprise, Enrollment for Application Platform,</w:t>
      </w:r>
      <w:r w:rsidR="00475D07" w:rsidRPr="00734B50">
        <w:rPr>
          <w:color w:val="000000"/>
          <w:lang w:val="pt-BR"/>
        </w:rPr>
        <w:t> </w:t>
      </w:r>
      <w:r w:rsidRPr="00734B50">
        <w:rPr>
          <w:color w:val="000000"/>
          <w:lang w:val="pt-BR"/>
        </w:rPr>
        <w:t>Enrollment for Core Infrastructure, Microsoft Select Plus e Microsoft Open Value (Todas as verticais).</w:t>
      </w:r>
    </w:p>
    <w:p w:rsidR="005D1BAF" w:rsidRPr="00734B50" w:rsidRDefault="005D1BAF" w:rsidP="005D1BAF">
      <w:pPr>
        <w:pStyle w:val="Heading2"/>
        <w:ind w:left="0"/>
        <w:rPr>
          <w:lang w:val="pt-BR"/>
        </w:rPr>
      </w:pPr>
      <w:bookmarkStart w:id="650" w:name="_Toc336338184"/>
      <w:bookmarkStart w:id="651" w:name="_Toc353470831"/>
      <w:r w:rsidRPr="00734B50">
        <w:rPr>
          <w:rFonts w:ascii="Tahoma" w:eastAsia="Times New Roman" w:hAnsi="Tahoma" w:cs="Tahoma"/>
          <w:color w:val="FF9429"/>
          <w:lang w:val="pt-BR"/>
        </w:rPr>
        <w:t>Forefront Online Protection para Exchange</w:t>
      </w:r>
      <w:bookmarkEnd w:id="650"/>
      <w:bookmarkEnd w:id="651"/>
      <w:r w:rsidRPr="00734B50">
        <w:rPr>
          <w:rFonts w:ascii="Tahoma" w:eastAsia="Times New Roman" w:hAnsi="Tahoma" w:cs="Tahoma"/>
          <w:color w:val="FF9429"/>
          <w:lang w:val="pt-BR"/>
        </w:rPr>
        <w:t xml:space="preserve"> </w:t>
      </w:r>
    </w:p>
    <w:p w:rsidR="00EF4590" w:rsidRPr="00734B50" w:rsidRDefault="00EF4590" w:rsidP="005D1BAF">
      <w:pPr>
        <w:rPr>
          <w:lang w:val="pt-BR"/>
        </w:rPr>
      </w:pPr>
    </w:p>
    <w:p w:rsidR="00BC10BD" w:rsidRPr="00734B50" w:rsidRDefault="005D1BAF" w:rsidP="000C2842">
      <w:pPr>
        <w:spacing w:after="200" w:line="276" w:lineRule="auto"/>
        <w:rPr>
          <w:lang w:val="pt-BR"/>
        </w:rPr>
      </w:pPr>
      <w:r w:rsidRPr="00734B50">
        <w:rPr>
          <w:color w:val="000000"/>
          <w:lang w:val="pt-BR"/>
        </w:rPr>
        <w:t>Como oferta por tempo limitado de 1º de setembro de 2011 a 31 de dezembro de 2012, a Microsoft oferece até 40%</w:t>
      </w:r>
      <w:r w:rsidR="00475D07" w:rsidRPr="00734B50">
        <w:rPr>
          <w:color w:val="000000"/>
          <w:lang w:val="pt-BR"/>
        </w:rPr>
        <w:t> </w:t>
      </w:r>
      <w:r w:rsidRPr="00734B50">
        <w:rPr>
          <w:color w:val="000000"/>
          <w:lang w:val="pt-BR"/>
        </w:rPr>
        <w:t>de desconto no preço de assinatura mensal do Forefront Online Protection para Exchange.</w:t>
      </w:r>
      <w:r w:rsidR="00DD7735" w:rsidRPr="00734B50">
        <w:rPr>
          <w:color w:val="000000"/>
          <w:lang w:val="pt-BR"/>
        </w:rPr>
        <w:t xml:space="preserve"> </w:t>
      </w:r>
      <w:r w:rsidRPr="00734B50">
        <w:rPr>
          <w:color w:val="000000"/>
          <w:lang w:val="pt-BR"/>
        </w:rPr>
        <w:t>Essa promoção é</w:t>
      </w:r>
      <w:r w:rsidR="00475D07" w:rsidRPr="00734B50">
        <w:rPr>
          <w:color w:val="000000"/>
          <w:lang w:val="pt-BR"/>
        </w:rPr>
        <w:t> </w:t>
      </w:r>
      <w:r w:rsidRPr="00734B50">
        <w:rPr>
          <w:color w:val="000000"/>
          <w:lang w:val="pt-BR"/>
        </w:rPr>
        <w:t xml:space="preserve">oferecida sob o Microsoft Select Plus, Open Value, Open Value Subscription e programas de Licenciamento por Volume do Parceiro Governamental Internacional. </w:t>
      </w:r>
    </w:p>
    <w:p w:rsidR="00D24E3C" w:rsidRPr="00734B50" w:rsidRDefault="00D24E3C" w:rsidP="00D24E3C">
      <w:pPr>
        <w:pStyle w:val="Heading2"/>
        <w:ind w:left="0"/>
        <w:rPr>
          <w:lang w:val="pt-BR"/>
        </w:rPr>
      </w:pPr>
      <w:bookmarkStart w:id="652" w:name="_SECTION_3_–"/>
      <w:bookmarkStart w:id="653" w:name="_Toc336338185"/>
      <w:bookmarkStart w:id="654" w:name="_Toc353470832"/>
      <w:bookmarkEnd w:id="652"/>
      <w:r w:rsidRPr="00734B50">
        <w:rPr>
          <w:rFonts w:ascii="Tahoma" w:eastAsia="Times New Roman" w:hAnsi="Tahoma" w:cs="Tahoma"/>
          <w:color w:val="FF9429"/>
          <w:lang w:val="pt-BR"/>
        </w:rPr>
        <w:t>30% de Desconto na Atualização para o Visual Studio Premium com MSDN</w:t>
      </w:r>
      <w:bookmarkEnd w:id="653"/>
      <w:bookmarkEnd w:id="654"/>
      <w:r w:rsidRPr="00734B50">
        <w:rPr>
          <w:rFonts w:ascii="Tahoma" w:eastAsia="Times New Roman" w:hAnsi="Tahoma" w:cs="Tahoma"/>
          <w:color w:val="FF9429"/>
          <w:lang w:val="pt-BR"/>
        </w:rPr>
        <w:t xml:space="preserve"> </w:t>
      </w:r>
    </w:p>
    <w:p w:rsidR="00D24E3C" w:rsidRPr="00734B50" w:rsidRDefault="00D24E3C" w:rsidP="00D24E3C">
      <w:pPr>
        <w:rPr>
          <w:lang w:val="pt-BR"/>
        </w:rPr>
      </w:pPr>
    </w:p>
    <w:p w:rsidR="000C2842" w:rsidRPr="00734B50" w:rsidRDefault="00D24E3C" w:rsidP="000C2842">
      <w:pPr>
        <w:spacing w:after="200" w:line="276" w:lineRule="auto"/>
        <w:rPr>
          <w:lang w:val="pt-BR"/>
        </w:rPr>
      </w:pPr>
      <w:r w:rsidRPr="00734B50">
        <w:rPr>
          <w:color w:val="000000"/>
          <w:lang w:val="pt-BR"/>
        </w:rPr>
        <w:t xml:space="preserve">Como oferta por tempo limitado de 1º de outubro de 2012 a 31 de março de 2013, a Microsoft oferecerá um desconto de 30% no Visual Studio Premium com MSDN para clientes que ativarem o SA no Visual Studio Professional com MSDN. Essa promoção está disponível nos programas Microsoft Enterprise, USG, EAP, Select Plus e Open Value. </w:t>
      </w:r>
    </w:p>
    <w:p w:rsidR="0064651F" w:rsidRPr="00734B50" w:rsidRDefault="0064651F">
      <w:pPr>
        <w:rPr>
          <w:lang w:val="pt-BR"/>
        </w:rPr>
      </w:pPr>
      <w:bookmarkStart w:id="655" w:name="_Toc336338186"/>
      <w:r w:rsidRPr="00734B50">
        <w:rPr>
          <w:rFonts w:eastAsia="Times New Roman" w:cs="Tahoma"/>
          <w:color w:val="FF9429"/>
          <w:lang w:val="pt-BR"/>
        </w:rPr>
        <w:br w:type="page"/>
      </w:r>
    </w:p>
    <w:p w:rsidR="00D24E3C" w:rsidRPr="00653421" w:rsidRDefault="00D24E3C" w:rsidP="00D24E3C">
      <w:pPr>
        <w:pStyle w:val="Heading2"/>
        <w:ind w:left="0"/>
      </w:pPr>
      <w:bookmarkStart w:id="656" w:name="_Toc353470833"/>
      <w:r w:rsidRPr="00653421">
        <w:rPr>
          <w:rFonts w:ascii="Tahoma" w:eastAsia="Times New Roman" w:hAnsi="Tahoma" w:cs="Tahoma"/>
          <w:color w:val="FF9429"/>
        </w:rPr>
        <w:lastRenderedPageBreak/>
        <w:t>Step-up para Windows 8 com SA</w:t>
      </w:r>
      <w:bookmarkEnd w:id="655"/>
      <w:bookmarkEnd w:id="656"/>
    </w:p>
    <w:p w:rsidR="00D24E3C" w:rsidRPr="00653421" w:rsidRDefault="00D24E3C" w:rsidP="00D24E3C"/>
    <w:p w:rsidR="00D24E3C" w:rsidRPr="00734B50" w:rsidRDefault="00D24E3C" w:rsidP="00D24E3C">
      <w:pPr>
        <w:spacing w:after="200" w:line="276" w:lineRule="auto"/>
        <w:rPr>
          <w:lang w:val="pt-BR"/>
        </w:rPr>
      </w:pPr>
      <w:r w:rsidRPr="00734B50">
        <w:rPr>
          <w:color w:val="000000"/>
          <w:lang w:val="pt-BR"/>
        </w:rPr>
        <w:t>Entre 1º de novembro de 2012 e 31 de janeiro de 2013, a Microsoft oferecerá um desconto de 40% nas licenças de atualização Open com Software Assurance (Licença Open ou Programas Open Value) e um desconto de 15% nas licenças de atualização Open. Os preços promocionais são válidos para aquisição de até 150 licenças.</w:t>
      </w:r>
    </w:p>
    <w:p w:rsidR="00491DAC" w:rsidRPr="00734B50" w:rsidRDefault="00491DAC" w:rsidP="007B1734">
      <w:pPr>
        <w:pStyle w:val="Heading2"/>
        <w:ind w:left="0"/>
        <w:rPr>
          <w:lang w:val="pt-BR"/>
        </w:rPr>
      </w:pPr>
      <w:bookmarkStart w:id="657" w:name="_Toc353470834"/>
      <w:r w:rsidRPr="00734B50">
        <w:rPr>
          <w:rFonts w:ascii="Tahoma" w:eastAsia="Times New Roman" w:hAnsi="Tahoma" w:cs="Tahoma"/>
          <w:color w:val="FF9429"/>
          <w:lang w:val="pt-BR"/>
        </w:rPr>
        <w:t>15% de desconto em Step-ups do Project/Visio</w:t>
      </w:r>
      <w:bookmarkEnd w:id="657"/>
      <w:r w:rsidRPr="00734B50">
        <w:rPr>
          <w:rFonts w:ascii="Tahoma" w:eastAsia="Times New Roman" w:hAnsi="Tahoma" w:cs="Tahoma"/>
          <w:color w:val="FF9429"/>
          <w:lang w:val="pt-BR"/>
        </w:rPr>
        <w:t xml:space="preserve"> </w:t>
      </w:r>
    </w:p>
    <w:p w:rsidR="00491DAC" w:rsidRPr="00734B50" w:rsidRDefault="00491DAC" w:rsidP="00FE3510">
      <w:pPr>
        <w:tabs>
          <w:tab w:val="left" w:pos="2385"/>
        </w:tabs>
        <w:rPr>
          <w:lang w:val="pt-BR"/>
        </w:rPr>
      </w:pPr>
    </w:p>
    <w:p w:rsidR="00491DAC" w:rsidRPr="00734B50" w:rsidRDefault="00491DAC" w:rsidP="00491DAC">
      <w:pPr>
        <w:spacing w:after="200" w:line="276" w:lineRule="auto"/>
        <w:rPr>
          <w:lang w:val="pt-BR"/>
        </w:rPr>
      </w:pPr>
      <w:r w:rsidRPr="00734B50">
        <w:rPr>
          <w:color w:val="000000"/>
          <w:lang w:val="pt-BR"/>
        </w:rPr>
        <w:t>Como oferta por tempo limitado de 1º de dezembro de 2012 a 30 de junho de 2013, a Microsoft oferece até 15%</w:t>
      </w:r>
      <w:r w:rsidR="00465D54" w:rsidRPr="00734B50">
        <w:rPr>
          <w:color w:val="000000"/>
          <w:lang w:val="pt-BR"/>
        </w:rPr>
        <w:t> </w:t>
      </w:r>
      <w:r w:rsidRPr="00734B50">
        <w:rPr>
          <w:color w:val="000000"/>
          <w:lang w:val="pt-BR"/>
        </w:rPr>
        <w:t>de</w:t>
      </w:r>
      <w:r w:rsidR="00475D07" w:rsidRPr="00734B50">
        <w:rPr>
          <w:color w:val="000000"/>
          <w:lang w:val="pt-BR"/>
        </w:rPr>
        <w:t> </w:t>
      </w:r>
      <w:r w:rsidRPr="00734B50">
        <w:rPr>
          <w:color w:val="000000"/>
          <w:lang w:val="pt-BR"/>
        </w:rPr>
        <w:t>Desconto em Step-up para Project Professional para Project Standard sob SA, bem com um desconto de</w:t>
      </w:r>
      <w:r w:rsidR="00465D54" w:rsidRPr="00734B50">
        <w:rPr>
          <w:color w:val="000000"/>
          <w:lang w:val="pt-BR"/>
        </w:rPr>
        <w:t> </w:t>
      </w:r>
      <w:r w:rsidRPr="00734B50">
        <w:rPr>
          <w:color w:val="000000"/>
          <w:lang w:val="pt-BR"/>
        </w:rPr>
        <w:t>15% em</w:t>
      </w:r>
      <w:r w:rsidR="00475D07" w:rsidRPr="00734B50">
        <w:rPr>
          <w:color w:val="000000"/>
          <w:lang w:val="pt-BR"/>
        </w:rPr>
        <w:t> </w:t>
      </w:r>
      <w:r w:rsidRPr="00734B50">
        <w:rPr>
          <w:color w:val="000000"/>
          <w:lang w:val="pt-BR"/>
        </w:rPr>
        <w:t>Step-up para Visio Professional para Visio Standard sob SA. Essa promoção está disponível nos programas Microsoft Enterprise, Enterprise Subscription, Select Plus, EAP, ECI e Open Value.</w:t>
      </w:r>
    </w:p>
    <w:p w:rsidR="00B7048F" w:rsidRPr="00734B50" w:rsidRDefault="00B7048F" w:rsidP="007B1734">
      <w:pPr>
        <w:pStyle w:val="Heading2"/>
        <w:ind w:left="0"/>
        <w:rPr>
          <w:lang w:val="pt-BR"/>
        </w:rPr>
      </w:pPr>
      <w:bookmarkStart w:id="658" w:name="_Toc353470835"/>
      <w:r w:rsidRPr="00734B50">
        <w:rPr>
          <w:rFonts w:ascii="Tahoma" w:eastAsia="Times New Roman" w:hAnsi="Tahoma" w:cs="Tahoma"/>
          <w:color w:val="FF9429"/>
          <w:lang w:val="pt-BR"/>
        </w:rPr>
        <w:t>55% de desconto na CAL do Project Server para Compras para Toda a</w:t>
      </w:r>
      <w:r w:rsidR="00475D07" w:rsidRPr="00734B50">
        <w:rPr>
          <w:rFonts w:ascii="Tahoma" w:eastAsia="Times New Roman" w:hAnsi="Tahoma" w:cs="Tahoma"/>
          <w:color w:val="FF9429"/>
          <w:lang w:val="pt-BR"/>
        </w:rPr>
        <w:t> </w:t>
      </w:r>
      <w:r w:rsidRPr="00734B50">
        <w:rPr>
          <w:rFonts w:ascii="Tahoma" w:eastAsia="Times New Roman" w:hAnsi="Tahoma" w:cs="Tahoma"/>
          <w:color w:val="FF9429"/>
          <w:lang w:val="pt-BR"/>
        </w:rPr>
        <w:t>Empresa</w:t>
      </w:r>
      <w:bookmarkEnd w:id="658"/>
    </w:p>
    <w:p w:rsidR="00B7048F" w:rsidRPr="00734B50" w:rsidRDefault="00B7048F" w:rsidP="007B1734">
      <w:pPr>
        <w:rPr>
          <w:lang w:val="pt-BR"/>
        </w:rPr>
      </w:pPr>
    </w:p>
    <w:p w:rsidR="00676723" w:rsidRPr="00734B50" w:rsidRDefault="00B7048F" w:rsidP="00D24E3C">
      <w:pPr>
        <w:spacing w:after="200" w:line="276" w:lineRule="auto"/>
        <w:rPr>
          <w:lang w:val="pt-BR"/>
        </w:rPr>
      </w:pPr>
      <w:r w:rsidRPr="00734B50">
        <w:rPr>
          <w:color w:val="000000"/>
          <w:lang w:val="pt-BR"/>
        </w:rPr>
        <w:t>Como uma oferta por tempo limitado de 1º de dezembro de 2012 a 30 de junho de 2013, a Microsoft oferece um Desconto de 55% na CAL do Project Server se for adquirida para toda a empresa. Essa promoção está disponível nos</w:t>
      </w:r>
      <w:r w:rsidR="00475D07" w:rsidRPr="00734B50">
        <w:rPr>
          <w:color w:val="000000"/>
          <w:lang w:val="pt-BR"/>
        </w:rPr>
        <w:t> </w:t>
      </w:r>
      <w:r w:rsidRPr="00734B50">
        <w:rPr>
          <w:color w:val="000000"/>
          <w:lang w:val="pt-BR"/>
        </w:rPr>
        <w:t xml:space="preserve">programas Microsoft Enterprise, Enterprise Subscription e EAP. </w:t>
      </w:r>
    </w:p>
    <w:p w:rsidR="00676723" w:rsidRPr="00734B50" w:rsidRDefault="00676723">
      <w:pPr>
        <w:rPr>
          <w:lang w:val="pt-BR"/>
        </w:rPr>
      </w:pPr>
      <w:r w:rsidRPr="00734B50">
        <w:rPr>
          <w:color w:val="000000"/>
          <w:lang w:val="pt-BR"/>
        </w:rPr>
        <w:br w:type="page"/>
      </w:r>
    </w:p>
    <w:p w:rsidR="00023FE7" w:rsidRPr="00653421" w:rsidRDefault="00714962" w:rsidP="00BA1576">
      <w:pPr>
        <w:spacing w:after="120"/>
        <w:rPr>
          <w:rStyle w:val="Heading1Char"/>
          <w:sz w:val="36"/>
          <w:szCs w:val="36"/>
          <w:lang w:val="x-none" w:eastAsia="x-none"/>
        </w:rPr>
      </w:pPr>
      <w:bookmarkStart w:id="659" w:name="_Toc336338188"/>
      <w:bookmarkStart w:id="660" w:name="_Toc353470836"/>
      <w:r w:rsidRPr="00653421">
        <w:rPr>
          <w:rStyle w:val="Heading1Char"/>
          <w:sz w:val="36"/>
          <w:szCs w:val="36"/>
          <w:lang w:val="x-none" w:eastAsia="x-none"/>
        </w:rPr>
        <w:lastRenderedPageBreak/>
        <w:t>SEÇÃO 3 – TERMOS do Programa de</w:t>
      </w:r>
      <w:r w:rsidR="00475D07" w:rsidRPr="00653421">
        <w:rPr>
          <w:rStyle w:val="Heading1Char"/>
          <w:sz w:val="36"/>
          <w:szCs w:val="36"/>
          <w:lang w:val="x-none" w:eastAsia="x-none"/>
        </w:rPr>
        <w:t> </w:t>
      </w:r>
      <w:r w:rsidRPr="00653421">
        <w:rPr>
          <w:rStyle w:val="Heading1Char"/>
          <w:sz w:val="36"/>
          <w:szCs w:val="36"/>
          <w:lang w:val="x-none" w:eastAsia="x-none"/>
        </w:rPr>
        <w:t>Licenciamento por Volume</w:t>
      </w:r>
      <w:bookmarkEnd w:id="659"/>
      <w:bookmarkEnd w:id="660"/>
    </w:p>
    <w:p w:rsidR="00E64551" w:rsidRPr="00734B50" w:rsidRDefault="00E64551" w:rsidP="00456002">
      <w:pPr>
        <w:pStyle w:val="Heading3"/>
        <w:ind w:right="720"/>
        <w:rPr>
          <w:lang w:val="pt-BR"/>
        </w:rPr>
      </w:pPr>
      <w:bookmarkStart w:id="661" w:name="_Toc323159724"/>
    </w:p>
    <w:p w:rsidR="00456002" w:rsidRPr="00734B50" w:rsidRDefault="00456002" w:rsidP="003E606C">
      <w:pPr>
        <w:pStyle w:val="Heading3"/>
        <w:ind w:right="720"/>
        <w:rPr>
          <w:lang w:val="pt-BR"/>
        </w:rPr>
      </w:pPr>
      <w:bookmarkStart w:id="662" w:name="_Toc336338189"/>
      <w:bookmarkStart w:id="663" w:name="_Toc353470837"/>
      <w:r w:rsidRPr="00734B50">
        <w:rPr>
          <w:rFonts w:ascii="Tahoma" w:hAnsi="Tahoma" w:cs="Tahoma"/>
          <w:sz w:val="24"/>
          <w:szCs w:val="22"/>
          <w:lang w:val="pt-BR"/>
        </w:rPr>
        <w:t>Programas de Licenciamento por Volume Aplicáveis</w:t>
      </w:r>
      <w:bookmarkEnd w:id="662"/>
      <w:bookmarkEnd w:id="663"/>
      <w:r w:rsidRPr="00734B50">
        <w:rPr>
          <w:sz w:val="22"/>
          <w:lang w:val="pt-BR"/>
        </w:rPr>
        <w:t xml:space="preserve"> </w:t>
      </w:r>
      <w:bookmarkEnd w:id="661"/>
    </w:p>
    <w:p w:rsidR="00E64551" w:rsidRPr="00734B50" w:rsidRDefault="00E64551" w:rsidP="003E606C">
      <w:pPr>
        <w:rPr>
          <w:lang w:val="pt-BR"/>
        </w:rPr>
      </w:pPr>
    </w:p>
    <w:p w:rsidR="00456002" w:rsidRPr="00734B50" w:rsidRDefault="00456002" w:rsidP="00456002">
      <w:pPr>
        <w:rPr>
          <w:lang w:val="pt-BR"/>
        </w:rPr>
      </w:pPr>
      <w:r w:rsidRPr="00734B50">
        <w:rPr>
          <w:rFonts w:cs="Tahoma"/>
          <w:lang w:val="pt-BR"/>
        </w:rPr>
        <w:t>Esta seção se aplica aos seguintes programas de licenciamento por volume, inclusive as versões Academic, Charity e</w:t>
      </w:r>
      <w:r w:rsidR="00475D07" w:rsidRPr="00734B50">
        <w:rPr>
          <w:rFonts w:cs="Tahoma"/>
          <w:lang w:val="pt-BR"/>
        </w:rPr>
        <w:t> </w:t>
      </w:r>
      <w:r w:rsidRPr="00734B50">
        <w:rPr>
          <w:rFonts w:cs="Tahoma"/>
          <w:lang w:val="pt-BR"/>
        </w:rPr>
        <w:t>Government, onde aplicável.</w:t>
      </w:r>
    </w:p>
    <w:p w:rsidR="00510F6B" w:rsidRPr="00734B50" w:rsidRDefault="00510F6B" w:rsidP="00456002">
      <w:pPr>
        <w:rPr>
          <w:lang w:val="pt-BR"/>
        </w:rPr>
      </w:pPr>
    </w:p>
    <w:p w:rsidR="00456002" w:rsidRPr="00653421" w:rsidRDefault="00456002" w:rsidP="00822871">
      <w:pPr>
        <w:numPr>
          <w:ilvl w:val="0"/>
          <w:numId w:val="19"/>
        </w:numPr>
        <w:spacing w:after="60"/>
      </w:pPr>
      <w:r w:rsidRPr="00653421">
        <w:rPr>
          <w:rFonts w:cs="Tahoma"/>
        </w:rPr>
        <w:t>Licença Open</w:t>
      </w:r>
    </w:p>
    <w:p w:rsidR="00456002" w:rsidRPr="00653421" w:rsidRDefault="00456002" w:rsidP="00822871">
      <w:pPr>
        <w:numPr>
          <w:ilvl w:val="0"/>
          <w:numId w:val="19"/>
        </w:numPr>
        <w:spacing w:after="60"/>
      </w:pPr>
      <w:r w:rsidRPr="00653421">
        <w:rPr>
          <w:rFonts w:cs="Tahoma"/>
        </w:rPr>
        <w:t xml:space="preserve">Open Value </w:t>
      </w:r>
    </w:p>
    <w:p w:rsidR="00456002" w:rsidRPr="00653421" w:rsidRDefault="00456002" w:rsidP="00822871">
      <w:pPr>
        <w:numPr>
          <w:ilvl w:val="0"/>
          <w:numId w:val="19"/>
        </w:numPr>
        <w:spacing w:after="60"/>
      </w:pPr>
      <w:r w:rsidRPr="00653421">
        <w:rPr>
          <w:rFonts w:cs="Tahoma"/>
        </w:rPr>
        <w:t xml:space="preserve">Open Value Subscription </w:t>
      </w:r>
    </w:p>
    <w:p w:rsidR="00456002" w:rsidRPr="00653421" w:rsidRDefault="00456002" w:rsidP="00822871">
      <w:pPr>
        <w:numPr>
          <w:ilvl w:val="0"/>
          <w:numId w:val="19"/>
        </w:numPr>
        <w:spacing w:after="60"/>
      </w:pPr>
      <w:r w:rsidRPr="00653421">
        <w:rPr>
          <w:rFonts w:cs="Tahoma"/>
        </w:rPr>
        <w:t xml:space="preserve">Select </w:t>
      </w:r>
    </w:p>
    <w:p w:rsidR="00456002" w:rsidRPr="00653421" w:rsidRDefault="00456002" w:rsidP="00822871">
      <w:pPr>
        <w:numPr>
          <w:ilvl w:val="0"/>
          <w:numId w:val="19"/>
        </w:numPr>
        <w:spacing w:after="60"/>
      </w:pPr>
      <w:r w:rsidRPr="00653421">
        <w:rPr>
          <w:rFonts w:cs="Tahoma"/>
        </w:rPr>
        <w:t xml:space="preserve">Select Plus </w:t>
      </w:r>
    </w:p>
    <w:p w:rsidR="0091793D" w:rsidRPr="00653421" w:rsidRDefault="00F84FA6" w:rsidP="00822871">
      <w:pPr>
        <w:numPr>
          <w:ilvl w:val="0"/>
          <w:numId w:val="19"/>
        </w:numPr>
        <w:spacing w:after="60"/>
      </w:pPr>
      <w:r w:rsidRPr="00653421">
        <w:rPr>
          <w:rFonts w:cs="Tahoma"/>
          <w:szCs w:val="18"/>
        </w:rPr>
        <w:t xml:space="preserve">Contrato Enterprise </w:t>
      </w:r>
    </w:p>
    <w:p w:rsidR="0091793D" w:rsidRPr="00653421" w:rsidRDefault="00F84FA6" w:rsidP="00822871">
      <w:pPr>
        <w:numPr>
          <w:ilvl w:val="0"/>
          <w:numId w:val="19"/>
        </w:numPr>
        <w:spacing w:after="60"/>
      </w:pPr>
      <w:r w:rsidRPr="00653421">
        <w:rPr>
          <w:rFonts w:cs="Tahoma"/>
          <w:szCs w:val="18"/>
        </w:rPr>
        <w:t>Contrato Enterprise Subscription</w:t>
      </w:r>
      <w:r w:rsidRPr="00653421">
        <w:rPr>
          <w:rFonts w:cs="Tahoma"/>
          <w:color w:val="000000"/>
          <w:szCs w:val="18"/>
        </w:rPr>
        <w:t xml:space="preserve"> </w:t>
      </w:r>
    </w:p>
    <w:p w:rsidR="0091793D" w:rsidRPr="00653421" w:rsidRDefault="0091793D" w:rsidP="0091793D">
      <w:pPr>
        <w:pStyle w:val="Heading3"/>
        <w:ind w:right="720"/>
      </w:pPr>
    </w:p>
    <w:p w:rsidR="0091793D" w:rsidRPr="00653421" w:rsidRDefault="0091793D" w:rsidP="003E606C">
      <w:pPr>
        <w:pStyle w:val="Heading3"/>
        <w:ind w:right="720"/>
      </w:pPr>
      <w:bookmarkStart w:id="664" w:name="_Toc336338190"/>
      <w:bookmarkStart w:id="665" w:name="_Toc353470838"/>
      <w:r w:rsidRPr="00653421">
        <w:rPr>
          <w:rFonts w:ascii="Tahoma" w:hAnsi="Tahoma" w:cs="Tahoma"/>
          <w:sz w:val="24"/>
          <w:szCs w:val="22"/>
        </w:rPr>
        <w:t>Pontos e pedidos mínimos</w:t>
      </w:r>
      <w:bookmarkEnd w:id="664"/>
      <w:bookmarkEnd w:id="665"/>
    </w:p>
    <w:p w:rsidR="00BA4C27" w:rsidRPr="00653421" w:rsidRDefault="00BA4C27" w:rsidP="003E606C"/>
    <w:p w:rsidR="00BA4C27" w:rsidRPr="00734B50" w:rsidRDefault="00BA4C27" w:rsidP="00BA4C27">
      <w:pPr>
        <w:pStyle w:val="AppendixBodyText"/>
        <w:ind w:right="720"/>
        <w:rPr>
          <w:lang w:val="pt-BR"/>
        </w:rPr>
      </w:pPr>
      <w:r w:rsidRPr="00734B50">
        <w:rPr>
          <w:rFonts w:ascii="Tahoma" w:hAnsi="Tahoma" w:cs="Tahoma"/>
          <w:sz w:val="18"/>
          <w:lang w:val="pt-BR"/>
        </w:rPr>
        <w:t>As opções de Select, Select Plus e Licença Open apresentam uma contagem de “Pontos” que indica o valor em pontos atribuído pela Microsoft a cada licença. Essas contagens de pontos são usadas para calcular a categoria de preço de volume aplicável ao contrato de um cliente. Quando uma contagem de pontos “0” é</w:t>
      </w:r>
      <w:r w:rsidR="004E30F3" w:rsidRPr="00734B50">
        <w:rPr>
          <w:rFonts w:ascii="Tahoma" w:hAnsi="Tahoma" w:cs="Tahoma"/>
          <w:sz w:val="18"/>
          <w:lang w:val="pt-BR"/>
        </w:rPr>
        <w:t> </w:t>
      </w:r>
      <w:r w:rsidRPr="00734B50">
        <w:rPr>
          <w:rFonts w:ascii="Tahoma" w:hAnsi="Tahoma" w:cs="Tahoma"/>
          <w:sz w:val="18"/>
          <w:lang w:val="pt-BR"/>
        </w:rPr>
        <w:t>atribuída a determinado produto, isso significa que ele é oferecido no programa especificado, mas seu valor em pontos é zero.</w:t>
      </w:r>
      <w:r w:rsidR="00DD7735" w:rsidRPr="00734B50">
        <w:rPr>
          <w:rFonts w:ascii="Tahoma" w:hAnsi="Tahoma" w:cs="Tahoma"/>
          <w:sz w:val="18"/>
          <w:lang w:val="pt-BR"/>
        </w:rPr>
        <w:t xml:space="preserve"> </w:t>
      </w:r>
      <w:r w:rsidRPr="00734B50">
        <w:rPr>
          <w:rFonts w:ascii="Tahoma" w:hAnsi="Tahoma" w:cs="Tahoma"/>
          <w:sz w:val="18"/>
          <w:lang w:val="pt-BR"/>
        </w:rPr>
        <w:t>Esta é a relação entre contagens de unidades e licenças:</w:t>
      </w:r>
    </w:p>
    <w:p w:rsidR="00E64551" w:rsidRPr="00734B50" w:rsidRDefault="00E64551" w:rsidP="00E64551">
      <w:pPr>
        <w:pStyle w:val="AppendixBodyText"/>
        <w:ind w:right="720"/>
        <w:rPr>
          <w:highlight w:val="yellow"/>
          <w:lang w:val="pt-BR"/>
        </w:rPr>
      </w:pPr>
    </w:p>
    <w:p w:rsidR="00456002" w:rsidRPr="00653421" w:rsidRDefault="00456002" w:rsidP="00822871">
      <w:pPr>
        <w:numPr>
          <w:ilvl w:val="0"/>
          <w:numId w:val="19"/>
        </w:numPr>
        <w:spacing w:after="60"/>
      </w:pPr>
      <w:r w:rsidRPr="00653421">
        <w:rPr>
          <w:rFonts w:cs="Tahoma"/>
        </w:rPr>
        <w:t xml:space="preserve">Licença Padrão: 1 licença </w:t>
      </w:r>
    </w:p>
    <w:p w:rsidR="00456002" w:rsidRPr="00653421" w:rsidRDefault="00456002" w:rsidP="00822871">
      <w:pPr>
        <w:numPr>
          <w:ilvl w:val="0"/>
          <w:numId w:val="19"/>
        </w:numPr>
        <w:spacing w:after="60"/>
      </w:pPr>
      <w:r w:rsidRPr="00653421">
        <w:rPr>
          <w:rFonts w:cs="Tahoma"/>
        </w:rPr>
        <w:t xml:space="preserve">Atualização: 1 licença </w:t>
      </w:r>
    </w:p>
    <w:p w:rsidR="00456002" w:rsidRPr="00653421" w:rsidRDefault="00456002" w:rsidP="00822871">
      <w:pPr>
        <w:numPr>
          <w:ilvl w:val="0"/>
          <w:numId w:val="19"/>
        </w:numPr>
        <w:spacing w:after="60"/>
      </w:pPr>
      <w:r w:rsidRPr="00653421">
        <w:rPr>
          <w:rFonts w:cs="Tahoma"/>
        </w:rPr>
        <w:t xml:space="preserve">Software Assurance: 1 licença </w:t>
      </w:r>
    </w:p>
    <w:p w:rsidR="00456002" w:rsidRPr="00653421" w:rsidRDefault="00456002" w:rsidP="00822871">
      <w:pPr>
        <w:numPr>
          <w:ilvl w:val="0"/>
          <w:numId w:val="19"/>
        </w:numPr>
        <w:spacing w:after="60"/>
      </w:pPr>
      <w:r w:rsidRPr="00653421">
        <w:rPr>
          <w:rFonts w:cs="Tahoma"/>
        </w:rPr>
        <w:t xml:space="preserve">Licença e Software Assurance: 2 licenças </w:t>
      </w:r>
    </w:p>
    <w:p w:rsidR="00456002" w:rsidRPr="00653421" w:rsidRDefault="00456002" w:rsidP="00822871">
      <w:pPr>
        <w:numPr>
          <w:ilvl w:val="0"/>
          <w:numId w:val="19"/>
        </w:numPr>
        <w:spacing w:after="60"/>
      </w:pPr>
      <w:r w:rsidRPr="00653421">
        <w:rPr>
          <w:rFonts w:cs="Tahoma"/>
        </w:rPr>
        <w:t>Atualização e Software Assurance: 2 licenças</w:t>
      </w:r>
    </w:p>
    <w:p w:rsidR="00456002" w:rsidRPr="00653421" w:rsidRDefault="00456002" w:rsidP="00822871">
      <w:pPr>
        <w:numPr>
          <w:ilvl w:val="0"/>
          <w:numId w:val="19"/>
        </w:numPr>
        <w:spacing w:after="60"/>
      </w:pPr>
      <w:r w:rsidRPr="00653421">
        <w:rPr>
          <w:rFonts w:cs="Tahoma"/>
        </w:rPr>
        <w:t xml:space="preserve">Licença Work-at-Home: 1 licença </w:t>
      </w:r>
    </w:p>
    <w:p w:rsidR="00456002" w:rsidRPr="00653421" w:rsidRDefault="00456002" w:rsidP="00822871">
      <w:pPr>
        <w:numPr>
          <w:ilvl w:val="0"/>
          <w:numId w:val="19"/>
        </w:numPr>
        <w:spacing w:after="60"/>
      </w:pPr>
      <w:r w:rsidRPr="00653421">
        <w:rPr>
          <w:rFonts w:cs="Tahoma"/>
        </w:rPr>
        <w:t>Licença Step-up: 1 licença</w:t>
      </w:r>
    </w:p>
    <w:p w:rsidR="00456002" w:rsidRPr="00653421" w:rsidRDefault="00456002" w:rsidP="00822871">
      <w:pPr>
        <w:numPr>
          <w:ilvl w:val="0"/>
          <w:numId w:val="19"/>
        </w:numPr>
        <w:spacing w:after="60"/>
      </w:pPr>
      <w:r w:rsidRPr="00653421">
        <w:rPr>
          <w:rFonts w:cs="Tahoma"/>
        </w:rPr>
        <w:t xml:space="preserve">Licença: 1 licença </w:t>
      </w:r>
    </w:p>
    <w:p w:rsidR="00456002" w:rsidRPr="00653421" w:rsidRDefault="00456002" w:rsidP="00822871">
      <w:pPr>
        <w:numPr>
          <w:ilvl w:val="0"/>
          <w:numId w:val="19"/>
        </w:numPr>
        <w:spacing w:after="60"/>
      </w:pPr>
      <w:r w:rsidRPr="00653421">
        <w:rPr>
          <w:rFonts w:cs="Tahoma"/>
        </w:rPr>
        <w:t>Licença de Assinatura: 1 licença</w:t>
      </w:r>
    </w:p>
    <w:p w:rsidR="00456002" w:rsidRPr="00653421" w:rsidRDefault="00456002" w:rsidP="00E64551">
      <w:pPr>
        <w:pStyle w:val="Heading2"/>
        <w:ind w:left="0"/>
      </w:pPr>
    </w:p>
    <w:p w:rsidR="00E64551" w:rsidRPr="00653421" w:rsidRDefault="00456002" w:rsidP="009C0DC9">
      <w:pPr>
        <w:pStyle w:val="Heading2"/>
        <w:ind w:left="0"/>
      </w:pPr>
      <w:bookmarkStart w:id="666" w:name="_Toc336338191"/>
      <w:bookmarkStart w:id="667" w:name="_Toc353470839"/>
      <w:bookmarkStart w:id="668" w:name="_Toc323159726"/>
      <w:r w:rsidRPr="00653421">
        <w:rPr>
          <w:rFonts w:ascii="Tahoma" w:hAnsi="Tahoma" w:cs="Tahoma"/>
        </w:rPr>
        <w:t>Requisitos Mínimos de Pedidos</w:t>
      </w:r>
      <w:bookmarkEnd w:id="666"/>
      <w:bookmarkEnd w:id="667"/>
    </w:p>
    <w:bookmarkEnd w:id="668"/>
    <w:p w:rsidR="00456002" w:rsidRPr="00653421"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05"/>
        <w:gridCol w:w="7011"/>
      </w:tblGrid>
      <w:tr w:rsidR="00456002" w:rsidRPr="00653421" w:rsidTr="007C4AA7">
        <w:tc>
          <w:tcPr>
            <w:tcW w:w="2205" w:type="dxa"/>
            <w:shd w:val="clear" w:color="auto" w:fill="FABF8F"/>
          </w:tcPr>
          <w:p w:rsidR="00456002" w:rsidRPr="00653421" w:rsidRDefault="00456002" w:rsidP="005C647E">
            <w:pPr>
              <w:pStyle w:val="AppendixBodyText"/>
              <w:ind w:right="720"/>
              <w:jc w:val="center"/>
              <w:rPr>
                <w:rFonts w:ascii="Tahoma" w:hAnsi="Tahoma" w:cs="Tahoma"/>
                <w:b/>
                <w:color w:val="000000"/>
                <w:sz w:val="22"/>
                <w:szCs w:val="18"/>
                <w:lang w:eastAsia="ja-JP"/>
              </w:rPr>
            </w:pPr>
            <w:r w:rsidRPr="00653421">
              <w:rPr>
                <w:rFonts w:ascii="Tahoma" w:hAnsi="Tahoma" w:cs="Tahoma"/>
                <w:b/>
                <w:color w:val="000000"/>
                <w:sz w:val="22"/>
                <w:szCs w:val="18"/>
              </w:rPr>
              <w:t>Programas</w:t>
            </w:r>
          </w:p>
        </w:tc>
        <w:tc>
          <w:tcPr>
            <w:tcW w:w="7011" w:type="dxa"/>
            <w:shd w:val="clear" w:color="auto" w:fill="FABF8F"/>
          </w:tcPr>
          <w:p w:rsidR="00456002" w:rsidRPr="00653421" w:rsidRDefault="00456002" w:rsidP="005C647E">
            <w:pPr>
              <w:pStyle w:val="AppendixBodyText"/>
              <w:ind w:right="720"/>
              <w:jc w:val="center"/>
              <w:rPr>
                <w:rFonts w:ascii="Tahoma" w:hAnsi="Tahoma" w:cs="Tahoma"/>
                <w:b/>
                <w:color w:val="000000"/>
                <w:sz w:val="22"/>
                <w:szCs w:val="18"/>
                <w:lang w:eastAsia="ja-JP"/>
              </w:rPr>
            </w:pPr>
            <w:r w:rsidRPr="00653421">
              <w:rPr>
                <w:rFonts w:ascii="Tahoma" w:hAnsi="Tahoma" w:cs="Tahoma"/>
                <w:b/>
                <w:color w:val="000000"/>
                <w:sz w:val="22"/>
                <w:szCs w:val="18"/>
              </w:rPr>
              <w:t>Requisitos Mínimos de Pedidos</w:t>
            </w:r>
          </w:p>
        </w:tc>
      </w:tr>
      <w:tr w:rsidR="00456002" w:rsidRPr="00E04628" w:rsidTr="007C4AA7">
        <w:tc>
          <w:tcPr>
            <w:tcW w:w="2205" w:type="dxa"/>
            <w:shd w:val="clear" w:color="auto" w:fill="auto"/>
          </w:tcPr>
          <w:p w:rsidR="00456002" w:rsidRPr="00653421" w:rsidRDefault="00456002" w:rsidP="004E30F3">
            <w:pPr>
              <w:pStyle w:val="AppendixBodyText"/>
              <w:spacing w:before="60"/>
              <w:ind w:right="272"/>
              <w:rPr>
                <w:rFonts w:ascii="Tahoma" w:hAnsi="Tahoma" w:cs="Tahoma"/>
                <w:b/>
                <w:color w:val="000000"/>
                <w:sz w:val="18"/>
                <w:szCs w:val="18"/>
                <w:lang w:eastAsia="ja-JP"/>
              </w:rPr>
            </w:pPr>
            <w:r w:rsidRPr="00653421">
              <w:rPr>
                <w:rFonts w:ascii="Tahoma" w:hAnsi="Tahoma" w:cs="Tahoma"/>
                <w:b/>
                <w:color w:val="000000"/>
                <w:szCs w:val="18"/>
              </w:rPr>
              <w:t>Licença Open, Open Value e Open Value Subscription (Commercial e Government)</w:t>
            </w:r>
          </w:p>
        </w:tc>
        <w:tc>
          <w:tcPr>
            <w:tcW w:w="7011" w:type="dxa"/>
            <w:shd w:val="clear" w:color="auto" w:fill="auto"/>
          </w:tcPr>
          <w:p w:rsidR="00456002" w:rsidRPr="00734B50" w:rsidRDefault="004B6D8C" w:rsidP="00A70464">
            <w:pPr>
              <w:pStyle w:val="AppendixBodyText"/>
              <w:spacing w:before="60"/>
              <w:ind w:right="720"/>
              <w:rPr>
                <w:lang w:val="pt-BR"/>
              </w:rPr>
            </w:pPr>
            <w:r w:rsidRPr="00734B50">
              <w:rPr>
                <w:rFonts w:ascii="Tahoma" w:hAnsi="Tahoma" w:cs="Tahoma"/>
                <w:b/>
                <w:sz w:val="18"/>
                <w:lang w:val="pt-BR"/>
              </w:rPr>
              <w:t>Licença Open</w:t>
            </w:r>
          </w:p>
          <w:p w:rsidR="00456002" w:rsidRPr="00734B50" w:rsidRDefault="00456002" w:rsidP="0023291B">
            <w:pPr>
              <w:pStyle w:val="AppendixBodyText"/>
              <w:ind w:right="198"/>
              <w:rPr>
                <w:lang w:val="pt-BR"/>
              </w:rPr>
            </w:pPr>
            <w:r w:rsidRPr="00734B50">
              <w:rPr>
                <w:rFonts w:ascii="Tahoma" w:hAnsi="Tahoma" w:cs="Tahoma"/>
                <w:sz w:val="18"/>
                <w:lang w:val="pt-BR"/>
              </w:rPr>
              <w:t>A Licença Open requer um pedido mínimo de 5 licenças, 5 SA ou qualquer combinação para estabelecer um Número de Autorização.</w:t>
            </w:r>
            <w:r w:rsidR="00DD7735" w:rsidRPr="00734B50">
              <w:rPr>
                <w:rFonts w:ascii="Tahoma" w:hAnsi="Tahoma" w:cs="Tahoma"/>
                <w:sz w:val="18"/>
                <w:lang w:val="pt-BR"/>
              </w:rPr>
              <w:t xml:space="preserve"> </w:t>
            </w:r>
            <w:r w:rsidRPr="00734B50">
              <w:rPr>
                <w:rFonts w:ascii="Tahoma" w:hAnsi="Tahoma" w:cs="Tahoma"/>
                <w:sz w:val="18"/>
                <w:lang w:val="pt-BR"/>
              </w:rPr>
              <w:t>Por exemplo, 2</w:t>
            </w:r>
            <w:r w:rsidR="0023291B" w:rsidRPr="00734B50">
              <w:rPr>
                <w:rFonts w:ascii="Tahoma" w:hAnsi="Tahoma" w:cs="Tahoma"/>
                <w:sz w:val="18"/>
                <w:lang w:val="pt-BR"/>
              </w:rPr>
              <w:t> </w:t>
            </w:r>
            <w:r w:rsidRPr="00734B50">
              <w:rPr>
                <w:rFonts w:ascii="Tahoma" w:hAnsi="Tahoma" w:cs="Tahoma"/>
                <w:sz w:val="18"/>
                <w:lang w:val="pt-BR"/>
              </w:rPr>
              <w:t>Licença e Software Assurance e 1 Licença Padrão satisfariam a compra mínima de 5</w:t>
            </w:r>
            <w:r w:rsidR="0023291B" w:rsidRPr="00734B50">
              <w:rPr>
                <w:rFonts w:ascii="Tahoma" w:hAnsi="Tahoma" w:cs="Tahoma"/>
                <w:sz w:val="18"/>
                <w:lang w:val="pt-BR"/>
              </w:rPr>
              <w:t> </w:t>
            </w:r>
            <w:r w:rsidRPr="00734B50">
              <w:rPr>
                <w:rFonts w:ascii="Tahoma" w:hAnsi="Tahoma" w:cs="Tahoma"/>
                <w:sz w:val="18"/>
                <w:lang w:val="pt-BR"/>
              </w:rPr>
              <w:t xml:space="preserve">licenças necessária para a entrada em qualquer um dos programas. </w:t>
            </w:r>
          </w:p>
          <w:p w:rsidR="00456002" w:rsidRPr="00734B50" w:rsidRDefault="00456002" w:rsidP="003E606C">
            <w:pPr>
              <w:pStyle w:val="AppendixBodyText"/>
              <w:spacing w:after="0"/>
              <w:ind w:right="720"/>
              <w:rPr>
                <w:lang w:val="pt-BR"/>
              </w:rPr>
            </w:pPr>
          </w:p>
          <w:p w:rsidR="004B6D8C" w:rsidRPr="00653421" w:rsidRDefault="00456002" w:rsidP="005C647E">
            <w:pPr>
              <w:pStyle w:val="AppendixBodyText"/>
              <w:ind w:right="720"/>
            </w:pPr>
            <w:r w:rsidRPr="00653421">
              <w:rPr>
                <w:rFonts w:ascii="Tahoma" w:hAnsi="Tahoma" w:cs="Tahoma"/>
                <w:b/>
                <w:sz w:val="18"/>
              </w:rPr>
              <w:t>Open Value and Open Value Subscription</w:t>
            </w:r>
          </w:p>
          <w:p w:rsidR="00456002" w:rsidRPr="00734B50" w:rsidRDefault="00456002" w:rsidP="0023291B">
            <w:pPr>
              <w:pStyle w:val="AppendixBodyText"/>
              <w:ind w:right="378"/>
              <w:rPr>
                <w:lang w:val="pt-BR"/>
              </w:rPr>
            </w:pPr>
            <w:r w:rsidRPr="00734B50">
              <w:rPr>
                <w:rFonts w:ascii="Tahoma" w:hAnsi="Tahoma" w:cs="Tahoma"/>
                <w:sz w:val="18"/>
                <w:lang w:val="pt-BR"/>
              </w:rPr>
              <w:t>O Open Value requer um pedido mínimo de 5 U&amp;SA, 5 L&amp;SA, 5 SA, 5</w:t>
            </w:r>
            <w:r w:rsidR="0023291B" w:rsidRPr="00734B50">
              <w:rPr>
                <w:rFonts w:ascii="Tahoma" w:hAnsi="Tahoma" w:cs="Tahoma"/>
                <w:sz w:val="18"/>
                <w:lang w:val="pt-BR"/>
              </w:rPr>
              <w:t> </w:t>
            </w:r>
            <w:r w:rsidRPr="00734B50">
              <w:rPr>
                <w:rFonts w:ascii="Tahoma" w:hAnsi="Tahoma" w:cs="Tahoma"/>
                <w:sz w:val="18"/>
                <w:lang w:val="pt-BR"/>
              </w:rPr>
              <w:t xml:space="preserve">Licenças de Assinatura ou qualquer combinação para celebrar um contrato. </w:t>
            </w:r>
          </w:p>
          <w:p w:rsidR="00A51838" w:rsidRPr="00734B50" w:rsidRDefault="00A51838" w:rsidP="00465D54">
            <w:pPr>
              <w:pStyle w:val="AppendixBodyText"/>
              <w:spacing w:after="0"/>
              <w:ind w:right="720"/>
              <w:rPr>
                <w:rFonts w:ascii="Tahoma" w:hAnsi="Tahoma" w:cs="Tahoma"/>
                <w:sz w:val="18"/>
                <w:lang w:val="pt-BR" w:eastAsia="ja-JP"/>
              </w:rPr>
            </w:pPr>
          </w:p>
        </w:tc>
      </w:tr>
      <w:tr w:rsidR="00465D54" w:rsidRPr="00653421" w:rsidTr="007C4AA7">
        <w:tc>
          <w:tcPr>
            <w:tcW w:w="2205" w:type="dxa"/>
            <w:tcBorders>
              <w:bottom w:val="single" w:sz="4" w:space="0" w:color="000000"/>
            </w:tcBorders>
            <w:shd w:val="clear" w:color="auto" w:fill="FABF8F"/>
          </w:tcPr>
          <w:p w:rsidR="00465D54" w:rsidRPr="00653421" w:rsidRDefault="00465D54" w:rsidP="00AC2872">
            <w:pPr>
              <w:pStyle w:val="AppendixBodyText"/>
              <w:ind w:right="720"/>
              <w:jc w:val="center"/>
              <w:rPr>
                <w:rFonts w:ascii="Tahoma" w:hAnsi="Tahoma" w:cs="Tahoma"/>
                <w:b/>
                <w:color w:val="000000"/>
                <w:sz w:val="22"/>
                <w:szCs w:val="18"/>
                <w:lang w:eastAsia="ja-JP"/>
              </w:rPr>
            </w:pPr>
            <w:r w:rsidRPr="00653421">
              <w:rPr>
                <w:rFonts w:ascii="Tahoma" w:hAnsi="Tahoma" w:cs="Tahoma"/>
                <w:b/>
                <w:color w:val="000000"/>
                <w:sz w:val="22"/>
                <w:szCs w:val="18"/>
              </w:rPr>
              <w:lastRenderedPageBreak/>
              <w:t>Programas</w:t>
            </w:r>
          </w:p>
        </w:tc>
        <w:tc>
          <w:tcPr>
            <w:tcW w:w="7011" w:type="dxa"/>
            <w:tcBorders>
              <w:bottom w:val="single" w:sz="4" w:space="0" w:color="000000"/>
            </w:tcBorders>
            <w:shd w:val="clear" w:color="auto" w:fill="FABF8F"/>
          </w:tcPr>
          <w:p w:rsidR="00465D54" w:rsidRPr="00653421" w:rsidRDefault="00465D54" w:rsidP="00AC2872">
            <w:pPr>
              <w:pStyle w:val="AppendixBodyText"/>
              <w:ind w:right="720"/>
              <w:jc w:val="center"/>
              <w:rPr>
                <w:rFonts w:ascii="Tahoma" w:hAnsi="Tahoma" w:cs="Tahoma"/>
                <w:b/>
                <w:color w:val="000000"/>
                <w:sz w:val="22"/>
                <w:szCs w:val="18"/>
                <w:lang w:eastAsia="ja-JP"/>
              </w:rPr>
            </w:pPr>
            <w:r w:rsidRPr="00653421">
              <w:rPr>
                <w:rFonts w:ascii="Tahoma" w:hAnsi="Tahoma" w:cs="Tahoma"/>
                <w:b/>
                <w:color w:val="000000"/>
                <w:sz w:val="22"/>
                <w:szCs w:val="18"/>
              </w:rPr>
              <w:t>Requisitos Mínimos de Pedidos</w:t>
            </w:r>
          </w:p>
        </w:tc>
      </w:tr>
      <w:tr w:rsidR="00465D54" w:rsidRPr="00E04628" w:rsidTr="007C4AA7">
        <w:tc>
          <w:tcPr>
            <w:tcW w:w="2205" w:type="dxa"/>
            <w:shd w:val="clear" w:color="auto" w:fill="FFFFFF" w:themeFill="background1"/>
          </w:tcPr>
          <w:p w:rsidR="00465D54" w:rsidRPr="00653421" w:rsidRDefault="00465D54" w:rsidP="00465D54">
            <w:pPr>
              <w:pStyle w:val="AppendixBodyText"/>
              <w:spacing w:before="60"/>
              <w:ind w:right="92"/>
              <w:rPr>
                <w:rFonts w:ascii="Tahoma" w:hAnsi="Tahoma" w:cs="Tahoma"/>
                <w:b/>
                <w:color w:val="000000"/>
                <w:szCs w:val="18"/>
              </w:rPr>
            </w:pPr>
          </w:p>
        </w:tc>
        <w:tc>
          <w:tcPr>
            <w:tcW w:w="7011" w:type="dxa"/>
            <w:shd w:val="clear" w:color="auto" w:fill="FFFFFF" w:themeFill="background1"/>
          </w:tcPr>
          <w:p w:rsidR="00465D54" w:rsidRPr="00734B50" w:rsidRDefault="00465D54" w:rsidP="00465D54">
            <w:pPr>
              <w:pStyle w:val="AppendixBodyText"/>
              <w:spacing w:after="0"/>
              <w:ind w:right="558"/>
              <w:rPr>
                <w:lang w:val="pt-BR"/>
              </w:rPr>
            </w:pPr>
            <w:r w:rsidRPr="00734B50">
              <w:rPr>
                <w:rFonts w:ascii="Tahoma" w:hAnsi="Tahoma" w:cs="Tahoma"/>
                <w:b/>
                <w:sz w:val="18"/>
                <w:lang w:val="pt-BR"/>
              </w:rPr>
              <w:t>Observação:</w:t>
            </w:r>
            <w:r w:rsidRPr="00734B50">
              <w:rPr>
                <w:rFonts w:ascii="Tahoma" w:hAnsi="Tahoma" w:cs="Tahoma"/>
                <w:sz w:val="18"/>
                <w:lang w:val="pt-BR"/>
              </w:rPr>
              <w:t xml:space="preserve"> Uma licença individual para determinados produtos nos programas Open e Open Value satisfaz o requisito mínimo de 5 licenças. Consulte as notas de produtos individuais para determinar quais produtos se qualificam para essa exceção.</w:t>
            </w:r>
          </w:p>
          <w:p w:rsidR="00465D54" w:rsidRPr="00734B50" w:rsidRDefault="00465D54" w:rsidP="00465D54">
            <w:pPr>
              <w:pStyle w:val="AppendixBodyText"/>
              <w:spacing w:after="0"/>
              <w:ind w:right="86"/>
              <w:rPr>
                <w:rFonts w:ascii="Tahoma" w:hAnsi="Tahoma" w:cs="Tahoma"/>
                <w:color w:val="000000"/>
                <w:sz w:val="14"/>
                <w:szCs w:val="14"/>
                <w:lang w:val="pt-BR"/>
              </w:rPr>
            </w:pPr>
          </w:p>
        </w:tc>
      </w:tr>
      <w:tr w:rsidR="00456002" w:rsidRPr="00E04628" w:rsidTr="007C4AA7">
        <w:tc>
          <w:tcPr>
            <w:tcW w:w="2205" w:type="dxa"/>
            <w:shd w:val="clear" w:color="auto" w:fill="auto"/>
          </w:tcPr>
          <w:p w:rsidR="00456002" w:rsidRPr="00653421" w:rsidRDefault="00456002" w:rsidP="0023291B">
            <w:pPr>
              <w:pStyle w:val="AppendixBodyText"/>
              <w:spacing w:before="60"/>
              <w:ind w:right="92"/>
              <w:rPr>
                <w:rFonts w:ascii="Tahoma" w:hAnsi="Tahoma" w:cs="Tahoma"/>
                <w:b/>
                <w:color w:val="000000"/>
                <w:szCs w:val="18"/>
                <w:lang w:eastAsia="ja-JP"/>
              </w:rPr>
            </w:pPr>
            <w:r w:rsidRPr="00653421">
              <w:rPr>
                <w:rFonts w:ascii="Tahoma" w:hAnsi="Tahoma" w:cs="Tahoma"/>
                <w:b/>
                <w:color w:val="000000"/>
                <w:szCs w:val="18"/>
              </w:rPr>
              <w:t>Open Value Subscription - ES</w:t>
            </w:r>
          </w:p>
        </w:tc>
        <w:tc>
          <w:tcPr>
            <w:tcW w:w="7011" w:type="dxa"/>
            <w:shd w:val="clear" w:color="auto" w:fill="auto"/>
          </w:tcPr>
          <w:p w:rsidR="00456002" w:rsidRPr="00734B50" w:rsidRDefault="00456002" w:rsidP="00230E01">
            <w:pPr>
              <w:spacing w:before="60"/>
              <w:rPr>
                <w:lang w:val="pt-BR"/>
              </w:rPr>
            </w:pPr>
            <w:r w:rsidRPr="00734B50">
              <w:rPr>
                <w:rFonts w:cs="Tahoma"/>
                <w:szCs w:val="18"/>
                <w:lang w:val="pt-BR"/>
              </w:rPr>
              <w:t>Open Value Subscription – ES requer pelo menos um Produto da Plataforma Desktop para uma Contagem para toda a Organização de pelo menos 5 OU pelo</w:t>
            </w:r>
            <w:r w:rsidR="0023291B" w:rsidRPr="00734B50">
              <w:rPr>
                <w:rFonts w:cs="Tahoma"/>
                <w:szCs w:val="18"/>
                <w:lang w:val="pt-BR"/>
              </w:rPr>
              <w:t> </w:t>
            </w:r>
            <w:r w:rsidRPr="00734B50">
              <w:rPr>
                <w:rFonts w:cs="Tahoma"/>
                <w:szCs w:val="18"/>
                <w:lang w:val="pt-BR"/>
              </w:rPr>
              <w:t>menos um Produto da Plataforma Desktop para a Contagem de Estudantes</w:t>
            </w:r>
            <w:r w:rsidR="00465D54" w:rsidRPr="00734B50">
              <w:rPr>
                <w:rFonts w:cs="Tahoma"/>
                <w:szCs w:val="18"/>
                <w:lang w:val="pt-BR"/>
              </w:rPr>
              <w:t> </w:t>
            </w:r>
            <w:r w:rsidRPr="00734B50">
              <w:rPr>
                <w:rFonts w:cs="Tahoma"/>
                <w:szCs w:val="18"/>
                <w:lang w:val="pt-BR"/>
              </w:rPr>
              <w:t>de</w:t>
            </w:r>
            <w:r w:rsidR="0023291B" w:rsidRPr="00734B50">
              <w:rPr>
                <w:rFonts w:cs="Tahoma"/>
                <w:szCs w:val="18"/>
                <w:lang w:val="pt-BR"/>
              </w:rPr>
              <w:t> </w:t>
            </w:r>
            <w:r w:rsidRPr="00734B50">
              <w:rPr>
                <w:rFonts w:cs="Tahoma"/>
                <w:szCs w:val="18"/>
                <w:lang w:val="pt-BR"/>
              </w:rPr>
              <w:t>pelo menos 5.</w:t>
            </w:r>
          </w:p>
          <w:p w:rsidR="00230E01" w:rsidRPr="00734B50" w:rsidRDefault="00230E01" w:rsidP="00230E01">
            <w:pPr>
              <w:rPr>
                <w:rFonts w:cs="Tahoma"/>
                <w:sz w:val="14"/>
                <w:szCs w:val="14"/>
                <w:lang w:val="pt-BR"/>
              </w:rPr>
            </w:pPr>
          </w:p>
        </w:tc>
      </w:tr>
      <w:tr w:rsidR="00456002" w:rsidRPr="00E04628" w:rsidTr="007C4AA7">
        <w:tc>
          <w:tcPr>
            <w:tcW w:w="2205" w:type="dxa"/>
            <w:shd w:val="clear" w:color="auto" w:fill="auto"/>
          </w:tcPr>
          <w:p w:rsidR="00456002" w:rsidRPr="00653421" w:rsidRDefault="00456002" w:rsidP="00A70464">
            <w:pPr>
              <w:pStyle w:val="AppendixBodyText"/>
              <w:spacing w:before="60"/>
              <w:ind w:right="720"/>
              <w:rPr>
                <w:rFonts w:ascii="Tahoma" w:hAnsi="Tahoma" w:cs="Tahoma"/>
                <w:b/>
                <w:color w:val="000000"/>
                <w:szCs w:val="18"/>
                <w:lang w:eastAsia="ja-JP"/>
              </w:rPr>
            </w:pPr>
            <w:r w:rsidRPr="00653421">
              <w:rPr>
                <w:rFonts w:ascii="Tahoma" w:hAnsi="Tahoma" w:cs="Tahoma"/>
                <w:b/>
                <w:color w:val="000000"/>
                <w:szCs w:val="18"/>
              </w:rPr>
              <w:t>Select</w:t>
            </w:r>
          </w:p>
        </w:tc>
        <w:tc>
          <w:tcPr>
            <w:tcW w:w="7011" w:type="dxa"/>
            <w:shd w:val="clear" w:color="auto" w:fill="auto"/>
          </w:tcPr>
          <w:p w:rsidR="00456002" w:rsidRPr="00734B50" w:rsidRDefault="00456002" w:rsidP="00230E01">
            <w:pPr>
              <w:pStyle w:val="AppendixBodyText"/>
              <w:spacing w:before="60" w:after="0"/>
              <w:ind w:right="720"/>
              <w:rPr>
                <w:lang w:val="pt-BR"/>
              </w:rPr>
            </w:pPr>
            <w:r w:rsidRPr="00734B50">
              <w:rPr>
                <w:rFonts w:ascii="Tahoma" w:hAnsi="Tahoma" w:cs="Tahoma"/>
                <w:color w:val="000000"/>
                <w:sz w:val="18"/>
                <w:szCs w:val="18"/>
                <w:lang w:val="pt-BR"/>
              </w:rPr>
              <w:t>A Licença Select requer um pedido mínimo de 1.500 pontos por pool ao longo do prazo do contrato.</w:t>
            </w:r>
            <w:r w:rsidR="00DD7735"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Os requisitos de quantidade mínima do pedido poderão ser dispensados caso seja fornecido um contrato qualificado.</w:t>
            </w:r>
          </w:p>
          <w:p w:rsidR="00230E01" w:rsidRPr="00734B50" w:rsidRDefault="00230E01" w:rsidP="00230E01">
            <w:pPr>
              <w:pStyle w:val="AppendixBodyText"/>
              <w:spacing w:after="0"/>
              <w:ind w:right="720"/>
              <w:rPr>
                <w:rFonts w:ascii="Tahoma" w:hAnsi="Tahoma" w:cs="Tahoma"/>
                <w:color w:val="000000"/>
                <w:sz w:val="14"/>
                <w:szCs w:val="14"/>
                <w:lang w:val="pt-BR" w:eastAsia="ja-JP"/>
              </w:rPr>
            </w:pPr>
          </w:p>
        </w:tc>
      </w:tr>
      <w:tr w:rsidR="00456002" w:rsidRPr="00E04628" w:rsidTr="007C4AA7">
        <w:tc>
          <w:tcPr>
            <w:tcW w:w="2205" w:type="dxa"/>
            <w:shd w:val="clear" w:color="auto" w:fill="auto"/>
          </w:tcPr>
          <w:p w:rsidR="00456002" w:rsidRPr="00653421" w:rsidRDefault="00456002" w:rsidP="00A70464">
            <w:pPr>
              <w:pStyle w:val="AppendixBodyText"/>
              <w:spacing w:before="60"/>
              <w:ind w:right="720"/>
              <w:rPr>
                <w:rFonts w:ascii="Tahoma" w:hAnsi="Tahoma" w:cs="Tahoma"/>
                <w:b/>
                <w:color w:val="000000"/>
                <w:szCs w:val="18"/>
                <w:lang w:eastAsia="ja-JP"/>
              </w:rPr>
            </w:pPr>
            <w:r w:rsidRPr="00653421">
              <w:rPr>
                <w:rFonts w:ascii="Tahoma" w:hAnsi="Tahoma" w:cs="Tahoma"/>
                <w:b/>
                <w:color w:val="000000"/>
                <w:szCs w:val="18"/>
              </w:rPr>
              <w:t>Select Plus</w:t>
            </w:r>
          </w:p>
        </w:tc>
        <w:tc>
          <w:tcPr>
            <w:tcW w:w="7011" w:type="dxa"/>
            <w:shd w:val="clear" w:color="auto" w:fill="auto"/>
          </w:tcPr>
          <w:p w:rsidR="00456002" w:rsidRPr="00734B50" w:rsidRDefault="00456002" w:rsidP="00A70464">
            <w:pPr>
              <w:pStyle w:val="AppendixBodyText"/>
              <w:spacing w:before="60"/>
              <w:ind w:right="720"/>
              <w:rPr>
                <w:lang w:val="pt-BR"/>
              </w:rPr>
            </w:pPr>
            <w:r w:rsidRPr="00734B50">
              <w:rPr>
                <w:rFonts w:ascii="Tahoma" w:hAnsi="Tahoma" w:cs="Tahoma"/>
                <w:color w:val="000000"/>
                <w:sz w:val="18"/>
                <w:szCs w:val="18"/>
                <w:lang w:val="pt-BR"/>
              </w:rPr>
              <w:t>O Select Plus requer um pedido mínimo inicial de 500 pontos por pool durante o primeiro ano.</w:t>
            </w:r>
            <w:r w:rsidR="00DD7735"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Esse requisito de quantidade no pedido poderá ser</w:t>
            </w:r>
            <w:r w:rsidR="00465D54" w:rsidRPr="00734B50">
              <w:rPr>
                <w:rFonts w:ascii="Tahoma" w:hAnsi="Tahoma" w:cs="Tahoma"/>
                <w:color w:val="000000"/>
                <w:sz w:val="18"/>
                <w:szCs w:val="18"/>
                <w:lang w:val="pt-BR"/>
              </w:rPr>
              <w:t> </w:t>
            </w:r>
            <w:r w:rsidRPr="00734B50">
              <w:rPr>
                <w:rFonts w:ascii="Tahoma" w:hAnsi="Tahoma" w:cs="Tahoma"/>
                <w:color w:val="000000"/>
                <w:sz w:val="18"/>
                <w:szCs w:val="18"/>
                <w:lang w:val="pt-BR"/>
              </w:rPr>
              <w:t>dispensado caso seja fornecido um contrato qualificado.</w:t>
            </w:r>
          </w:p>
          <w:p w:rsidR="00465D54" w:rsidRPr="00734B50" w:rsidRDefault="00465D54" w:rsidP="00465D54">
            <w:pPr>
              <w:rPr>
                <w:sz w:val="16"/>
                <w:szCs w:val="16"/>
                <w:lang w:val="pt-BR"/>
              </w:rPr>
            </w:pPr>
          </w:p>
          <w:p w:rsidR="00456002" w:rsidRPr="00734B50" w:rsidRDefault="00456002" w:rsidP="004B6D8C">
            <w:pPr>
              <w:spacing w:after="60"/>
              <w:rPr>
                <w:lang w:val="pt-BR"/>
              </w:rPr>
            </w:pPr>
            <w:bookmarkStart w:id="669" w:name="_Toc323159727"/>
            <w:r w:rsidRPr="00734B50">
              <w:rPr>
                <w:b/>
                <w:lang w:val="pt-BR"/>
              </w:rPr>
              <w:t>Categorias de preços no Select Plus</w:t>
            </w:r>
            <w:bookmarkEnd w:id="669"/>
          </w:p>
          <w:p w:rsidR="00456002" w:rsidRPr="00734B50" w:rsidRDefault="00456002" w:rsidP="005C647E">
            <w:pPr>
              <w:rPr>
                <w:lang w:val="pt-BR"/>
              </w:rPr>
            </w:pPr>
            <w:r w:rsidRPr="00734B50">
              <w:rPr>
                <w:rFonts w:cs="Tahoma"/>
                <w:szCs w:val="18"/>
                <w:lang w:val="pt-BR"/>
              </w:rPr>
              <w:t>Os clientes estarão qualificados para o Programa Select Plus se corresponderem a</w:t>
            </w:r>
            <w:r w:rsidR="00465D54" w:rsidRPr="00734B50">
              <w:rPr>
                <w:rFonts w:cs="Tahoma"/>
                <w:szCs w:val="18"/>
                <w:lang w:val="pt-BR"/>
              </w:rPr>
              <w:t> </w:t>
            </w:r>
            <w:r w:rsidRPr="00734B50">
              <w:rPr>
                <w:rFonts w:cs="Tahoma"/>
                <w:szCs w:val="18"/>
                <w:lang w:val="pt-BR"/>
              </w:rPr>
              <w:t xml:space="preserve">um desses critérios: </w:t>
            </w:r>
          </w:p>
          <w:p w:rsidR="00406CB0" w:rsidRPr="00734B50" w:rsidRDefault="00406CB0" w:rsidP="00A70464">
            <w:pPr>
              <w:rPr>
                <w:sz w:val="16"/>
                <w:szCs w:val="16"/>
                <w:lang w:val="pt-BR"/>
              </w:rPr>
            </w:pPr>
          </w:p>
          <w:p w:rsidR="00456002" w:rsidRPr="00734B50" w:rsidRDefault="00456002" w:rsidP="004B6D8C">
            <w:pPr>
              <w:numPr>
                <w:ilvl w:val="0"/>
                <w:numId w:val="82"/>
              </w:numPr>
              <w:spacing w:after="60"/>
              <w:rPr>
                <w:lang w:val="pt-BR"/>
              </w:rPr>
            </w:pPr>
            <w:r w:rsidRPr="00734B50">
              <w:rPr>
                <w:lang w:val="pt-BR"/>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rsidR="00456002" w:rsidRPr="00734B50" w:rsidRDefault="00456002" w:rsidP="004B6D8C">
            <w:pPr>
              <w:numPr>
                <w:ilvl w:val="0"/>
                <w:numId w:val="82"/>
              </w:numPr>
              <w:spacing w:after="60"/>
              <w:rPr>
                <w:lang w:val="pt-BR"/>
              </w:rPr>
            </w:pPr>
            <w:r w:rsidRPr="00734B50">
              <w:rPr>
                <w:lang w:val="pt-BR"/>
              </w:rPr>
              <w:t>Envio de um pedido que cumpra um mínimo de 500 pontos para cada pool</w:t>
            </w:r>
            <w:r w:rsidR="0023291B" w:rsidRPr="00734B50">
              <w:rPr>
                <w:lang w:val="pt-BR"/>
              </w:rPr>
              <w:t> </w:t>
            </w:r>
            <w:r w:rsidRPr="00734B50">
              <w:rPr>
                <w:lang w:val="pt-BR"/>
              </w:rPr>
              <w:t xml:space="preserve">de produtos selecionado pelo Cliente durante o primeiro ano; </w:t>
            </w:r>
          </w:p>
          <w:p w:rsidR="00456002" w:rsidRPr="00734B50" w:rsidRDefault="00456002" w:rsidP="004B6D8C">
            <w:pPr>
              <w:numPr>
                <w:ilvl w:val="0"/>
                <w:numId w:val="82"/>
              </w:numPr>
              <w:spacing w:after="60"/>
              <w:rPr>
                <w:lang w:val="pt-BR"/>
              </w:rPr>
            </w:pPr>
            <w:r w:rsidRPr="00734B50">
              <w:rPr>
                <w:lang w:val="pt-BR"/>
              </w:rPr>
              <w:t>Identificação de um contrato em que a quantidade do pedido mínimo tenha sido comprada durante os 12 meses anteriores à data de início de</w:t>
            </w:r>
            <w:r w:rsidR="0023291B" w:rsidRPr="00734B50">
              <w:rPr>
                <w:lang w:val="pt-BR"/>
              </w:rPr>
              <w:t> </w:t>
            </w:r>
            <w:r w:rsidRPr="00734B50">
              <w:rPr>
                <w:lang w:val="pt-BR"/>
              </w:rPr>
              <w:t xml:space="preserve">vigência do Contrato Select Plus do cliente; e </w:t>
            </w:r>
          </w:p>
          <w:p w:rsidR="00456002" w:rsidRPr="00734B50" w:rsidRDefault="00456002" w:rsidP="00A70464">
            <w:pPr>
              <w:rPr>
                <w:sz w:val="16"/>
                <w:szCs w:val="16"/>
                <w:lang w:val="pt-BR"/>
              </w:rPr>
            </w:pPr>
          </w:p>
          <w:p w:rsidR="00456002" w:rsidRPr="00734B50" w:rsidRDefault="00456002" w:rsidP="005C647E">
            <w:pPr>
              <w:rPr>
                <w:lang w:val="pt-BR"/>
              </w:rPr>
            </w:pPr>
            <w:r w:rsidRPr="00734B50">
              <w:rPr>
                <w:rFonts w:cs="Tahoma"/>
                <w:szCs w:val="18"/>
                <w:lang w:val="pt-BR"/>
              </w:rPr>
              <w:t xml:space="preserve">Para as opções 2 e 3 acima, o Cliente terá que manter um mínimo de 500 pontos em cada pool de produtos que selecionar por ocasião da verificação de conformidade. </w:t>
            </w:r>
          </w:p>
          <w:p w:rsidR="00456002" w:rsidRPr="00734B50" w:rsidRDefault="00456002" w:rsidP="005C647E">
            <w:pPr>
              <w:rPr>
                <w:sz w:val="16"/>
                <w:szCs w:val="16"/>
                <w:lang w:val="pt-BR"/>
              </w:rPr>
            </w:pPr>
          </w:p>
          <w:p w:rsidR="00456002" w:rsidRPr="00734B50" w:rsidRDefault="00456002" w:rsidP="005C647E">
            <w:pPr>
              <w:rPr>
                <w:lang w:val="pt-BR"/>
              </w:rPr>
            </w:pPr>
            <w:r w:rsidRPr="00734B50">
              <w:rPr>
                <w:rFonts w:cs="Tahoma"/>
                <w:szCs w:val="18"/>
                <w:lang w:val="pt-BR"/>
              </w:rPr>
              <w:t>Os preços do Cliente baseiam-se no contrato entre o Cliente e seu revendedor.</w:t>
            </w:r>
            <w:r w:rsidR="00DD7735" w:rsidRPr="00734B50">
              <w:rPr>
                <w:rFonts w:cs="Tahoma"/>
                <w:szCs w:val="18"/>
                <w:lang w:val="pt-BR"/>
              </w:rPr>
              <w:t xml:space="preserve"> </w:t>
            </w:r>
            <w:r w:rsidRPr="00734B50">
              <w:rPr>
                <w:rFonts w:cs="Tahoma"/>
                <w:szCs w:val="18"/>
                <w:lang w:val="pt-BR"/>
              </w:rPr>
              <w:t>Porém, a Microsoft sugere ao revendedor os seguintes critérios de preços e</w:t>
            </w:r>
            <w:r w:rsidR="0023291B" w:rsidRPr="00734B50">
              <w:rPr>
                <w:rFonts w:cs="Tahoma"/>
                <w:szCs w:val="18"/>
                <w:lang w:val="pt-BR"/>
              </w:rPr>
              <w:t> </w:t>
            </w:r>
            <w:r w:rsidRPr="00734B50">
              <w:rPr>
                <w:rFonts w:cs="Tahoma"/>
                <w:szCs w:val="18"/>
                <w:lang w:val="pt-BR"/>
              </w:rPr>
              <w:t>pontos</w:t>
            </w:r>
            <w:r w:rsidR="0023291B" w:rsidRPr="00734B50">
              <w:rPr>
                <w:rFonts w:cs="Tahoma"/>
                <w:szCs w:val="18"/>
                <w:lang w:val="pt-BR"/>
              </w:rPr>
              <w:t> </w:t>
            </w:r>
            <w:r w:rsidRPr="00734B50">
              <w:rPr>
                <w:rFonts w:cs="Tahoma"/>
                <w:szCs w:val="18"/>
                <w:lang w:val="pt-BR"/>
              </w:rPr>
              <w:t>para orientá-lo quanto ao preço final para o consumidor:</w:t>
            </w:r>
            <w:r w:rsidR="00DD7735" w:rsidRPr="00734B50">
              <w:rPr>
                <w:rFonts w:cs="Tahoma"/>
                <w:szCs w:val="18"/>
                <w:lang w:val="pt-BR"/>
              </w:rPr>
              <w:t xml:space="preserve"> </w:t>
            </w:r>
          </w:p>
          <w:p w:rsidR="00456002" w:rsidRPr="00734B50" w:rsidRDefault="00456002" w:rsidP="005C647E">
            <w:pPr>
              <w:rPr>
                <w:sz w:val="16"/>
                <w:szCs w:val="16"/>
                <w:lang w:val="pt-B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23291B" w:rsidRPr="00E04628" w:rsidTr="005615BC">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23291B" w:rsidRPr="00734B50" w:rsidRDefault="0023291B" w:rsidP="005615BC">
                  <w:pPr>
                    <w:jc w:val="center"/>
                    <w:rPr>
                      <w:rFonts w:cs="Tahoma"/>
                      <w:b/>
                      <w:sz w:val="20"/>
                      <w:szCs w:val="18"/>
                      <w:lang w:val="pt-BR"/>
                    </w:rPr>
                  </w:pPr>
                  <w:r w:rsidRPr="00734B50">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23291B" w:rsidRPr="00734B50" w:rsidRDefault="0023291B" w:rsidP="0023291B">
                  <w:pPr>
                    <w:jc w:val="center"/>
                    <w:rPr>
                      <w:rFonts w:cs="Tahoma"/>
                      <w:b/>
                      <w:sz w:val="20"/>
                      <w:szCs w:val="18"/>
                      <w:lang w:val="pt-BR"/>
                    </w:rPr>
                  </w:pPr>
                  <w:r w:rsidRPr="00734B50">
                    <w:rPr>
                      <w:rFonts w:cs="Tahoma"/>
                      <w:b/>
                      <w:sz w:val="20"/>
                      <w:szCs w:val="18"/>
                      <w:lang w:val="pt-BR"/>
                    </w:rPr>
                    <w:t>Mínimo de Pontos Anuais por Pool</w:t>
                  </w:r>
                </w:p>
              </w:tc>
            </w:tr>
            <w:tr w:rsidR="0023291B" w:rsidRPr="00E04628" w:rsidTr="005615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3291B" w:rsidRPr="00734B50" w:rsidRDefault="0023291B" w:rsidP="005615BC">
                  <w:pPr>
                    <w:jc w:val="center"/>
                    <w:rPr>
                      <w:rFonts w:cs="Tahoma"/>
                      <w:szCs w:val="18"/>
                      <w:lang w:val="pt-BR"/>
                    </w:rPr>
                  </w:pPr>
                  <w:r w:rsidRPr="00734B50">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3291B" w:rsidRPr="00734B50" w:rsidRDefault="0023291B" w:rsidP="005615BC">
                  <w:pPr>
                    <w:jc w:val="center"/>
                    <w:rPr>
                      <w:rFonts w:cs="Tahoma"/>
                      <w:szCs w:val="18"/>
                      <w:lang w:val="pt-BR"/>
                    </w:rPr>
                  </w:pPr>
                  <w:r w:rsidRPr="00734B50">
                    <w:rPr>
                      <w:rFonts w:cs="Tahoma"/>
                      <w:szCs w:val="18"/>
                      <w:lang w:val="pt-BR"/>
                    </w:rPr>
                    <w:t>500</w:t>
                  </w:r>
                </w:p>
              </w:tc>
            </w:tr>
            <w:tr w:rsidR="0023291B" w:rsidRPr="00E04628" w:rsidTr="005615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3291B" w:rsidRPr="00734B50" w:rsidRDefault="0023291B" w:rsidP="005615BC">
                  <w:pPr>
                    <w:jc w:val="center"/>
                    <w:rPr>
                      <w:rFonts w:cs="Tahoma"/>
                      <w:szCs w:val="18"/>
                      <w:lang w:val="pt-BR"/>
                    </w:rPr>
                  </w:pPr>
                  <w:r w:rsidRPr="00734B50">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3291B" w:rsidRPr="00734B50" w:rsidRDefault="0023291B" w:rsidP="0023291B">
                  <w:pPr>
                    <w:jc w:val="center"/>
                    <w:rPr>
                      <w:rFonts w:cs="Tahoma"/>
                      <w:szCs w:val="18"/>
                      <w:lang w:val="pt-BR"/>
                    </w:rPr>
                  </w:pPr>
                  <w:r w:rsidRPr="00734B50">
                    <w:rPr>
                      <w:rFonts w:cs="Tahoma"/>
                      <w:szCs w:val="18"/>
                      <w:lang w:val="pt-BR"/>
                    </w:rPr>
                    <w:t>4.000</w:t>
                  </w:r>
                </w:p>
              </w:tc>
            </w:tr>
            <w:tr w:rsidR="0023291B" w:rsidRPr="00E04628" w:rsidTr="005615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3291B" w:rsidRPr="00734B50" w:rsidRDefault="0023291B" w:rsidP="005615BC">
                  <w:pPr>
                    <w:jc w:val="center"/>
                    <w:rPr>
                      <w:rFonts w:cs="Tahoma"/>
                      <w:szCs w:val="18"/>
                      <w:lang w:val="pt-BR"/>
                    </w:rPr>
                  </w:pPr>
                  <w:r w:rsidRPr="00734B50">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3291B" w:rsidRPr="00734B50" w:rsidRDefault="0023291B" w:rsidP="0023291B">
                  <w:pPr>
                    <w:jc w:val="center"/>
                    <w:rPr>
                      <w:rFonts w:cs="Tahoma"/>
                      <w:szCs w:val="18"/>
                      <w:lang w:val="pt-BR"/>
                    </w:rPr>
                  </w:pPr>
                  <w:r w:rsidRPr="00734B50">
                    <w:rPr>
                      <w:rFonts w:cs="Tahoma"/>
                      <w:szCs w:val="18"/>
                      <w:lang w:val="pt-BR"/>
                    </w:rPr>
                    <w:t>10.000</w:t>
                  </w:r>
                </w:p>
              </w:tc>
            </w:tr>
            <w:tr w:rsidR="0023291B" w:rsidRPr="00E04628" w:rsidTr="005615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3291B" w:rsidRPr="00734B50" w:rsidRDefault="0023291B" w:rsidP="005615BC">
                  <w:pPr>
                    <w:jc w:val="center"/>
                    <w:rPr>
                      <w:rFonts w:cs="Tahoma"/>
                      <w:szCs w:val="18"/>
                      <w:lang w:val="pt-BR"/>
                    </w:rPr>
                  </w:pPr>
                  <w:r w:rsidRPr="00734B50">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3291B" w:rsidRPr="00734B50" w:rsidRDefault="0023291B" w:rsidP="0023291B">
                  <w:pPr>
                    <w:jc w:val="center"/>
                    <w:rPr>
                      <w:rFonts w:cs="Tahoma"/>
                      <w:szCs w:val="18"/>
                      <w:lang w:val="pt-BR"/>
                    </w:rPr>
                  </w:pPr>
                  <w:r w:rsidRPr="00734B50">
                    <w:rPr>
                      <w:rFonts w:cs="Tahoma"/>
                      <w:szCs w:val="18"/>
                      <w:lang w:val="pt-BR"/>
                    </w:rPr>
                    <w:t>25.000</w:t>
                  </w:r>
                </w:p>
              </w:tc>
            </w:tr>
          </w:tbl>
          <w:p w:rsidR="00456002" w:rsidRPr="00734B50" w:rsidRDefault="005B6712" w:rsidP="00230E01">
            <w:pPr>
              <w:pStyle w:val="AppendixBodyText"/>
              <w:spacing w:after="0"/>
              <w:ind w:left="605" w:right="720"/>
              <w:rPr>
                <w:lang w:val="pt-BR"/>
              </w:rPr>
            </w:pPr>
            <w:r w:rsidRPr="00734B50">
              <w:rPr>
                <w:rFonts w:ascii="Tahoma" w:hAnsi="Tahoma" w:cs="Times New Roman"/>
                <w:i/>
                <w:sz w:val="16"/>
                <w:lang w:val="pt-BR"/>
              </w:rPr>
              <w:t>Observação: Quaisquer pontos que o cliente tenha em excesso na categoria de preços mínima serão transportados para o próximo ano para verificação de conformidade desses anos. Por exemplo, se o cliente tiver 4.500 pontos na verificação de conformidade anual, 500 pontos serão transportados para o ano seguinte para serem usados em relação à conformidade desses anos.</w:t>
            </w:r>
          </w:p>
          <w:p w:rsidR="00230E01" w:rsidRPr="00734B50" w:rsidRDefault="00230E01" w:rsidP="00230E01">
            <w:pPr>
              <w:pStyle w:val="AppendixBodyText"/>
              <w:spacing w:after="0"/>
              <w:ind w:left="605" w:right="720"/>
              <w:rPr>
                <w:rFonts w:ascii="Tahoma" w:hAnsi="Tahoma" w:cs="Tahoma"/>
                <w:color w:val="000000"/>
                <w:sz w:val="18"/>
                <w:szCs w:val="18"/>
                <w:lang w:val="pt-BR" w:eastAsia="ja-JP"/>
              </w:rPr>
            </w:pPr>
          </w:p>
        </w:tc>
      </w:tr>
      <w:tr w:rsidR="00465D54" w:rsidRPr="00653421" w:rsidTr="007C4AA7">
        <w:tc>
          <w:tcPr>
            <w:tcW w:w="2205" w:type="dxa"/>
            <w:tcBorders>
              <w:bottom w:val="single" w:sz="4" w:space="0" w:color="000000"/>
            </w:tcBorders>
            <w:shd w:val="clear" w:color="auto" w:fill="FABF8F"/>
          </w:tcPr>
          <w:p w:rsidR="00465D54" w:rsidRPr="00653421" w:rsidRDefault="00465D54" w:rsidP="007C4AA7">
            <w:pPr>
              <w:pStyle w:val="AppendixBodyText"/>
              <w:keepNext/>
              <w:keepLines/>
              <w:ind w:right="720"/>
              <w:jc w:val="center"/>
              <w:rPr>
                <w:rFonts w:ascii="Tahoma" w:hAnsi="Tahoma" w:cs="Tahoma"/>
                <w:b/>
                <w:color w:val="000000"/>
                <w:sz w:val="22"/>
                <w:szCs w:val="18"/>
                <w:lang w:eastAsia="ja-JP"/>
              </w:rPr>
            </w:pPr>
            <w:r w:rsidRPr="00653421">
              <w:rPr>
                <w:rFonts w:ascii="Tahoma" w:hAnsi="Tahoma" w:cs="Tahoma"/>
                <w:b/>
                <w:color w:val="000000"/>
                <w:sz w:val="22"/>
                <w:szCs w:val="18"/>
              </w:rPr>
              <w:lastRenderedPageBreak/>
              <w:t>Programas</w:t>
            </w:r>
          </w:p>
        </w:tc>
        <w:tc>
          <w:tcPr>
            <w:tcW w:w="7011" w:type="dxa"/>
            <w:tcBorders>
              <w:bottom w:val="single" w:sz="4" w:space="0" w:color="000000"/>
            </w:tcBorders>
            <w:shd w:val="clear" w:color="auto" w:fill="FABF8F"/>
          </w:tcPr>
          <w:p w:rsidR="00465D54" w:rsidRPr="00653421" w:rsidRDefault="00465D54" w:rsidP="007C4AA7">
            <w:pPr>
              <w:pStyle w:val="AppendixBodyText"/>
              <w:keepNext/>
              <w:keepLines/>
              <w:ind w:right="720"/>
              <w:jc w:val="center"/>
              <w:rPr>
                <w:rFonts w:ascii="Tahoma" w:hAnsi="Tahoma" w:cs="Tahoma"/>
                <w:b/>
                <w:color w:val="000000"/>
                <w:sz w:val="22"/>
                <w:szCs w:val="18"/>
                <w:lang w:eastAsia="ja-JP"/>
              </w:rPr>
            </w:pPr>
            <w:r w:rsidRPr="00653421">
              <w:rPr>
                <w:rFonts w:ascii="Tahoma" w:hAnsi="Tahoma" w:cs="Tahoma"/>
                <w:b/>
                <w:color w:val="000000"/>
                <w:sz w:val="22"/>
                <w:szCs w:val="18"/>
              </w:rPr>
              <w:t>Requisitos Mínimos de Pedidos</w:t>
            </w:r>
          </w:p>
        </w:tc>
      </w:tr>
      <w:tr w:rsidR="00456002" w:rsidRPr="00E04628" w:rsidTr="007C4AA7">
        <w:tc>
          <w:tcPr>
            <w:tcW w:w="2205" w:type="dxa"/>
            <w:shd w:val="clear" w:color="auto" w:fill="auto"/>
          </w:tcPr>
          <w:p w:rsidR="00456002" w:rsidRPr="00653421" w:rsidRDefault="00456002" w:rsidP="00A70464">
            <w:pPr>
              <w:pStyle w:val="AppendixBodyText"/>
              <w:spacing w:before="60"/>
              <w:ind w:right="720"/>
              <w:rPr>
                <w:rFonts w:ascii="Tahoma" w:hAnsi="Tahoma" w:cs="Tahoma"/>
                <w:b/>
                <w:color w:val="000000"/>
                <w:szCs w:val="18"/>
                <w:lang w:eastAsia="ja-JP"/>
              </w:rPr>
            </w:pPr>
            <w:r w:rsidRPr="00653421">
              <w:rPr>
                <w:rFonts w:ascii="Tahoma" w:hAnsi="Tahoma" w:cs="Tahoma"/>
                <w:b/>
                <w:color w:val="000000"/>
                <w:szCs w:val="18"/>
              </w:rPr>
              <w:t>Contrato School</w:t>
            </w:r>
          </w:p>
        </w:tc>
        <w:tc>
          <w:tcPr>
            <w:tcW w:w="7011" w:type="dxa"/>
            <w:shd w:val="clear" w:color="auto" w:fill="auto"/>
          </w:tcPr>
          <w:p w:rsidR="00456002" w:rsidRPr="00734B50" w:rsidRDefault="00456002" w:rsidP="0028525A">
            <w:pPr>
              <w:pStyle w:val="AppendixBodyText"/>
              <w:spacing w:before="60"/>
              <w:ind w:right="198"/>
              <w:rPr>
                <w:lang w:val="pt-BR"/>
              </w:rPr>
            </w:pPr>
            <w:r w:rsidRPr="00734B50">
              <w:rPr>
                <w:rFonts w:ascii="Tahoma" w:hAnsi="Tahoma" w:cs="Tahoma"/>
                <w:sz w:val="18"/>
                <w:lang w:val="pt-BR"/>
              </w:rPr>
              <w:t>O Contrato School</w:t>
            </w:r>
            <w:r w:rsidRPr="00734B50">
              <w:rPr>
                <w:rFonts w:ascii="Tahoma" w:hAnsi="Tahoma" w:cs="Tahoma"/>
                <w:b/>
                <w:sz w:val="18"/>
                <w:lang w:val="pt-BR"/>
              </w:rPr>
              <w:t xml:space="preserve"> </w:t>
            </w:r>
            <w:r w:rsidRPr="00734B50">
              <w:rPr>
                <w:rFonts w:ascii="Tahoma" w:hAnsi="Tahoma" w:cs="Tahoma"/>
                <w:sz w:val="18"/>
                <w:lang w:val="pt-BR"/>
              </w:rPr>
              <w:t>requer um pedido mínimo de 300 unidades.</w:t>
            </w:r>
            <w:r w:rsidR="00DD7735" w:rsidRPr="00734B50">
              <w:rPr>
                <w:rFonts w:ascii="Tahoma" w:hAnsi="Tahoma" w:cs="Tahoma"/>
                <w:sz w:val="18"/>
                <w:lang w:val="pt-BR"/>
              </w:rPr>
              <w:t xml:space="preserve"> </w:t>
            </w:r>
            <w:r w:rsidRPr="00734B50">
              <w:rPr>
                <w:rFonts w:ascii="Tahoma" w:hAnsi="Tahoma" w:cs="Tahoma"/>
                <w:sz w:val="18"/>
                <w:lang w:val="pt-BR"/>
              </w:rPr>
              <w:t>As unidades são determinadas multiplicando-se o número total de produtos de aplicativo, sistema e CAL selecionados pelo número total de PCs qualificados ou FTEs/Funcionários qualificados. Observe que o requisito de</w:t>
            </w:r>
            <w:r w:rsidR="0028525A" w:rsidRPr="00734B50">
              <w:rPr>
                <w:rFonts w:ascii="Tahoma" w:hAnsi="Tahoma" w:cs="Tahoma"/>
                <w:sz w:val="18"/>
                <w:lang w:val="pt-BR"/>
              </w:rPr>
              <w:t> </w:t>
            </w:r>
            <w:r w:rsidRPr="00734B50">
              <w:rPr>
                <w:rFonts w:ascii="Tahoma" w:hAnsi="Tahoma" w:cs="Tahoma"/>
                <w:sz w:val="18"/>
                <w:lang w:val="pt-BR"/>
              </w:rPr>
              <w:t>pedido mínimo pode variar conforme a</w:t>
            </w:r>
            <w:r w:rsidR="00CE0D75" w:rsidRPr="00734B50">
              <w:rPr>
                <w:rFonts w:ascii="Tahoma" w:hAnsi="Tahoma" w:cs="Tahoma"/>
                <w:sz w:val="18"/>
                <w:lang w:val="pt-BR"/>
              </w:rPr>
              <w:t> </w:t>
            </w:r>
            <w:r w:rsidRPr="00734B50">
              <w:rPr>
                <w:rFonts w:ascii="Tahoma" w:hAnsi="Tahoma" w:cs="Tahoma"/>
                <w:sz w:val="18"/>
                <w:lang w:val="pt-BR"/>
              </w:rPr>
              <w:t>região geográfica.</w:t>
            </w:r>
          </w:p>
          <w:p w:rsidR="00406CB0" w:rsidRPr="00734B50" w:rsidRDefault="00406CB0" w:rsidP="00A70464">
            <w:pPr>
              <w:pStyle w:val="AppendixBodyText"/>
              <w:spacing w:after="0"/>
              <w:ind w:right="720"/>
              <w:rPr>
                <w:rFonts w:ascii="Tahoma" w:hAnsi="Tahoma" w:cs="Tahoma"/>
                <w:sz w:val="15"/>
                <w:szCs w:val="15"/>
                <w:lang w:val="pt-BR"/>
              </w:rPr>
            </w:pPr>
          </w:p>
          <w:p w:rsidR="00456002" w:rsidRPr="00734B50" w:rsidRDefault="00456002" w:rsidP="0028525A">
            <w:pPr>
              <w:tabs>
                <w:tab w:val="left" w:pos="8640"/>
              </w:tabs>
              <w:ind w:right="18"/>
              <w:rPr>
                <w:lang w:val="pt-BR"/>
              </w:rPr>
            </w:pPr>
            <w:r w:rsidRPr="00734B50">
              <w:rPr>
                <w:rFonts w:cs="Tahoma"/>
                <w:b/>
                <w:bCs/>
                <w:color w:val="000000"/>
                <w:szCs w:val="20"/>
                <w:lang w:val="pt-BR"/>
              </w:rPr>
              <w:t>Observação:</w:t>
            </w:r>
            <w:r w:rsidRPr="00734B50">
              <w:rPr>
                <w:rFonts w:cs="Tahoma"/>
                <w:color w:val="000000"/>
                <w:szCs w:val="20"/>
                <w:lang w:val="pt-BR"/>
              </w:rPr>
              <w:t xml:space="preserve"> Os clientes de Contrato School não estão qualificados para escolher produtos de aplicativo, sistema, Licença de Assinatura (usuário/dispositivo) e CAL para apenas uma parte dos PCs incluídos na assinatura</w:t>
            </w:r>
            <w:r w:rsidRPr="00734B50">
              <w:rPr>
                <w:rFonts w:cs="Tahoma"/>
                <w:color w:val="000000"/>
                <w:szCs w:val="18"/>
                <w:lang w:val="pt-BR"/>
              </w:rPr>
              <w:t>, salvo se explicitamente disposto nas Notas de Condições do Produto na Lista de Produtos</w:t>
            </w:r>
            <w:r w:rsidRPr="00734B50">
              <w:rPr>
                <w:rFonts w:cs="Tahoma"/>
                <w:color w:val="000000"/>
                <w:szCs w:val="20"/>
                <w:lang w:val="pt-BR"/>
              </w:rPr>
              <w:t>. Por exemplo, se</w:t>
            </w:r>
            <w:r w:rsidR="0028525A" w:rsidRPr="00734B50">
              <w:rPr>
                <w:rFonts w:cs="Tahoma"/>
                <w:color w:val="000000"/>
                <w:szCs w:val="20"/>
                <w:lang w:val="pt-BR"/>
              </w:rPr>
              <w:t> </w:t>
            </w:r>
            <w:r w:rsidRPr="00734B50">
              <w:rPr>
                <w:rFonts w:cs="Tahoma"/>
                <w:color w:val="000000"/>
                <w:szCs w:val="20"/>
                <w:lang w:val="pt-BR"/>
              </w:rPr>
              <w:t>a assinatura for para um total de 100 PCs, os produtos de aplicativo, sistema, Licença de Assinatura (usuário/dispositivo) e CAL selecionados serão para todos os</w:t>
            </w:r>
            <w:r w:rsidR="0028525A" w:rsidRPr="00734B50">
              <w:rPr>
                <w:rFonts w:cs="Tahoma"/>
                <w:color w:val="000000"/>
                <w:szCs w:val="20"/>
                <w:lang w:val="pt-BR"/>
              </w:rPr>
              <w:t> </w:t>
            </w:r>
            <w:r w:rsidRPr="00734B50">
              <w:rPr>
                <w:rFonts w:cs="Tahoma"/>
                <w:color w:val="000000"/>
                <w:szCs w:val="20"/>
                <w:lang w:val="pt-BR"/>
              </w:rPr>
              <w:t>100 PCs, ainda que apenas uma parte desses PCs venha a executar um produto</w:t>
            </w:r>
            <w:r w:rsidR="0028525A" w:rsidRPr="00734B50">
              <w:rPr>
                <w:rFonts w:cs="Tahoma"/>
                <w:color w:val="000000"/>
                <w:szCs w:val="20"/>
                <w:lang w:val="pt-BR"/>
              </w:rPr>
              <w:t> </w:t>
            </w:r>
            <w:r w:rsidRPr="00734B50">
              <w:rPr>
                <w:rFonts w:cs="Tahoma"/>
                <w:color w:val="000000"/>
                <w:szCs w:val="20"/>
                <w:lang w:val="pt-BR"/>
              </w:rPr>
              <w:t>específico.</w:t>
            </w:r>
          </w:p>
          <w:p w:rsidR="00230E01" w:rsidRPr="00734B50" w:rsidRDefault="00230E01" w:rsidP="00230E01">
            <w:pPr>
              <w:tabs>
                <w:tab w:val="left" w:pos="8640"/>
              </w:tabs>
              <w:ind w:right="720"/>
              <w:rPr>
                <w:rFonts w:cs="Tahoma"/>
                <w:color w:val="000000"/>
                <w:sz w:val="15"/>
                <w:szCs w:val="15"/>
                <w:lang w:val="pt-BR" w:eastAsia="ja-JP"/>
              </w:rPr>
            </w:pPr>
          </w:p>
        </w:tc>
      </w:tr>
      <w:tr w:rsidR="00456002" w:rsidRPr="00E04628" w:rsidTr="007C4AA7">
        <w:tc>
          <w:tcPr>
            <w:tcW w:w="2205" w:type="dxa"/>
            <w:shd w:val="clear" w:color="auto" w:fill="auto"/>
          </w:tcPr>
          <w:p w:rsidR="00456002" w:rsidRPr="00653421" w:rsidRDefault="00456002" w:rsidP="0028525A">
            <w:pPr>
              <w:pStyle w:val="AppendixBodyText"/>
              <w:spacing w:before="60"/>
              <w:ind w:right="720"/>
              <w:rPr>
                <w:rFonts w:ascii="Tahoma" w:hAnsi="Tahoma" w:cs="Tahoma"/>
                <w:b/>
                <w:color w:val="000000"/>
                <w:sz w:val="18"/>
                <w:szCs w:val="18"/>
                <w:lang w:eastAsia="ja-JP"/>
              </w:rPr>
            </w:pPr>
            <w:r w:rsidRPr="00653421">
              <w:rPr>
                <w:rFonts w:ascii="Tahoma" w:hAnsi="Tahoma" w:cs="Tahoma"/>
                <w:b/>
              </w:rPr>
              <w:t>Contrato Enterprise e</w:t>
            </w:r>
            <w:r w:rsidR="0028525A" w:rsidRPr="00653421">
              <w:rPr>
                <w:rFonts w:ascii="Tahoma" w:hAnsi="Tahoma" w:cs="Tahoma"/>
                <w:b/>
              </w:rPr>
              <w:t> </w:t>
            </w:r>
            <w:r w:rsidRPr="00653421">
              <w:rPr>
                <w:rFonts w:ascii="Tahoma" w:hAnsi="Tahoma" w:cs="Tahoma"/>
                <w:b/>
              </w:rPr>
              <w:t>Contrato Enterprise Subscription</w:t>
            </w:r>
          </w:p>
        </w:tc>
        <w:tc>
          <w:tcPr>
            <w:tcW w:w="7011" w:type="dxa"/>
            <w:shd w:val="clear" w:color="auto" w:fill="auto"/>
          </w:tcPr>
          <w:p w:rsidR="00456002" w:rsidRPr="00734B50" w:rsidRDefault="00456002" w:rsidP="00A70464">
            <w:pPr>
              <w:spacing w:before="60"/>
              <w:rPr>
                <w:lang w:val="pt-BR"/>
              </w:rPr>
            </w:pPr>
            <w:r w:rsidRPr="00734B50">
              <w:rPr>
                <w:lang w:val="pt-BR"/>
              </w:rPr>
              <w:t>Contrato Enterprise (EA) e Contrato Enterprise Subscription (ESA) exige um mínimo de 250 Dispositivos Qualificados/Desktops ou Usuários Qualificados.</w:t>
            </w:r>
          </w:p>
          <w:p w:rsidR="00456002" w:rsidRPr="00734B50" w:rsidRDefault="00456002" w:rsidP="00A70464">
            <w:pPr>
              <w:rPr>
                <w:sz w:val="15"/>
                <w:szCs w:val="15"/>
                <w:lang w:val="pt-BR"/>
              </w:rPr>
            </w:pPr>
          </w:p>
          <w:p w:rsidR="0091793D" w:rsidRPr="00734B50" w:rsidRDefault="0091793D" w:rsidP="004B6D8C">
            <w:pPr>
              <w:spacing w:after="60"/>
              <w:rPr>
                <w:lang w:val="pt-BR"/>
              </w:rPr>
            </w:pPr>
            <w:r w:rsidRPr="00734B50">
              <w:rPr>
                <w:b/>
                <w:lang w:val="pt-BR"/>
              </w:rPr>
              <w:t>Desktop Qualificado/Desktop</w:t>
            </w:r>
          </w:p>
          <w:p w:rsidR="0091793D" w:rsidRPr="00734B50" w:rsidRDefault="0091793D" w:rsidP="00003D41">
            <w:pPr>
              <w:rPr>
                <w:lang w:val="pt-BR"/>
              </w:rPr>
            </w:pPr>
            <w:bookmarkStart w:id="670" w:name="_Toc323159729"/>
            <w:bookmarkStart w:id="671" w:name="_Toc325313134"/>
            <w:bookmarkStart w:id="672" w:name="_Toc325609169"/>
            <w:r w:rsidRPr="00734B50">
              <w:rPr>
                <w:lang w:val="pt-BR"/>
              </w:rPr>
              <w:t xml:space="preserve">Apesar de qualquer disposição em contrário no Contrato de Licenciamento por Volume, os Dispositivos Qualificados/Desktops não incluem nenhum </w:t>
            </w:r>
            <w:r w:rsidRPr="00734B50">
              <w:rPr>
                <w:iCs/>
                <w:lang w:val="pt-BR"/>
              </w:rPr>
              <w:t>dispositivo de</w:t>
            </w:r>
            <w:r w:rsidR="0028525A" w:rsidRPr="00734B50">
              <w:rPr>
                <w:iCs/>
                <w:lang w:val="pt-BR"/>
              </w:rPr>
              <w:t> </w:t>
            </w:r>
            <w:r w:rsidRPr="00734B50">
              <w:rPr>
                <w:iCs/>
                <w:lang w:val="pt-BR"/>
              </w:rPr>
              <w:t>terceiros qualificado</w:t>
            </w:r>
            <w:r w:rsidRPr="00734B50">
              <w:rPr>
                <w:lang w:val="pt-BR"/>
              </w:rPr>
              <w:t xml:space="preserve"> a partir do qual seus usuários acessam e usam somente o</w:t>
            </w:r>
            <w:r w:rsidR="0028525A" w:rsidRPr="00734B50">
              <w:rPr>
                <w:lang w:val="pt-BR"/>
              </w:rPr>
              <w:t> </w:t>
            </w:r>
            <w:r w:rsidRPr="00734B50">
              <w:rPr>
                <w:lang w:val="pt-BR"/>
              </w:rPr>
              <w:t>software sob os Direitos de Uso de Roaming para o seguinte:</w:t>
            </w:r>
            <w:bookmarkEnd w:id="670"/>
            <w:bookmarkEnd w:id="671"/>
            <w:bookmarkEnd w:id="672"/>
          </w:p>
          <w:p w:rsidR="00456002" w:rsidRPr="00734B50" w:rsidRDefault="00456002" w:rsidP="00A70464">
            <w:pPr>
              <w:rPr>
                <w:sz w:val="15"/>
                <w:szCs w:val="15"/>
                <w:lang w:val="pt-BR"/>
              </w:rPr>
            </w:pPr>
          </w:p>
          <w:p w:rsidR="00406CB0" w:rsidRPr="00653421" w:rsidRDefault="00456002" w:rsidP="00003D41">
            <w:pPr>
              <w:numPr>
                <w:ilvl w:val="0"/>
                <w:numId w:val="82"/>
              </w:numPr>
              <w:spacing w:after="60"/>
            </w:pPr>
            <w:r w:rsidRPr="00653421">
              <w:t xml:space="preserve">Software Assurance do Windows, </w:t>
            </w:r>
          </w:p>
          <w:p w:rsidR="00456002" w:rsidRPr="00653421" w:rsidRDefault="00456002" w:rsidP="002C1048">
            <w:pPr>
              <w:numPr>
                <w:ilvl w:val="0"/>
                <w:numId w:val="82"/>
              </w:numPr>
              <w:spacing w:after="60"/>
            </w:pPr>
            <w:r w:rsidRPr="00653421">
              <w:t xml:space="preserve">Windows Virtual Desktop Access (VECD), </w:t>
            </w:r>
          </w:p>
          <w:p w:rsidR="00456002" w:rsidRPr="00734B50" w:rsidRDefault="00456002" w:rsidP="002C1048">
            <w:pPr>
              <w:numPr>
                <w:ilvl w:val="0"/>
                <w:numId w:val="82"/>
              </w:numPr>
              <w:spacing w:after="60"/>
              <w:rPr>
                <w:lang w:val="pt-BR"/>
              </w:rPr>
            </w:pPr>
            <w:r w:rsidRPr="00734B50">
              <w:rPr>
                <w:lang w:val="pt-BR"/>
              </w:rPr>
              <w:t xml:space="preserve">Pacotes do Virtual Desktop Infrastructure, </w:t>
            </w:r>
          </w:p>
          <w:p w:rsidR="00456002" w:rsidRPr="00653421" w:rsidRDefault="00456002" w:rsidP="002C1048">
            <w:pPr>
              <w:numPr>
                <w:ilvl w:val="0"/>
                <w:numId w:val="82"/>
              </w:numPr>
              <w:spacing w:after="60"/>
            </w:pPr>
            <w:r w:rsidRPr="00653421">
              <w:t xml:space="preserve">MDOP para Software Assurance e </w:t>
            </w:r>
          </w:p>
          <w:p w:rsidR="00456002" w:rsidRPr="00734B50" w:rsidRDefault="00456002" w:rsidP="002C1048">
            <w:pPr>
              <w:numPr>
                <w:ilvl w:val="0"/>
                <w:numId w:val="82"/>
              </w:numPr>
              <w:spacing w:after="60"/>
              <w:rPr>
                <w:lang w:val="pt-BR"/>
              </w:rPr>
            </w:pPr>
            <w:r w:rsidRPr="00734B50">
              <w:rPr>
                <w:lang w:val="pt-BR"/>
              </w:rPr>
              <w:t>Software Assurance para todas as edições do Office, Project e Visio que incluem os Direitos de Uso de Roaming.</w:t>
            </w:r>
            <w:r w:rsidR="00DD7735" w:rsidRPr="00734B50">
              <w:rPr>
                <w:lang w:val="pt-BR"/>
              </w:rPr>
              <w:t xml:space="preserve"> </w:t>
            </w:r>
          </w:p>
          <w:p w:rsidR="00456002" w:rsidRPr="00734B50" w:rsidRDefault="00456002" w:rsidP="00A70464">
            <w:pPr>
              <w:rPr>
                <w:sz w:val="15"/>
                <w:szCs w:val="15"/>
                <w:lang w:val="pt-BR"/>
              </w:rPr>
            </w:pPr>
          </w:p>
          <w:p w:rsidR="00456002" w:rsidRPr="00734B50" w:rsidRDefault="00456002" w:rsidP="00003D41">
            <w:pPr>
              <w:rPr>
                <w:lang w:val="pt-BR"/>
              </w:rPr>
            </w:pPr>
            <w:bookmarkStart w:id="673" w:name="_Toc323159730"/>
            <w:bookmarkStart w:id="674" w:name="_Toc325313135"/>
            <w:bookmarkStart w:id="675" w:name="_Toc325609170"/>
            <w:r w:rsidRPr="00734B50">
              <w:rPr>
                <w:lang w:val="pt-BR"/>
              </w:rPr>
              <w:t>“Dispositivo de terceiros qualificado” é um dispositivo não controlado, direta ou indiretamente, por você nem por suas afiliadas (por exemplo, um quiosque público de terceiros). Para obter mais informações sobre esse produto, consulte os Direitos de Uso de Produto.</w:t>
            </w:r>
            <w:bookmarkEnd w:id="673"/>
            <w:bookmarkEnd w:id="674"/>
            <w:bookmarkEnd w:id="675"/>
          </w:p>
          <w:p w:rsidR="00456002" w:rsidRPr="00734B50" w:rsidRDefault="00456002" w:rsidP="00465D54">
            <w:pPr>
              <w:rPr>
                <w:sz w:val="16"/>
                <w:szCs w:val="16"/>
                <w:lang w:val="pt-BR"/>
              </w:rPr>
            </w:pPr>
          </w:p>
          <w:p w:rsidR="0091793D" w:rsidRPr="00734B50" w:rsidRDefault="0091793D" w:rsidP="004B6D8C">
            <w:pPr>
              <w:spacing w:after="60"/>
              <w:rPr>
                <w:lang w:val="pt-BR"/>
              </w:rPr>
            </w:pPr>
            <w:r w:rsidRPr="00734B50">
              <w:rPr>
                <w:b/>
                <w:lang w:val="pt-BR"/>
              </w:rPr>
              <w:t xml:space="preserve">Isenções de Usuários Qualificados </w:t>
            </w:r>
          </w:p>
          <w:p w:rsidR="00456002" w:rsidRPr="00734B50" w:rsidRDefault="00456002" w:rsidP="007C4AA7">
            <w:pPr>
              <w:pStyle w:val="AppendixBodyText"/>
              <w:ind w:right="288"/>
              <w:rPr>
                <w:lang w:val="pt-BR"/>
              </w:rPr>
            </w:pPr>
            <w:r w:rsidRPr="00734B50">
              <w:rPr>
                <w:rFonts w:ascii="Tahoma" w:hAnsi="Tahoma" w:cs="Tahoma"/>
                <w:sz w:val="18"/>
                <w:lang w:val="pt-BR"/>
              </w:rPr>
              <w:t>Uma pessoa que acesse software de servidor ou serviços online exclusivamente sob as licenças identificadas na lista a seguir está isenta de ser contada como um Usuário Qualificado:</w:t>
            </w:r>
          </w:p>
          <w:p w:rsidR="00456002" w:rsidRPr="00734B50" w:rsidRDefault="00456002" w:rsidP="00465D54">
            <w:pPr>
              <w:rPr>
                <w:sz w:val="16"/>
                <w:szCs w:val="16"/>
                <w:lang w:val="pt-BR"/>
              </w:rPr>
            </w:pPr>
          </w:p>
          <w:p w:rsidR="00456002" w:rsidRPr="00734B50" w:rsidRDefault="00456002" w:rsidP="004B6D8C">
            <w:pPr>
              <w:numPr>
                <w:ilvl w:val="0"/>
                <w:numId w:val="82"/>
              </w:numPr>
              <w:spacing w:after="60"/>
              <w:rPr>
                <w:lang w:val="pt-BR"/>
              </w:rPr>
            </w:pPr>
            <w:r w:rsidRPr="00734B50">
              <w:rPr>
                <w:lang w:val="pt-BR"/>
              </w:rPr>
              <w:t>Licença de Assinatura do Usuário do Office 365 Enterprise K1 ou K2 (USL)</w:t>
            </w:r>
          </w:p>
          <w:p w:rsidR="00456002" w:rsidRPr="00734B50" w:rsidRDefault="00456002" w:rsidP="004B6D8C">
            <w:pPr>
              <w:numPr>
                <w:ilvl w:val="0"/>
                <w:numId w:val="82"/>
              </w:numPr>
              <w:spacing w:after="60"/>
              <w:rPr>
                <w:lang w:val="pt-BR"/>
              </w:rPr>
            </w:pPr>
            <w:r w:rsidRPr="00734B50">
              <w:rPr>
                <w:lang w:val="pt-BR"/>
              </w:rPr>
              <w:t>USL do Quiosque do SharePoint Online</w:t>
            </w:r>
          </w:p>
          <w:p w:rsidR="00456002" w:rsidRPr="00734B50" w:rsidRDefault="00456002" w:rsidP="004B6D8C">
            <w:pPr>
              <w:numPr>
                <w:ilvl w:val="0"/>
                <w:numId w:val="82"/>
              </w:numPr>
              <w:spacing w:after="60"/>
              <w:rPr>
                <w:lang w:val="pt-BR"/>
              </w:rPr>
            </w:pPr>
            <w:r w:rsidRPr="00734B50">
              <w:rPr>
                <w:lang w:val="pt-BR"/>
              </w:rPr>
              <w:t>USL do Quiosque do Exchange Online</w:t>
            </w:r>
          </w:p>
          <w:p w:rsidR="00456002" w:rsidRPr="00734B50" w:rsidRDefault="00456002" w:rsidP="004B6D8C">
            <w:pPr>
              <w:numPr>
                <w:ilvl w:val="0"/>
                <w:numId w:val="82"/>
              </w:numPr>
              <w:spacing w:after="60"/>
              <w:rPr>
                <w:lang w:val="pt-BR"/>
              </w:rPr>
            </w:pPr>
            <w:r w:rsidRPr="00734B50">
              <w:rPr>
                <w:lang w:val="pt-BR"/>
              </w:rPr>
              <w:t>Licenças para produtos de software de servidor ou serviços online que não</w:t>
            </w:r>
            <w:r w:rsidR="0028525A" w:rsidRPr="00734B50">
              <w:rPr>
                <w:lang w:val="pt-BR"/>
              </w:rPr>
              <w:t> </w:t>
            </w:r>
            <w:r w:rsidRPr="00734B50">
              <w:rPr>
                <w:lang w:val="pt-BR"/>
              </w:rPr>
              <w:t>requeiram licenças individuais para os usuários ou dispositivos que acessem esses produtos ou serviços online (como Licenças de Acesso para</w:t>
            </w:r>
            <w:r w:rsidR="0028525A" w:rsidRPr="00734B50">
              <w:rPr>
                <w:lang w:val="pt-BR"/>
              </w:rPr>
              <w:t> </w:t>
            </w:r>
            <w:r w:rsidRPr="00734B50">
              <w:rPr>
                <w:lang w:val="pt-BR"/>
              </w:rPr>
              <w:t>Cliente, Licenças de Gerenciamento de Cliente, USLs e DSLs)</w:t>
            </w:r>
          </w:p>
          <w:p w:rsidR="00456002" w:rsidRPr="00653421" w:rsidRDefault="00456002" w:rsidP="004B6D8C">
            <w:pPr>
              <w:numPr>
                <w:ilvl w:val="0"/>
                <w:numId w:val="82"/>
              </w:numPr>
              <w:spacing w:after="60"/>
            </w:pPr>
            <w:r w:rsidRPr="00653421">
              <w:t>Qualquer External Connector License</w:t>
            </w:r>
          </w:p>
          <w:p w:rsidR="00456002" w:rsidRPr="00653421" w:rsidRDefault="00456002" w:rsidP="00465D54">
            <w:pPr>
              <w:rPr>
                <w:sz w:val="16"/>
                <w:szCs w:val="16"/>
              </w:rPr>
            </w:pPr>
          </w:p>
          <w:p w:rsidR="00456002" w:rsidRPr="00734B50" w:rsidRDefault="00456002" w:rsidP="0028525A">
            <w:pPr>
              <w:pStyle w:val="AppendixBodyText"/>
              <w:spacing w:after="0"/>
              <w:ind w:right="108"/>
              <w:rPr>
                <w:lang w:val="pt-BR"/>
              </w:rPr>
            </w:pPr>
            <w:r w:rsidRPr="00734B50">
              <w:rPr>
                <w:rFonts w:ascii="Tahoma" w:hAnsi="Tahoma" w:cs="Tahoma"/>
                <w:sz w:val="18"/>
                <w:lang w:val="pt-BR"/>
              </w:rPr>
              <w:t>Essas isenções de Usuários Qualificados aplicam-se a todos os clientes de EA</w:t>
            </w:r>
            <w:r w:rsidR="00CE0D75" w:rsidRPr="00734B50">
              <w:rPr>
                <w:rFonts w:ascii="Tahoma" w:hAnsi="Tahoma" w:cs="Tahoma"/>
                <w:sz w:val="18"/>
                <w:lang w:val="pt-BR"/>
              </w:rPr>
              <w:t> </w:t>
            </w:r>
            <w:r w:rsidRPr="00734B50">
              <w:rPr>
                <w:rFonts w:ascii="Tahoma" w:hAnsi="Tahoma" w:cs="Tahoma"/>
                <w:sz w:val="18"/>
                <w:lang w:val="pt-BR"/>
              </w:rPr>
              <w:t>e</w:t>
            </w:r>
            <w:r w:rsidR="00CE0D75" w:rsidRPr="00734B50">
              <w:rPr>
                <w:rFonts w:ascii="Tahoma" w:hAnsi="Tahoma" w:cs="Tahoma"/>
                <w:sz w:val="18"/>
                <w:lang w:val="pt-BR"/>
              </w:rPr>
              <w:t> </w:t>
            </w:r>
            <w:r w:rsidRPr="00734B50">
              <w:rPr>
                <w:rFonts w:ascii="Tahoma" w:hAnsi="Tahoma" w:cs="Tahoma"/>
                <w:sz w:val="18"/>
                <w:lang w:val="pt-BR"/>
              </w:rPr>
              <w:t>ESA, sem levar em conta se isenções de Usuários Qualificados estão contempladas especificamente nos termos e condições dos contratos dos clientes.</w:t>
            </w:r>
          </w:p>
          <w:p w:rsidR="00230E01" w:rsidRPr="00734B50" w:rsidRDefault="00230E01" w:rsidP="00230E01">
            <w:pPr>
              <w:pStyle w:val="AppendixBodyText"/>
              <w:spacing w:after="0"/>
              <w:ind w:right="720"/>
              <w:rPr>
                <w:rFonts w:ascii="Tahoma" w:hAnsi="Tahoma" w:cs="Tahoma"/>
                <w:sz w:val="18"/>
                <w:lang w:val="pt-BR" w:eastAsia="ja-JP"/>
              </w:rPr>
            </w:pPr>
          </w:p>
        </w:tc>
      </w:tr>
      <w:tr w:rsidR="007C4AA7" w:rsidRPr="00653421" w:rsidTr="007C4AA7">
        <w:tc>
          <w:tcPr>
            <w:tcW w:w="2205" w:type="dxa"/>
            <w:tcBorders>
              <w:bottom w:val="single" w:sz="4" w:space="0" w:color="000000"/>
            </w:tcBorders>
            <w:shd w:val="clear" w:color="auto" w:fill="FABF8F"/>
          </w:tcPr>
          <w:p w:rsidR="007C4AA7" w:rsidRPr="00653421" w:rsidRDefault="007C4AA7" w:rsidP="00AC2872">
            <w:pPr>
              <w:pStyle w:val="AppendixBodyText"/>
              <w:ind w:right="720"/>
              <w:jc w:val="center"/>
              <w:rPr>
                <w:rFonts w:ascii="Tahoma" w:hAnsi="Tahoma" w:cs="Tahoma"/>
                <w:b/>
                <w:color w:val="000000"/>
                <w:sz w:val="22"/>
                <w:szCs w:val="18"/>
                <w:lang w:eastAsia="ja-JP"/>
              </w:rPr>
            </w:pPr>
            <w:r w:rsidRPr="00653421">
              <w:rPr>
                <w:rFonts w:ascii="Tahoma" w:hAnsi="Tahoma" w:cs="Tahoma"/>
                <w:b/>
                <w:color w:val="000000"/>
                <w:sz w:val="22"/>
                <w:szCs w:val="18"/>
              </w:rPr>
              <w:lastRenderedPageBreak/>
              <w:t>Programas</w:t>
            </w:r>
          </w:p>
        </w:tc>
        <w:tc>
          <w:tcPr>
            <w:tcW w:w="7011" w:type="dxa"/>
            <w:tcBorders>
              <w:bottom w:val="single" w:sz="4" w:space="0" w:color="000000"/>
            </w:tcBorders>
            <w:shd w:val="clear" w:color="auto" w:fill="FABF8F"/>
          </w:tcPr>
          <w:p w:rsidR="007C4AA7" w:rsidRPr="00653421" w:rsidRDefault="007C4AA7" w:rsidP="00AC2872">
            <w:pPr>
              <w:pStyle w:val="AppendixBodyText"/>
              <w:ind w:right="720"/>
              <w:jc w:val="center"/>
              <w:rPr>
                <w:rFonts w:ascii="Tahoma" w:hAnsi="Tahoma" w:cs="Tahoma"/>
                <w:b/>
                <w:color w:val="000000"/>
                <w:sz w:val="22"/>
                <w:szCs w:val="18"/>
                <w:lang w:eastAsia="ja-JP"/>
              </w:rPr>
            </w:pPr>
            <w:r w:rsidRPr="00653421">
              <w:rPr>
                <w:rFonts w:ascii="Tahoma" w:hAnsi="Tahoma" w:cs="Tahoma"/>
                <w:b/>
                <w:color w:val="000000"/>
                <w:sz w:val="22"/>
                <w:szCs w:val="18"/>
              </w:rPr>
              <w:t>Requisitos Mínimos de Pedidos</w:t>
            </w:r>
          </w:p>
        </w:tc>
      </w:tr>
      <w:tr w:rsidR="00456002" w:rsidRPr="00E04628" w:rsidTr="007C4AA7">
        <w:tc>
          <w:tcPr>
            <w:tcW w:w="2205" w:type="dxa"/>
            <w:shd w:val="clear" w:color="auto" w:fill="auto"/>
          </w:tcPr>
          <w:p w:rsidR="00456002" w:rsidRPr="00653421" w:rsidRDefault="00456002" w:rsidP="00A70464">
            <w:pPr>
              <w:pStyle w:val="AppendixBodyText"/>
              <w:spacing w:before="60"/>
              <w:ind w:right="720"/>
              <w:rPr>
                <w:rFonts w:ascii="Tahoma" w:hAnsi="Tahoma" w:cs="Tahoma"/>
                <w:b/>
                <w:lang w:eastAsia="ja-JP"/>
              </w:rPr>
            </w:pPr>
            <w:r w:rsidRPr="00653421">
              <w:rPr>
                <w:rFonts w:ascii="Tahoma" w:hAnsi="Tahoma" w:cs="Tahoma"/>
                <w:b/>
                <w:color w:val="000000"/>
                <w:szCs w:val="18"/>
              </w:rPr>
              <w:t>EES</w:t>
            </w:r>
          </w:p>
        </w:tc>
        <w:tc>
          <w:tcPr>
            <w:tcW w:w="7011" w:type="dxa"/>
            <w:shd w:val="clear" w:color="auto" w:fill="auto"/>
          </w:tcPr>
          <w:p w:rsidR="00456002" w:rsidRPr="00734B50" w:rsidRDefault="00456002" w:rsidP="00A70464">
            <w:pPr>
              <w:pStyle w:val="ListParagraph"/>
              <w:spacing w:before="60"/>
              <w:ind w:left="0"/>
              <w:contextualSpacing w:val="0"/>
              <w:rPr>
                <w:lang w:val="pt-BR"/>
              </w:rPr>
            </w:pPr>
            <w:r w:rsidRPr="00734B50">
              <w:rPr>
                <w:rFonts w:ascii="Tahoma" w:hAnsi="Tahoma" w:cs="Tahoma"/>
                <w:sz w:val="18"/>
                <w:szCs w:val="18"/>
                <w:lang w:val="pt-BR"/>
              </w:rPr>
              <w:t>O EES requer um pedido mínimo conforme especificado a seguir:</w:t>
            </w:r>
            <w:r w:rsidR="00DD7735" w:rsidRPr="00734B50">
              <w:rPr>
                <w:rFonts w:ascii="Tahoma" w:hAnsi="Tahoma" w:cs="Tahoma"/>
                <w:sz w:val="18"/>
                <w:szCs w:val="18"/>
                <w:lang w:val="pt-BR"/>
              </w:rPr>
              <w:t xml:space="preserve"> </w:t>
            </w:r>
          </w:p>
          <w:p w:rsidR="00406CB0" w:rsidRPr="00734B50" w:rsidRDefault="00406CB0" w:rsidP="00A70464">
            <w:pPr>
              <w:pStyle w:val="ListParagraph"/>
              <w:ind w:left="0"/>
              <w:contextualSpacing w:val="0"/>
              <w:rPr>
                <w:rFonts w:ascii="Tahoma" w:hAnsi="Tahoma" w:cs="Tahoma"/>
                <w:sz w:val="16"/>
                <w:szCs w:val="16"/>
                <w:lang w:val="pt-BR"/>
              </w:rPr>
            </w:pPr>
          </w:p>
          <w:p w:rsidR="00456002" w:rsidRPr="00734B50" w:rsidRDefault="00456002" w:rsidP="004B6D8C">
            <w:pPr>
              <w:numPr>
                <w:ilvl w:val="0"/>
                <w:numId w:val="82"/>
              </w:numPr>
              <w:spacing w:after="60"/>
              <w:rPr>
                <w:lang w:val="pt-BR"/>
              </w:rPr>
            </w:pPr>
            <w:r w:rsidRPr="00734B50">
              <w:rPr>
                <w:lang w:val="pt-BR"/>
              </w:rPr>
              <w:t>pelo menos um Produto da Plataforma Desktop para a Contagem de toda a</w:t>
            </w:r>
            <w:r w:rsidR="00CE0D75" w:rsidRPr="00734B50">
              <w:rPr>
                <w:lang w:val="pt-BR"/>
              </w:rPr>
              <w:t> </w:t>
            </w:r>
            <w:r w:rsidRPr="00734B50">
              <w:rPr>
                <w:lang w:val="pt-BR"/>
              </w:rPr>
              <w:t>Organização de, pelo menos, 1.000 OU</w:t>
            </w:r>
          </w:p>
          <w:p w:rsidR="00456002" w:rsidRPr="00734B50" w:rsidRDefault="00456002" w:rsidP="004B6D8C">
            <w:pPr>
              <w:numPr>
                <w:ilvl w:val="0"/>
                <w:numId w:val="82"/>
              </w:numPr>
              <w:spacing w:after="60"/>
              <w:rPr>
                <w:lang w:val="pt-BR"/>
              </w:rPr>
            </w:pPr>
            <w:r w:rsidRPr="00734B50">
              <w:rPr>
                <w:lang w:val="pt-BR"/>
              </w:rPr>
              <w:t>pelo menos um Serviço Online da Plataforma para o Corpo Docente/Funcionários na quantidade de 1.000 OU</w:t>
            </w:r>
          </w:p>
          <w:p w:rsidR="00456002" w:rsidRPr="00734B50" w:rsidRDefault="00456002" w:rsidP="004B6D8C">
            <w:pPr>
              <w:numPr>
                <w:ilvl w:val="0"/>
                <w:numId w:val="82"/>
              </w:numPr>
              <w:spacing w:after="60"/>
              <w:rPr>
                <w:lang w:val="pt-BR"/>
              </w:rPr>
            </w:pPr>
            <w:r w:rsidRPr="00734B50">
              <w:rPr>
                <w:lang w:val="pt-BR"/>
              </w:rPr>
              <w:t>pelo menos um Produto da Plataforma Desktop para a Contagem de</w:t>
            </w:r>
            <w:r w:rsidR="007C4AA7" w:rsidRPr="00734B50">
              <w:rPr>
                <w:lang w:val="pt-BR"/>
              </w:rPr>
              <w:t> </w:t>
            </w:r>
            <w:r w:rsidRPr="00734B50">
              <w:rPr>
                <w:lang w:val="pt-BR"/>
              </w:rPr>
              <w:t>Estudantes de, pelo menos, 1.000 OU</w:t>
            </w:r>
          </w:p>
          <w:p w:rsidR="00456002" w:rsidRPr="00734B50" w:rsidRDefault="00456002" w:rsidP="004B6D8C">
            <w:pPr>
              <w:numPr>
                <w:ilvl w:val="0"/>
                <w:numId w:val="82"/>
              </w:numPr>
              <w:spacing w:after="60"/>
              <w:rPr>
                <w:lang w:val="pt-BR"/>
              </w:rPr>
            </w:pPr>
            <w:r w:rsidRPr="00734B50">
              <w:rPr>
                <w:lang w:val="pt-BR"/>
              </w:rPr>
              <w:t xml:space="preserve">pelo menos um Serviço Online da Plataforma para Estudantes na quantidade de 1.000 </w:t>
            </w:r>
          </w:p>
          <w:p w:rsidR="00456002" w:rsidRPr="00734B50" w:rsidRDefault="00456002" w:rsidP="00A70464">
            <w:pPr>
              <w:rPr>
                <w:sz w:val="16"/>
                <w:szCs w:val="16"/>
                <w:lang w:val="pt-BR"/>
              </w:rPr>
            </w:pPr>
          </w:p>
          <w:p w:rsidR="00A9013C" w:rsidRPr="00734B50" w:rsidRDefault="00456002" w:rsidP="005C647E">
            <w:pPr>
              <w:rPr>
                <w:lang w:val="pt-BR"/>
              </w:rPr>
            </w:pPr>
            <w:r w:rsidRPr="00734B50">
              <w:rPr>
                <w:rFonts w:cs="Tahoma"/>
                <w:b/>
                <w:color w:val="000000"/>
                <w:szCs w:val="18"/>
                <w:lang w:val="pt-BR"/>
              </w:rPr>
              <w:t>Observação:</w:t>
            </w:r>
            <w:r w:rsidRPr="00734B50">
              <w:rPr>
                <w:rFonts w:cs="Tahoma"/>
                <w:color w:val="000000"/>
                <w:szCs w:val="18"/>
                <w:lang w:val="pt-BR"/>
              </w:rPr>
              <w:t xml:space="preserve"> Esse requisito de quantidade no pedido poderá ser dispensado caso</w:t>
            </w:r>
            <w:r w:rsidR="007C4AA7" w:rsidRPr="00734B50">
              <w:rPr>
                <w:rFonts w:cs="Tahoma"/>
                <w:color w:val="000000"/>
                <w:szCs w:val="18"/>
                <w:lang w:val="pt-BR"/>
              </w:rPr>
              <w:t> </w:t>
            </w:r>
            <w:r w:rsidRPr="00734B50">
              <w:rPr>
                <w:rFonts w:cs="Tahoma"/>
                <w:color w:val="000000"/>
                <w:szCs w:val="18"/>
                <w:lang w:val="pt-BR"/>
              </w:rPr>
              <w:t>seja fornecido um registro qualificado.</w:t>
            </w:r>
          </w:p>
          <w:p w:rsidR="00406CB0" w:rsidRPr="00734B50" w:rsidRDefault="00406CB0" w:rsidP="005C647E">
            <w:pPr>
              <w:rPr>
                <w:sz w:val="16"/>
                <w:szCs w:val="16"/>
                <w:lang w:val="pt-BR"/>
              </w:rPr>
            </w:pPr>
          </w:p>
          <w:p w:rsidR="00822871" w:rsidRPr="00734B50" w:rsidRDefault="00A9013C" w:rsidP="00230E01">
            <w:pPr>
              <w:rPr>
                <w:lang w:val="pt-BR"/>
              </w:rPr>
            </w:pPr>
            <w:r w:rsidRPr="00734B50">
              <w:rPr>
                <w:rFonts w:cs="Tahoma"/>
                <w:b/>
                <w:color w:val="000000"/>
                <w:szCs w:val="18"/>
                <w:lang w:val="pt-BR"/>
              </w:rPr>
              <w:t xml:space="preserve">Observação: </w:t>
            </w:r>
            <w:r w:rsidRPr="00734B50">
              <w:rPr>
                <w:rFonts w:cs="Tahoma"/>
                <w:color w:val="000000"/>
                <w:szCs w:val="18"/>
                <w:lang w:val="pt-BR"/>
              </w:rPr>
              <w:t>As CALs (Licenças de acesso para cliente) compradas em razão do Enrollment for Education Solutions (EES) que podem ser licenciadas não para toda a</w:t>
            </w:r>
            <w:r w:rsidR="007C4AA7" w:rsidRPr="00734B50">
              <w:rPr>
                <w:rFonts w:cs="Tahoma"/>
                <w:color w:val="000000"/>
                <w:szCs w:val="18"/>
                <w:lang w:val="pt-BR"/>
              </w:rPr>
              <w:t> </w:t>
            </w:r>
            <w:r w:rsidRPr="00734B50">
              <w:rPr>
                <w:rFonts w:cs="Tahoma"/>
                <w:color w:val="000000"/>
                <w:szCs w:val="18"/>
                <w:lang w:val="pt-BR"/>
              </w:rPr>
              <w:t>organização podem ser designadas e usadas como CALs de dispositivo ou CALs de</w:t>
            </w:r>
            <w:r w:rsidR="007C4AA7" w:rsidRPr="00734B50">
              <w:rPr>
                <w:rFonts w:cs="Tahoma"/>
                <w:color w:val="000000"/>
                <w:szCs w:val="18"/>
                <w:lang w:val="pt-BR"/>
              </w:rPr>
              <w:t> </w:t>
            </w:r>
            <w:r w:rsidRPr="00734B50">
              <w:rPr>
                <w:rFonts w:cs="Tahoma"/>
                <w:color w:val="000000"/>
                <w:szCs w:val="18"/>
                <w:lang w:val="pt-BR"/>
              </w:rPr>
              <w:t>usuário, a critério da Instituição.</w:t>
            </w:r>
            <w:r w:rsidR="00DD7735" w:rsidRPr="00734B50">
              <w:rPr>
                <w:rFonts w:cs="Tahoma"/>
                <w:color w:val="000000"/>
                <w:szCs w:val="18"/>
                <w:lang w:val="pt-BR"/>
              </w:rPr>
              <w:t xml:space="preserve"> </w:t>
            </w:r>
            <w:r w:rsidRPr="00734B50">
              <w:rPr>
                <w:rFonts w:cs="Tahoma"/>
                <w:color w:val="000000"/>
                <w:szCs w:val="18"/>
                <w:lang w:val="pt-BR"/>
              </w:rPr>
              <w:t>As CALs de usuário não podem ser reatribuídas como CALs de dispositivo, e CALs de dispositivo não podem ser reatribuídas como CALs de usuário, exceto como pode ser visto a seguir.</w:t>
            </w:r>
            <w:r w:rsidR="00DD7735" w:rsidRPr="00734B50">
              <w:rPr>
                <w:rFonts w:cs="Tahoma"/>
                <w:color w:val="000000"/>
                <w:szCs w:val="18"/>
                <w:lang w:val="pt-BR"/>
              </w:rPr>
              <w:t xml:space="preserve"> </w:t>
            </w:r>
            <w:r w:rsidRPr="00734B50">
              <w:rPr>
                <w:rFonts w:cs="Tahoma"/>
                <w:color w:val="000000"/>
                <w:szCs w:val="18"/>
                <w:lang w:val="pt-BR"/>
              </w:rPr>
              <w:t>Qualquer CAL solicitada não para toda a empresa pode ser reatribuída e usada como uma CAL de dispositivo ou</w:t>
            </w:r>
            <w:r w:rsidR="00CE0D75" w:rsidRPr="00734B50">
              <w:rPr>
                <w:rFonts w:cs="Tahoma"/>
                <w:color w:val="000000"/>
                <w:szCs w:val="18"/>
                <w:lang w:val="pt-BR"/>
              </w:rPr>
              <w:t> </w:t>
            </w:r>
            <w:r w:rsidRPr="00734B50">
              <w:rPr>
                <w:rFonts w:cs="Tahoma"/>
                <w:color w:val="000000"/>
                <w:szCs w:val="18"/>
                <w:lang w:val="pt-BR"/>
              </w:rPr>
              <w:t>usuário mediante a renovação da assinatura por meio de um novo Contrato.</w:t>
            </w:r>
          </w:p>
          <w:p w:rsidR="00230E01" w:rsidRPr="00734B50" w:rsidRDefault="00230E01" w:rsidP="00230E01">
            <w:pPr>
              <w:rPr>
                <w:rFonts w:cs="Tahoma"/>
                <w:color w:val="000000"/>
                <w:sz w:val="16"/>
                <w:szCs w:val="16"/>
                <w:lang w:val="pt-BR"/>
              </w:rPr>
            </w:pPr>
          </w:p>
        </w:tc>
      </w:tr>
    </w:tbl>
    <w:p w:rsidR="00366502" w:rsidRPr="00734B50" w:rsidRDefault="00366502" w:rsidP="00456002">
      <w:pPr>
        <w:pStyle w:val="Heading3"/>
        <w:ind w:right="720"/>
        <w:rPr>
          <w:rFonts w:ascii="Tahoma" w:hAnsi="Tahoma" w:cs="Tahoma"/>
          <w:b w:val="0"/>
          <w:sz w:val="18"/>
          <w:szCs w:val="18"/>
          <w:lang w:val="pt-BR"/>
        </w:rPr>
      </w:pPr>
      <w:bookmarkStart w:id="676" w:name="_Toc323159731"/>
      <w:bookmarkStart w:id="677" w:name="_Toc325609171"/>
      <w:bookmarkStart w:id="678" w:name="_Toc336338192"/>
    </w:p>
    <w:p w:rsidR="00456002" w:rsidRPr="00653421" w:rsidRDefault="00456002" w:rsidP="00456002">
      <w:pPr>
        <w:pStyle w:val="Heading3"/>
        <w:ind w:right="720"/>
      </w:pPr>
      <w:bookmarkStart w:id="679" w:name="_Toc353470840"/>
      <w:r w:rsidRPr="00653421">
        <w:rPr>
          <w:rFonts w:ascii="Tahoma" w:hAnsi="Tahoma" w:cs="Tahoma"/>
          <w:sz w:val="24"/>
          <w:szCs w:val="22"/>
        </w:rPr>
        <w:t>Plataformas</w:t>
      </w:r>
      <w:bookmarkEnd w:id="676"/>
      <w:bookmarkEnd w:id="677"/>
      <w:bookmarkEnd w:id="678"/>
      <w:bookmarkEnd w:id="679"/>
    </w:p>
    <w:p w:rsidR="00456002" w:rsidRPr="00653421"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7038"/>
      </w:tblGrid>
      <w:tr w:rsidR="00456002" w:rsidRPr="00653421" w:rsidTr="007C4AA7">
        <w:tc>
          <w:tcPr>
            <w:tcW w:w="2160" w:type="dxa"/>
            <w:shd w:val="clear" w:color="auto" w:fill="FABF8F"/>
          </w:tcPr>
          <w:p w:rsidR="00456002" w:rsidRPr="00653421" w:rsidRDefault="00456002" w:rsidP="00E64551">
            <w:pPr>
              <w:rPr>
                <w:b/>
                <w:sz w:val="22"/>
                <w:lang w:eastAsia="ja-JP"/>
              </w:rPr>
            </w:pPr>
            <w:r w:rsidRPr="00653421">
              <w:rPr>
                <w:b/>
                <w:sz w:val="22"/>
              </w:rPr>
              <w:t>Programas</w:t>
            </w:r>
          </w:p>
        </w:tc>
        <w:tc>
          <w:tcPr>
            <w:tcW w:w="7038" w:type="dxa"/>
            <w:shd w:val="clear" w:color="auto" w:fill="FABF8F"/>
          </w:tcPr>
          <w:p w:rsidR="00456002" w:rsidRPr="00653421" w:rsidRDefault="00456002" w:rsidP="005C647E">
            <w:pPr>
              <w:jc w:val="center"/>
              <w:rPr>
                <w:b/>
                <w:sz w:val="22"/>
                <w:lang w:eastAsia="ja-JP"/>
              </w:rPr>
            </w:pPr>
            <w:r w:rsidRPr="00653421">
              <w:rPr>
                <w:b/>
                <w:sz w:val="22"/>
              </w:rPr>
              <w:t>Plataformas</w:t>
            </w:r>
          </w:p>
        </w:tc>
      </w:tr>
      <w:tr w:rsidR="00456002" w:rsidRPr="00E04628" w:rsidTr="007C4AA7">
        <w:tc>
          <w:tcPr>
            <w:tcW w:w="2160" w:type="dxa"/>
            <w:shd w:val="clear" w:color="auto" w:fill="auto"/>
          </w:tcPr>
          <w:p w:rsidR="00456002" w:rsidRPr="00653421" w:rsidRDefault="00DD367D" w:rsidP="00CE0D75">
            <w:pPr>
              <w:spacing w:before="60"/>
              <w:rPr>
                <w:b/>
                <w:lang w:eastAsia="ja-JP"/>
              </w:rPr>
            </w:pPr>
            <w:r w:rsidRPr="00653421">
              <w:rPr>
                <w:rFonts w:cs="Tahoma"/>
                <w:b/>
              </w:rPr>
              <w:t>Contrato Enterprise e</w:t>
            </w:r>
            <w:r w:rsidR="00CE0D75" w:rsidRPr="00653421">
              <w:rPr>
                <w:rFonts w:cs="Tahoma"/>
                <w:b/>
              </w:rPr>
              <w:t> </w:t>
            </w:r>
            <w:r w:rsidRPr="00653421">
              <w:rPr>
                <w:rFonts w:cs="Tahoma"/>
                <w:b/>
              </w:rPr>
              <w:t>Contrato Enterprise Subscription</w:t>
            </w:r>
          </w:p>
        </w:tc>
        <w:tc>
          <w:tcPr>
            <w:tcW w:w="7038" w:type="dxa"/>
            <w:shd w:val="clear" w:color="auto" w:fill="auto"/>
          </w:tcPr>
          <w:p w:rsidR="00456002" w:rsidRPr="00734B50" w:rsidRDefault="00456002" w:rsidP="00A51838">
            <w:pPr>
              <w:pStyle w:val="ListParagraph"/>
              <w:numPr>
                <w:ilvl w:val="0"/>
                <w:numId w:val="150"/>
              </w:numPr>
              <w:spacing w:before="60" w:after="60"/>
              <w:ind w:left="245"/>
              <w:rPr>
                <w:lang w:val="pt-BR"/>
              </w:rPr>
            </w:pPr>
            <w:r w:rsidRPr="00734B50">
              <w:rPr>
                <w:rFonts w:ascii="Tahoma" w:hAnsi="Tahoma" w:cs="Tahoma"/>
                <w:b/>
                <w:sz w:val="18"/>
                <w:lang w:val="pt-BR"/>
              </w:rPr>
              <w:t>Produtos da Plataforma de Desktop Empresarial</w:t>
            </w:r>
          </w:p>
          <w:p w:rsidR="00456002" w:rsidRPr="00734B50" w:rsidRDefault="00456002" w:rsidP="00CE0D75">
            <w:pPr>
              <w:ind w:right="-90"/>
              <w:rPr>
                <w:lang w:val="pt-BR"/>
              </w:rPr>
            </w:pPr>
            <w:r w:rsidRPr="00734B50">
              <w:rPr>
                <w:rFonts w:cs="Tahoma"/>
                <w:color w:val="000000"/>
                <w:szCs w:val="18"/>
                <w:lang w:val="pt-BR"/>
              </w:rPr>
              <w:t>Os produtos da plataforma Enterprise Desktop estão disponíveis para os clientes do Contrato Enterprise. A Plataforma de Desktop Enterprise inclui a versão mais atual do</w:t>
            </w:r>
            <w:r w:rsidR="00CE0D75" w:rsidRPr="00734B50">
              <w:rPr>
                <w:rFonts w:cs="Tahoma"/>
                <w:color w:val="000000"/>
                <w:szCs w:val="18"/>
                <w:lang w:val="pt-BR"/>
              </w:rPr>
              <w:t xml:space="preserve"> </w:t>
            </w:r>
            <w:r w:rsidRPr="00734B50">
              <w:rPr>
                <w:rFonts w:cs="Tahoma"/>
                <w:color w:val="000000"/>
                <w:szCs w:val="18"/>
                <w:lang w:val="pt-BR"/>
              </w:rPr>
              <w:t xml:space="preserve">Office </w:t>
            </w:r>
            <w:r w:rsidRPr="00734B50">
              <w:rPr>
                <w:rFonts w:cs="Tahoma"/>
                <w:szCs w:val="18"/>
                <w:lang w:val="pt-BR"/>
              </w:rPr>
              <w:t>Professional Plus</w:t>
            </w:r>
            <w:r w:rsidRPr="00734B50">
              <w:rPr>
                <w:rFonts w:cs="Tahoma"/>
                <w:color w:val="000000"/>
                <w:szCs w:val="18"/>
                <w:lang w:val="pt-BR"/>
              </w:rPr>
              <w:t>, a Atualização de Sistema Operacional Windows 8 Pro ou Windows Virtual Desktop Access (VDA) e a licença de acesso para cliente do Pacote de CAL Empresarial. Os</w:t>
            </w:r>
            <w:r w:rsidR="00CE0D75" w:rsidRPr="00734B50">
              <w:rPr>
                <w:rFonts w:cs="Tahoma"/>
                <w:color w:val="000000"/>
                <w:szCs w:val="18"/>
                <w:lang w:val="pt-BR"/>
              </w:rPr>
              <w:t> </w:t>
            </w:r>
            <w:r w:rsidRPr="00734B50">
              <w:rPr>
                <w:rFonts w:cs="Tahoma"/>
                <w:color w:val="000000"/>
                <w:szCs w:val="18"/>
                <w:lang w:val="pt-BR"/>
              </w:rPr>
              <w:t>produtos da Plataforma de Desktop Empresarial são identificados por</w:t>
            </w:r>
            <w:r w:rsidR="00CE0D75" w:rsidRPr="00734B50">
              <w:rPr>
                <w:rFonts w:cs="Tahoma"/>
                <w:color w:val="000000"/>
                <w:szCs w:val="18"/>
                <w:lang w:val="pt-BR"/>
              </w:rPr>
              <w:t xml:space="preserve"> </w:t>
            </w:r>
            <w:r w:rsidRPr="00734B50">
              <w:rPr>
                <w:rFonts w:cs="Tahoma"/>
                <w:color w:val="000000"/>
                <w:szCs w:val="18"/>
                <w:lang w:val="pt-BR"/>
              </w:rPr>
              <w:t>um “E” na coluna Contrato Enterprise.</w:t>
            </w:r>
            <w:r w:rsidR="00DD7735" w:rsidRPr="00734B50">
              <w:rPr>
                <w:rFonts w:cs="Tahoma"/>
                <w:color w:val="000000"/>
                <w:szCs w:val="18"/>
                <w:lang w:val="pt-BR"/>
              </w:rPr>
              <w:t xml:space="preserve"> </w:t>
            </w:r>
            <w:r w:rsidRPr="00734B50">
              <w:rPr>
                <w:rFonts w:cs="Tahoma"/>
                <w:color w:val="000000"/>
                <w:szCs w:val="18"/>
                <w:lang w:val="pt-BR"/>
              </w:rPr>
              <w:t>Para os clientes de Contratos Enterprise e</w:t>
            </w:r>
            <w:r w:rsidR="00CE0D75" w:rsidRPr="00734B50">
              <w:rPr>
                <w:rFonts w:cs="Tahoma"/>
                <w:color w:val="000000"/>
                <w:szCs w:val="18"/>
                <w:lang w:val="pt-BR"/>
              </w:rPr>
              <w:t> </w:t>
            </w:r>
            <w:r w:rsidRPr="00734B50">
              <w:rPr>
                <w:rFonts w:cs="Tahoma"/>
                <w:color w:val="000000"/>
                <w:szCs w:val="18"/>
                <w:lang w:val="pt-BR"/>
              </w:rPr>
              <w:t>Enterprise Subscription, a</w:t>
            </w:r>
            <w:r w:rsidR="00CE0D75" w:rsidRPr="00734B50">
              <w:rPr>
                <w:rFonts w:cs="Tahoma"/>
                <w:color w:val="000000"/>
                <w:szCs w:val="18"/>
                <w:lang w:val="pt-BR"/>
              </w:rPr>
              <w:t> </w:t>
            </w:r>
            <w:r w:rsidRPr="00734B50">
              <w:rPr>
                <w:rFonts w:cs="Tahoma"/>
                <w:color w:val="000000"/>
                <w:szCs w:val="18"/>
                <w:lang w:val="pt-BR"/>
              </w:rPr>
              <w:t>Plataforma de Desktop Empresarial também pode ser adquirida com o MDOP.</w:t>
            </w:r>
          </w:p>
          <w:p w:rsidR="00456002" w:rsidRPr="00734B50" w:rsidRDefault="00456002" w:rsidP="005C647E">
            <w:pPr>
              <w:rPr>
                <w:sz w:val="16"/>
                <w:szCs w:val="16"/>
                <w:lang w:val="pt-BR"/>
              </w:rPr>
            </w:pPr>
          </w:p>
          <w:p w:rsidR="00456002" w:rsidRPr="00734B50" w:rsidRDefault="00456002" w:rsidP="00821966">
            <w:pPr>
              <w:pStyle w:val="ListParagraph"/>
              <w:numPr>
                <w:ilvl w:val="0"/>
                <w:numId w:val="150"/>
              </w:numPr>
              <w:spacing w:after="60"/>
              <w:ind w:left="252"/>
              <w:rPr>
                <w:lang w:val="pt-BR"/>
              </w:rPr>
            </w:pPr>
            <w:r w:rsidRPr="00734B50">
              <w:rPr>
                <w:rFonts w:ascii="Tahoma" w:hAnsi="Tahoma" w:cs="Tahoma"/>
                <w:b/>
                <w:sz w:val="18"/>
                <w:lang w:val="pt-BR"/>
              </w:rPr>
              <w:t>Produtos da Plataforma de Desktop Profissional</w:t>
            </w:r>
          </w:p>
          <w:p w:rsidR="00456002" w:rsidRPr="00734B50" w:rsidRDefault="00456002" w:rsidP="004B6D8C">
            <w:pPr>
              <w:rPr>
                <w:lang w:val="pt-BR"/>
              </w:rPr>
            </w:pPr>
            <w:r w:rsidRPr="00734B50">
              <w:rPr>
                <w:rFonts w:cs="Tahoma"/>
                <w:color w:val="000000"/>
                <w:szCs w:val="18"/>
                <w:lang w:val="pt-BR"/>
              </w:rPr>
              <w:t>Os produtos da Plataforma de Desktop Profissional estão disponíveis para os clientes de</w:t>
            </w:r>
            <w:r w:rsidR="00CE0D75" w:rsidRPr="00734B50">
              <w:rPr>
                <w:rFonts w:cs="Tahoma"/>
                <w:color w:val="000000"/>
                <w:szCs w:val="18"/>
                <w:lang w:val="pt-BR"/>
              </w:rPr>
              <w:t> </w:t>
            </w:r>
            <w:r w:rsidRPr="00734B50">
              <w:rPr>
                <w:rFonts w:cs="Tahoma"/>
                <w:color w:val="000000"/>
                <w:szCs w:val="18"/>
                <w:lang w:val="pt-BR"/>
              </w:rPr>
              <w:t>Contratos Enterprise. A Plataforma de Desktop Profissional inclui a versão mais atual do</w:t>
            </w:r>
            <w:r w:rsidR="00CE0D75" w:rsidRPr="00734B50">
              <w:rPr>
                <w:rFonts w:cs="Tahoma"/>
                <w:color w:val="000000"/>
                <w:szCs w:val="18"/>
                <w:lang w:val="pt-BR"/>
              </w:rPr>
              <w:t> </w:t>
            </w:r>
            <w:r w:rsidRPr="00734B50">
              <w:rPr>
                <w:rFonts w:cs="Tahoma"/>
                <w:color w:val="000000"/>
                <w:szCs w:val="18"/>
                <w:lang w:val="pt-BR"/>
              </w:rPr>
              <w:t>Office Professional Plus, a Atualização de Sistema Operacional Windows 8 Pro ou o</w:t>
            </w:r>
            <w:r w:rsidR="00CE0D75" w:rsidRPr="00734B50">
              <w:rPr>
                <w:rFonts w:cs="Tahoma"/>
                <w:color w:val="000000"/>
                <w:szCs w:val="18"/>
                <w:lang w:val="pt-BR"/>
              </w:rPr>
              <w:t> </w:t>
            </w:r>
            <w:r w:rsidRPr="00734B50">
              <w:rPr>
                <w:rFonts w:cs="Tahoma"/>
                <w:color w:val="000000"/>
                <w:szCs w:val="18"/>
                <w:lang w:val="pt-BR"/>
              </w:rPr>
              <w:t>Windows Virtual Desktop Access (VDA) (somente para contratos EA) e a licença de acesso para cliente do Pacote de CAL Principal. Os produtos da Plataforma de Desktop Profissional são identificados por um “E” na coluna Contrato Enterprise. Para os clientes de</w:t>
            </w:r>
            <w:r w:rsidR="00CE0D75" w:rsidRPr="00734B50">
              <w:rPr>
                <w:rFonts w:cs="Tahoma"/>
                <w:color w:val="000000"/>
                <w:szCs w:val="18"/>
                <w:lang w:val="pt-BR"/>
              </w:rPr>
              <w:t> </w:t>
            </w:r>
            <w:r w:rsidRPr="00734B50">
              <w:rPr>
                <w:rFonts w:cs="Tahoma"/>
                <w:color w:val="000000"/>
                <w:szCs w:val="18"/>
                <w:lang w:val="pt-BR"/>
              </w:rPr>
              <w:t>Contratos Enterprise e Enterprise Subscription, a Plataforma de Desktop Profissional também pode ser adquirida com o MDOP.</w:t>
            </w:r>
          </w:p>
          <w:p w:rsidR="00456002" w:rsidRPr="00734B50" w:rsidRDefault="00456002" w:rsidP="005C647E">
            <w:pPr>
              <w:rPr>
                <w:rFonts w:cs="Tahoma"/>
                <w:sz w:val="16"/>
                <w:szCs w:val="16"/>
                <w:lang w:val="pt-BR" w:eastAsia="ja-JP"/>
              </w:rPr>
            </w:pPr>
          </w:p>
        </w:tc>
      </w:tr>
      <w:tr w:rsidR="007C4AA7" w:rsidRPr="00653421" w:rsidTr="00AC2872">
        <w:tc>
          <w:tcPr>
            <w:tcW w:w="2160" w:type="dxa"/>
            <w:shd w:val="clear" w:color="auto" w:fill="FABF8F"/>
          </w:tcPr>
          <w:p w:rsidR="007C4AA7" w:rsidRPr="00653421" w:rsidRDefault="007C4AA7" w:rsidP="007C4AA7">
            <w:pPr>
              <w:keepNext/>
              <w:keepLines/>
              <w:rPr>
                <w:b/>
                <w:sz w:val="22"/>
                <w:lang w:eastAsia="ja-JP"/>
              </w:rPr>
            </w:pPr>
            <w:r w:rsidRPr="00653421">
              <w:rPr>
                <w:b/>
                <w:sz w:val="22"/>
              </w:rPr>
              <w:lastRenderedPageBreak/>
              <w:t>Programas</w:t>
            </w:r>
          </w:p>
        </w:tc>
        <w:tc>
          <w:tcPr>
            <w:tcW w:w="7038" w:type="dxa"/>
            <w:shd w:val="clear" w:color="auto" w:fill="FABF8F"/>
          </w:tcPr>
          <w:p w:rsidR="007C4AA7" w:rsidRPr="00653421" w:rsidRDefault="007C4AA7" w:rsidP="007C4AA7">
            <w:pPr>
              <w:keepNext/>
              <w:keepLines/>
              <w:jc w:val="center"/>
              <w:rPr>
                <w:b/>
                <w:sz w:val="22"/>
                <w:lang w:eastAsia="ja-JP"/>
              </w:rPr>
            </w:pPr>
            <w:r w:rsidRPr="00653421">
              <w:rPr>
                <w:b/>
                <w:sz w:val="22"/>
              </w:rPr>
              <w:t>Plataformas</w:t>
            </w:r>
          </w:p>
        </w:tc>
      </w:tr>
      <w:tr w:rsidR="00456002" w:rsidRPr="00E04628" w:rsidTr="007C4AA7">
        <w:trPr>
          <w:trHeight w:val="278"/>
        </w:trPr>
        <w:tc>
          <w:tcPr>
            <w:tcW w:w="2160" w:type="dxa"/>
            <w:shd w:val="clear" w:color="auto" w:fill="auto"/>
          </w:tcPr>
          <w:p w:rsidR="00456002" w:rsidRPr="00653421" w:rsidRDefault="00456002" w:rsidP="007C4AA7">
            <w:pPr>
              <w:keepNext/>
              <w:keepLines/>
              <w:spacing w:before="60"/>
              <w:rPr>
                <w:b/>
                <w:lang w:eastAsia="ja-JP"/>
              </w:rPr>
            </w:pPr>
            <w:r w:rsidRPr="00653421">
              <w:rPr>
                <w:b/>
                <w:sz w:val="20"/>
              </w:rPr>
              <w:t>Open Value e</w:t>
            </w:r>
            <w:r w:rsidR="00CE0D75" w:rsidRPr="00653421">
              <w:rPr>
                <w:b/>
                <w:sz w:val="20"/>
              </w:rPr>
              <w:t> </w:t>
            </w:r>
            <w:r w:rsidRPr="00653421">
              <w:rPr>
                <w:b/>
                <w:sz w:val="20"/>
              </w:rPr>
              <w:t>Open Value Subscription (Commercial e</w:t>
            </w:r>
            <w:r w:rsidR="00CE0D75" w:rsidRPr="00653421">
              <w:rPr>
                <w:b/>
                <w:sz w:val="20"/>
              </w:rPr>
              <w:t> </w:t>
            </w:r>
            <w:r w:rsidRPr="00653421">
              <w:rPr>
                <w:b/>
                <w:sz w:val="20"/>
              </w:rPr>
              <w:t>Government)</w:t>
            </w:r>
          </w:p>
        </w:tc>
        <w:tc>
          <w:tcPr>
            <w:tcW w:w="7038" w:type="dxa"/>
            <w:shd w:val="clear" w:color="auto" w:fill="auto"/>
          </w:tcPr>
          <w:p w:rsidR="00456002" w:rsidRPr="00734B50" w:rsidRDefault="00456002" w:rsidP="007C4AA7">
            <w:pPr>
              <w:pStyle w:val="ListParagraph"/>
              <w:keepNext/>
              <w:keepLines/>
              <w:numPr>
                <w:ilvl w:val="0"/>
                <w:numId w:val="150"/>
              </w:numPr>
              <w:spacing w:before="60" w:after="60"/>
              <w:ind w:left="245"/>
              <w:rPr>
                <w:lang w:val="pt-BR"/>
              </w:rPr>
            </w:pPr>
            <w:r w:rsidRPr="00734B50">
              <w:rPr>
                <w:rFonts w:ascii="Tahoma" w:hAnsi="Tahoma" w:cs="Tahoma"/>
                <w:b/>
                <w:sz w:val="18"/>
                <w:lang w:val="pt-BR"/>
              </w:rPr>
              <w:t>Produtos da Plataforma de Desktop Personalizado</w:t>
            </w:r>
          </w:p>
          <w:p w:rsidR="00456002" w:rsidRPr="00734B50" w:rsidRDefault="00456002" w:rsidP="00323AAF">
            <w:pPr>
              <w:keepNext/>
              <w:keepLines/>
              <w:rPr>
                <w:lang w:val="pt-BR"/>
              </w:rPr>
            </w:pPr>
            <w:r w:rsidRPr="00734B50">
              <w:rPr>
                <w:rFonts w:cs="Tahoma"/>
                <w:color w:val="000000"/>
                <w:szCs w:val="18"/>
                <w:lang w:val="pt-BR"/>
              </w:rPr>
              <w:t>Os produtos da Plataforma Desktop Personalizados estão disponíveis para os clientes Open</w:t>
            </w:r>
            <w:r w:rsidR="00CE0D75" w:rsidRPr="00734B50">
              <w:rPr>
                <w:rFonts w:cs="Tahoma"/>
                <w:color w:val="000000"/>
                <w:szCs w:val="18"/>
                <w:lang w:val="pt-BR"/>
              </w:rPr>
              <w:t> </w:t>
            </w:r>
            <w:r w:rsidRPr="00734B50">
              <w:rPr>
                <w:rFonts w:cs="Tahoma"/>
                <w:color w:val="000000"/>
                <w:szCs w:val="18"/>
                <w:lang w:val="pt-BR"/>
              </w:rPr>
              <w:t xml:space="preserve">Value e Open Value Subscription quando selecionam a opção </w:t>
            </w:r>
            <w:r w:rsidRPr="00734B50">
              <w:rPr>
                <w:rFonts w:cs="Tahoma"/>
                <w:szCs w:val="18"/>
                <w:lang w:val="pt-BR"/>
              </w:rPr>
              <w:t>para toda a Organização/Empresa</w:t>
            </w:r>
            <w:r w:rsidRPr="00734B50">
              <w:rPr>
                <w:rFonts w:cs="Tahoma"/>
                <w:color w:val="000000"/>
                <w:szCs w:val="18"/>
                <w:lang w:val="pt-BR"/>
              </w:rPr>
              <w:t>. A Plataforma de Desktop Personalizado inclui versões atuais do</w:t>
            </w:r>
            <w:r w:rsidR="00CE0D75" w:rsidRPr="00734B50">
              <w:rPr>
                <w:rFonts w:cs="Tahoma"/>
                <w:color w:val="000000"/>
                <w:szCs w:val="18"/>
                <w:lang w:val="pt-BR"/>
              </w:rPr>
              <w:t> </w:t>
            </w:r>
            <w:r w:rsidRPr="00734B50">
              <w:rPr>
                <w:rFonts w:cs="Tahoma"/>
                <w:color w:val="000000"/>
                <w:szCs w:val="18"/>
                <w:lang w:val="pt-BR"/>
              </w:rPr>
              <w:t>Office Professional Plus, a Atualização* de Sistema Operacional Windows 8 Pro, a</w:t>
            </w:r>
            <w:r w:rsidR="00323AAF" w:rsidRPr="00734B50">
              <w:rPr>
                <w:rFonts w:cs="Tahoma"/>
                <w:color w:val="000000"/>
                <w:szCs w:val="18"/>
                <w:lang w:val="pt-BR"/>
              </w:rPr>
              <w:t> </w:t>
            </w:r>
            <w:r w:rsidRPr="00734B50">
              <w:rPr>
                <w:rFonts w:cs="Tahoma"/>
                <w:color w:val="000000"/>
                <w:szCs w:val="18"/>
                <w:lang w:val="pt-BR"/>
              </w:rPr>
              <w:t>licença de acesso para cliente Enterprise CAL Suite, Core CAL Suite, Essential Business Server CAL Suite ou Small Business Server CAL Suite. Os produtos da</w:t>
            </w:r>
            <w:r w:rsidR="00323AAF" w:rsidRPr="00734B50">
              <w:rPr>
                <w:rFonts w:cs="Tahoma"/>
                <w:color w:val="000000"/>
                <w:szCs w:val="18"/>
                <w:lang w:val="pt-BR"/>
              </w:rPr>
              <w:t> </w:t>
            </w:r>
            <w:r w:rsidRPr="00734B50">
              <w:rPr>
                <w:rFonts w:cs="Tahoma"/>
                <w:color w:val="000000"/>
                <w:szCs w:val="18"/>
                <w:lang w:val="pt-BR"/>
              </w:rPr>
              <w:t>Plataforma de Desktop Personalizado são identificados por um “E” nas colunas</w:t>
            </w:r>
            <w:r w:rsidR="00323AAF" w:rsidRPr="00734B50">
              <w:rPr>
                <w:rFonts w:cs="Tahoma"/>
                <w:color w:val="000000"/>
                <w:szCs w:val="18"/>
                <w:lang w:val="pt-BR"/>
              </w:rPr>
              <w:t> </w:t>
            </w:r>
            <w:r w:rsidRPr="00734B50">
              <w:rPr>
                <w:rFonts w:cs="Tahoma"/>
                <w:color w:val="000000"/>
                <w:szCs w:val="18"/>
                <w:lang w:val="pt-BR"/>
              </w:rPr>
              <w:t>Open Value.</w:t>
            </w:r>
            <w:r w:rsidR="005A52A2" w:rsidRPr="00734B50">
              <w:rPr>
                <w:rFonts w:cs="Tahoma"/>
                <w:color w:val="000000"/>
                <w:szCs w:val="18"/>
                <w:lang w:val="pt-BR"/>
              </w:rPr>
              <w:t xml:space="preserve"> </w:t>
            </w:r>
          </w:p>
        </w:tc>
      </w:tr>
      <w:tr w:rsidR="00456002" w:rsidRPr="00E04628" w:rsidTr="007C4AA7">
        <w:trPr>
          <w:trHeight w:val="278"/>
        </w:trPr>
        <w:tc>
          <w:tcPr>
            <w:tcW w:w="2160" w:type="dxa"/>
            <w:shd w:val="clear" w:color="auto" w:fill="auto"/>
          </w:tcPr>
          <w:p w:rsidR="00456002" w:rsidRPr="00653421" w:rsidRDefault="00456002" w:rsidP="00230E01">
            <w:pPr>
              <w:spacing w:before="60"/>
              <w:rPr>
                <w:b/>
                <w:lang w:eastAsia="ja-JP"/>
              </w:rPr>
            </w:pPr>
            <w:r w:rsidRPr="00653421">
              <w:rPr>
                <w:b/>
                <w:sz w:val="20"/>
              </w:rPr>
              <w:t>Academic Platforms (EES, OVS-ES e School Agreement)</w:t>
            </w:r>
          </w:p>
        </w:tc>
        <w:tc>
          <w:tcPr>
            <w:tcW w:w="7038" w:type="dxa"/>
            <w:shd w:val="clear" w:color="auto" w:fill="auto"/>
          </w:tcPr>
          <w:p w:rsidR="00821966" w:rsidRPr="00734B50" w:rsidRDefault="00456002" w:rsidP="00230E01">
            <w:pPr>
              <w:pStyle w:val="ListParagraph"/>
              <w:numPr>
                <w:ilvl w:val="0"/>
                <w:numId w:val="150"/>
              </w:numPr>
              <w:spacing w:before="60" w:after="60"/>
              <w:ind w:left="245"/>
              <w:contextualSpacing w:val="0"/>
              <w:rPr>
                <w:lang w:val="pt-BR"/>
              </w:rPr>
            </w:pPr>
            <w:r w:rsidRPr="00734B50">
              <w:rPr>
                <w:rFonts w:ascii="Tahoma" w:hAnsi="Tahoma" w:cs="Tahoma"/>
                <w:b/>
                <w:sz w:val="18"/>
                <w:lang w:val="pt-BR"/>
              </w:rPr>
              <w:t>Produtos da Plataforma Desktop Educacional e da Plataforma Desktop School com Enterprise CAL Suite</w:t>
            </w:r>
          </w:p>
          <w:p w:rsidR="00456002" w:rsidRPr="00734B50" w:rsidRDefault="00456002" w:rsidP="00821966">
            <w:pPr>
              <w:pStyle w:val="ListParagraph"/>
              <w:numPr>
                <w:ilvl w:val="0"/>
                <w:numId w:val="150"/>
              </w:numPr>
              <w:spacing w:after="60"/>
              <w:ind w:left="252"/>
              <w:rPr>
                <w:lang w:val="pt-BR"/>
              </w:rPr>
            </w:pPr>
            <w:r w:rsidRPr="00734B50">
              <w:rPr>
                <w:rFonts w:ascii="Tahoma" w:hAnsi="Tahoma" w:cs="Tahoma"/>
                <w:b/>
                <w:sz w:val="18"/>
                <w:lang w:val="pt-BR"/>
              </w:rPr>
              <w:t>Produtos da Plataforma Desktop Educacional e da Plataforma Desktop School com Core CAL Suite</w:t>
            </w:r>
          </w:p>
          <w:p w:rsidR="00456002" w:rsidRPr="00734B50" w:rsidRDefault="00456002" w:rsidP="00821966">
            <w:pPr>
              <w:rPr>
                <w:lang w:val="pt-BR"/>
              </w:rPr>
            </w:pPr>
            <w:r w:rsidRPr="00734B50">
              <w:rPr>
                <w:rFonts w:cs="Tahoma"/>
                <w:szCs w:val="18"/>
                <w:lang w:val="pt-BR"/>
              </w:rPr>
              <w:t>Os Produtos da Plataforma Desktop Educacional estão disponíveis para os clientes das</w:t>
            </w:r>
            <w:r w:rsidR="00273176" w:rsidRPr="00734B50">
              <w:rPr>
                <w:rFonts w:cs="Tahoma"/>
                <w:szCs w:val="18"/>
                <w:lang w:val="pt-BR"/>
              </w:rPr>
              <w:t> </w:t>
            </w:r>
            <w:r w:rsidRPr="00734B50">
              <w:rPr>
                <w:rFonts w:cs="Tahoma"/>
                <w:szCs w:val="18"/>
                <w:lang w:val="pt-BR"/>
              </w:rPr>
              <w:t>Soluções Educacionais do Registro (EES) e Open Value Subscription – Soluções Educacionais (OVS-ES). Os Produtos da Plataforma Desktop School estão disponíveis para os clientes de Contratos School. A Plataforma de Desktop Educacional com Enterprise CAL Suite e a Plataforma de Desktop School com Enterprise CAL Suite incluem</w:t>
            </w:r>
            <w:r w:rsidR="00273176" w:rsidRPr="00734B50">
              <w:rPr>
                <w:rFonts w:cs="Tahoma"/>
                <w:szCs w:val="18"/>
                <w:lang w:val="pt-BR"/>
              </w:rPr>
              <w:t> </w:t>
            </w:r>
            <w:r w:rsidRPr="00734B50">
              <w:rPr>
                <w:rFonts w:cs="Tahoma"/>
                <w:szCs w:val="18"/>
                <w:lang w:val="pt-BR"/>
              </w:rPr>
              <w:t>a versão mais atual do Office Professional Plus ou Office para Mac, a Atualização</w:t>
            </w:r>
            <w:r w:rsidR="00273176" w:rsidRPr="00734B50">
              <w:rPr>
                <w:rFonts w:cs="Tahoma"/>
                <w:szCs w:val="18"/>
                <w:lang w:val="pt-BR"/>
              </w:rPr>
              <w:t> </w:t>
            </w:r>
            <w:r w:rsidRPr="00734B50">
              <w:rPr>
                <w:rFonts w:cs="Tahoma"/>
                <w:szCs w:val="18"/>
                <w:lang w:val="pt-BR"/>
              </w:rPr>
              <w:t>de Sistema Operacional Windows 8 Pro e a licença de acesso para cliente</w:t>
            </w:r>
            <w:r w:rsidR="00273176" w:rsidRPr="00734B50">
              <w:rPr>
                <w:rFonts w:cs="Tahoma"/>
                <w:szCs w:val="18"/>
                <w:lang w:val="pt-BR"/>
              </w:rPr>
              <w:t> </w:t>
            </w:r>
            <w:r w:rsidRPr="00734B50">
              <w:rPr>
                <w:rFonts w:cs="Tahoma"/>
                <w:szCs w:val="18"/>
                <w:lang w:val="pt-BR"/>
              </w:rPr>
              <w:t xml:space="preserve">Enterprise CAL Suite. </w:t>
            </w:r>
          </w:p>
          <w:p w:rsidR="00456002" w:rsidRPr="00734B50" w:rsidRDefault="00456002" w:rsidP="00E64551">
            <w:pPr>
              <w:ind w:left="360"/>
              <w:rPr>
                <w:lang w:val="pt-BR"/>
              </w:rPr>
            </w:pPr>
          </w:p>
          <w:p w:rsidR="00456002" w:rsidRPr="00734B50" w:rsidRDefault="00456002" w:rsidP="00821966">
            <w:pPr>
              <w:rPr>
                <w:lang w:val="pt-BR"/>
              </w:rPr>
            </w:pPr>
            <w:r w:rsidRPr="00734B50">
              <w:rPr>
                <w:rFonts w:cs="Tahoma"/>
                <w:iCs/>
                <w:szCs w:val="18"/>
                <w:lang w:val="pt-BR"/>
              </w:rPr>
              <w:t>O Produto de Plataforma Desktop School na lista de preços conta como 3 unidades.</w:t>
            </w:r>
          </w:p>
          <w:p w:rsidR="00456002" w:rsidRPr="00734B50" w:rsidRDefault="00456002" w:rsidP="00821966">
            <w:pPr>
              <w:rPr>
                <w:lang w:val="pt-BR"/>
              </w:rPr>
            </w:pPr>
          </w:p>
          <w:p w:rsidR="00456002" w:rsidRPr="00734B50" w:rsidRDefault="00456002" w:rsidP="007C4AA7">
            <w:pPr>
              <w:tabs>
                <w:tab w:val="left" w:pos="8640"/>
              </w:tabs>
              <w:ind w:right="270"/>
              <w:rPr>
                <w:lang w:val="pt-BR"/>
              </w:rPr>
            </w:pPr>
            <w:r w:rsidRPr="00734B50">
              <w:rPr>
                <w:rFonts w:cs="Tahoma"/>
                <w:b/>
                <w:bCs/>
                <w:color w:val="000000"/>
                <w:szCs w:val="18"/>
                <w:lang w:val="pt-BR"/>
              </w:rPr>
              <w:t xml:space="preserve">Observação: </w:t>
            </w:r>
            <w:r w:rsidRPr="00734B50">
              <w:rPr>
                <w:rFonts w:cs="Tahoma"/>
                <w:bCs/>
                <w:color w:val="000000"/>
                <w:szCs w:val="18"/>
                <w:lang w:val="pt-BR"/>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 Contagem de 1.200 funcionários em tempo integral para toda a Organização, os produtos da Plataforma de Desktop e os produtos componentes do Pacote de CAL selecionados serão 1.000 para Contagem para toda a Organização, mesmo que uma parte desses PCs execute uma Plataforma de Desktop ou produto componente de CAL.</w:t>
            </w:r>
          </w:p>
          <w:p w:rsidR="00456002" w:rsidRPr="00734B50" w:rsidRDefault="00456002" w:rsidP="005C647E">
            <w:pPr>
              <w:rPr>
                <w:rFonts w:cs="Tahoma"/>
                <w:szCs w:val="18"/>
                <w:lang w:val="pt-BR" w:eastAsia="ja-JP"/>
              </w:rPr>
            </w:pPr>
          </w:p>
        </w:tc>
      </w:tr>
    </w:tbl>
    <w:p w:rsidR="00456002" w:rsidRPr="00734B50" w:rsidRDefault="00456002" w:rsidP="00456002">
      <w:pPr>
        <w:pStyle w:val="Heading4"/>
        <w:tabs>
          <w:tab w:val="clear" w:pos="720"/>
          <w:tab w:val="num" w:pos="0"/>
        </w:tabs>
        <w:ind w:left="0" w:right="720" w:firstLine="0"/>
        <w:rPr>
          <w:lang w:val="pt-BR"/>
        </w:rPr>
      </w:pPr>
    </w:p>
    <w:p w:rsidR="004641FD" w:rsidRPr="00734B50" w:rsidRDefault="00755633" w:rsidP="004641FD">
      <w:pPr>
        <w:pStyle w:val="Heading3"/>
        <w:ind w:right="720"/>
        <w:rPr>
          <w:lang w:val="pt-BR"/>
        </w:rPr>
      </w:pPr>
      <w:bookmarkStart w:id="680" w:name="_Toc336338193"/>
      <w:bookmarkStart w:id="681" w:name="_Toc353470841"/>
      <w:r w:rsidRPr="00734B50">
        <w:rPr>
          <w:rFonts w:ascii="Tahoma" w:hAnsi="Tahoma" w:cs="Tahoma"/>
          <w:sz w:val="24"/>
          <w:szCs w:val="22"/>
          <w:lang w:val="pt-BR"/>
        </w:rPr>
        <w:t>Definição de Gerenciamento para Dispositivos Qualificados</w:t>
      </w:r>
      <w:bookmarkEnd w:id="680"/>
      <w:bookmarkEnd w:id="681"/>
    </w:p>
    <w:p w:rsidR="00406CB0" w:rsidRPr="00734B50" w:rsidRDefault="00406CB0" w:rsidP="00406CB0">
      <w:pPr>
        <w:rPr>
          <w:lang w:val="pt-BR"/>
        </w:rPr>
      </w:pPr>
    </w:p>
    <w:p w:rsidR="004641FD" w:rsidRPr="00734B50" w:rsidRDefault="004641FD" w:rsidP="004641FD">
      <w:pPr>
        <w:rPr>
          <w:lang w:val="pt-BR"/>
        </w:rPr>
      </w:pPr>
      <w:r w:rsidRPr="00734B50">
        <w:rPr>
          <w:rFonts w:cs="Tahoma"/>
          <w:lang w:val="pt-BR"/>
        </w:rPr>
        <w:t>Um cliente de Licenciamento por Volume “gerencia” qualquer dispositivo no qual ele controla direta ou indiretamente um ou mais ambientes de sistema operacional.</w:t>
      </w:r>
      <w:r w:rsidR="00DD7735" w:rsidRPr="00734B50">
        <w:rPr>
          <w:rFonts w:cs="Tahoma"/>
          <w:lang w:val="pt-BR"/>
        </w:rPr>
        <w:t xml:space="preserve"> </w:t>
      </w:r>
      <w:r w:rsidRPr="00734B50">
        <w:rPr>
          <w:rFonts w:cs="Tahoma"/>
          <w:lang w:val="pt-BR"/>
        </w:rPr>
        <w:t>Por exemplo, um cliente de Licenciamento por Volume gerencia qualquer dispositivo</w:t>
      </w:r>
    </w:p>
    <w:p w:rsidR="00406CB0" w:rsidRPr="00734B50" w:rsidRDefault="00406CB0" w:rsidP="00822871">
      <w:pPr>
        <w:spacing w:after="60"/>
        <w:rPr>
          <w:lang w:val="pt-BR"/>
        </w:rPr>
      </w:pPr>
    </w:p>
    <w:p w:rsidR="004641FD" w:rsidRPr="00734B50" w:rsidRDefault="004641FD" w:rsidP="00822871">
      <w:pPr>
        <w:numPr>
          <w:ilvl w:val="0"/>
          <w:numId w:val="19"/>
        </w:numPr>
        <w:spacing w:after="60"/>
        <w:rPr>
          <w:lang w:val="pt-BR"/>
        </w:rPr>
      </w:pPr>
      <w:r w:rsidRPr="00734B50">
        <w:rPr>
          <w:rFonts w:cs="Tahoma"/>
          <w:lang w:val="pt-BR"/>
        </w:rPr>
        <w:t>que ele permite ingressar em seu domínio OU</w:t>
      </w:r>
    </w:p>
    <w:p w:rsidR="004641FD" w:rsidRPr="00734B50" w:rsidRDefault="004641FD" w:rsidP="00822871">
      <w:pPr>
        <w:numPr>
          <w:ilvl w:val="0"/>
          <w:numId w:val="19"/>
        </w:numPr>
        <w:spacing w:after="60"/>
        <w:rPr>
          <w:lang w:val="pt-BR"/>
        </w:rPr>
      </w:pPr>
      <w:r w:rsidRPr="00734B50">
        <w:rPr>
          <w:rFonts w:cs="Tahoma"/>
          <w:lang w:val="pt-BR"/>
        </w:rPr>
        <w:t>que ele autentica como um requisito para usar aplicativos enquanto ele está em suas instalações</w:t>
      </w:r>
      <w:r w:rsidR="00273176" w:rsidRPr="00734B50">
        <w:rPr>
          <w:rFonts w:cs="Tahoma"/>
          <w:lang w:val="pt-BR"/>
        </w:rPr>
        <w:t> </w:t>
      </w:r>
      <w:r w:rsidRPr="00734B50">
        <w:rPr>
          <w:rFonts w:cs="Tahoma"/>
          <w:lang w:val="pt-BR"/>
        </w:rPr>
        <w:t>OU</w:t>
      </w:r>
    </w:p>
    <w:p w:rsidR="004641FD" w:rsidRPr="00734B50" w:rsidRDefault="004641FD" w:rsidP="00822871">
      <w:pPr>
        <w:numPr>
          <w:ilvl w:val="0"/>
          <w:numId w:val="19"/>
        </w:numPr>
        <w:spacing w:after="60"/>
        <w:rPr>
          <w:lang w:val="pt-BR"/>
        </w:rPr>
      </w:pPr>
      <w:r w:rsidRPr="00734B50">
        <w:rPr>
          <w:rFonts w:cs="Tahoma"/>
          <w:lang w:val="pt-BR"/>
        </w:rPr>
        <w:t>no qual que ele instala agentes (por exemplo, antivírus, antimalware ou outros agentes autorizados</w:t>
      </w:r>
      <w:r w:rsidR="007C4AA7" w:rsidRPr="00734B50">
        <w:rPr>
          <w:rFonts w:cs="Tahoma"/>
          <w:lang w:val="pt-BR"/>
        </w:rPr>
        <w:t> </w:t>
      </w:r>
      <w:r w:rsidRPr="00734B50">
        <w:rPr>
          <w:rFonts w:cs="Tahoma"/>
          <w:lang w:val="pt-BR"/>
        </w:rPr>
        <w:t>pela política do cliente) OU</w:t>
      </w:r>
    </w:p>
    <w:p w:rsidR="004641FD" w:rsidRPr="00734B50" w:rsidRDefault="004641FD" w:rsidP="00822871">
      <w:pPr>
        <w:numPr>
          <w:ilvl w:val="0"/>
          <w:numId w:val="19"/>
        </w:numPr>
        <w:spacing w:after="60"/>
        <w:rPr>
          <w:lang w:val="pt-BR"/>
        </w:rPr>
      </w:pPr>
      <w:r w:rsidRPr="00734B50">
        <w:rPr>
          <w:rFonts w:cs="Tahoma"/>
          <w:lang w:val="pt-BR"/>
        </w:rPr>
        <w:t>ao qual ele se aplica direta ou indiretamente e impõe* políticas de grupo OU</w:t>
      </w:r>
    </w:p>
    <w:p w:rsidR="004641FD" w:rsidRPr="00734B50" w:rsidRDefault="004641FD" w:rsidP="00822871">
      <w:pPr>
        <w:numPr>
          <w:ilvl w:val="0"/>
          <w:numId w:val="19"/>
        </w:numPr>
        <w:spacing w:after="60"/>
        <w:rPr>
          <w:lang w:val="pt-BR"/>
        </w:rPr>
      </w:pPr>
      <w:r w:rsidRPr="00734B50">
        <w:rPr>
          <w:rFonts w:cs="Tahoma"/>
          <w:lang w:val="pt-BR"/>
        </w:rPr>
        <w:t>no qual ele solicita ou recebe dados e configura ou fornece instruções sobre o hardware ou</w:t>
      </w:r>
      <w:r w:rsidR="00273176" w:rsidRPr="00734B50">
        <w:rPr>
          <w:rFonts w:cs="Tahoma"/>
          <w:lang w:val="pt-BR"/>
        </w:rPr>
        <w:t> </w:t>
      </w:r>
      <w:r w:rsidRPr="00734B50">
        <w:rPr>
          <w:rFonts w:cs="Tahoma"/>
          <w:lang w:val="pt-BR"/>
        </w:rPr>
        <w:t>software direta ou indiretamente associado ao ambiente de sistema operacional OU</w:t>
      </w:r>
    </w:p>
    <w:p w:rsidR="004641FD" w:rsidRPr="00734B50" w:rsidRDefault="004641FD" w:rsidP="00822871">
      <w:pPr>
        <w:numPr>
          <w:ilvl w:val="0"/>
          <w:numId w:val="19"/>
        </w:numPr>
        <w:spacing w:after="60"/>
        <w:rPr>
          <w:lang w:val="pt-BR"/>
        </w:rPr>
      </w:pPr>
      <w:r w:rsidRPr="00734B50">
        <w:rPr>
          <w:rFonts w:cs="Tahoma"/>
          <w:lang w:val="pt-BR"/>
        </w:rPr>
        <w:t>que ele permite acessar uma infraestrutura de desktop virtual (VDI) fora do Windows Software</w:t>
      </w:r>
      <w:r w:rsidR="007C4AA7" w:rsidRPr="00734B50">
        <w:rPr>
          <w:rFonts w:cs="Tahoma"/>
          <w:lang w:val="pt-BR"/>
        </w:rPr>
        <w:t> </w:t>
      </w:r>
      <w:r w:rsidRPr="00734B50">
        <w:rPr>
          <w:rFonts w:cs="Tahoma"/>
          <w:lang w:val="pt-BR"/>
        </w:rPr>
        <w:t xml:space="preserve">Assurance, Windows Intune (Por Dispositivo) ou Direitos de Roaming do </w:t>
      </w:r>
      <w:r w:rsidR="007C4AA7" w:rsidRPr="00734B50">
        <w:rPr>
          <w:rFonts w:cs="Tahoma"/>
          <w:lang w:val="pt-BR"/>
        </w:rPr>
        <w:br/>
      </w:r>
      <w:r w:rsidRPr="00734B50">
        <w:rPr>
          <w:rFonts w:cs="Tahoma"/>
          <w:lang w:val="pt-BR"/>
        </w:rPr>
        <w:t>Windows Virtual Desktop</w:t>
      </w:r>
      <w:r w:rsidR="00273176" w:rsidRPr="00734B50">
        <w:rPr>
          <w:rFonts w:cs="Tahoma"/>
          <w:lang w:val="pt-BR"/>
        </w:rPr>
        <w:t> </w:t>
      </w:r>
      <w:r w:rsidRPr="00734B50">
        <w:rPr>
          <w:rFonts w:cs="Tahoma"/>
          <w:lang w:val="pt-BR"/>
        </w:rPr>
        <w:t>Access.</w:t>
      </w:r>
    </w:p>
    <w:p w:rsidR="00755633" w:rsidRPr="00734B50" w:rsidRDefault="00755633" w:rsidP="00755633">
      <w:pPr>
        <w:ind w:left="1440"/>
        <w:rPr>
          <w:lang w:val="pt-BR"/>
        </w:rPr>
      </w:pPr>
    </w:p>
    <w:p w:rsidR="004641FD" w:rsidRPr="00734B50" w:rsidRDefault="004641FD" w:rsidP="004641FD">
      <w:pPr>
        <w:rPr>
          <w:lang w:val="pt-BR"/>
        </w:rPr>
      </w:pPr>
      <w:r w:rsidRPr="00734B50">
        <w:rPr>
          <w:rFonts w:cs="Tahoma"/>
          <w:lang w:val="pt-BR"/>
        </w:rPr>
        <w:lastRenderedPageBreak/>
        <w:t>Um dispositivo que acessa um VDI sob Direitos de Roaming apenas ou usa o Windows To Go em um Dispositivo Qualificado de Terceiros apenas fora das instalações do cliente, e não é gerenciado para outras finalidades conforme</w:t>
      </w:r>
      <w:r w:rsidR="00273176" w:rsidRPr="00734B50">
        <w:rPr>
          <w:rFonts w:cs="Tahoma"/>
          <w:lang w:val="pt-BR"/>
        </w:rPr>
        <w:t> </w:t>
      </w:r>
      <w:r w:rsidRPr="00734B50">
        <w:rPr>
          <w:rFonts w:cs="Tahoma"/>
          <w:lang w:val="pt-BR"/>
        </w:rPr>
        <w:t>descrito aqui, não é considerado “gerenciado” para fins desta definição.</w:t>
      </w:r>
    </w:p>
    <w:p w:rsidR="00755633" w:rsidRPr="00734B50" w:rsidRDefault="00755633" w:rsidP="004641FD">
      <w:pPr>
        <w:rPr>
          <w:lang w:val="pt-BR"/>
        </w:rPr>
      </w:pPr>
    </w:p>
    <w:p w:rsidR="00371299" w:rsidRPr="00734B50" w:rsidRDefault="004641FD" w:rsidP="00510F6B">
      <w:pPr>
        <w:rPr>
          <w:lang w:val="pt-BR"/>
        </w:rPr>
      </w:pPr>
      <w:r w:rsidRPr="00734B50">
        <w:rPr>
          <w:rFonts w:cs="Tahoma"/>
          <w:lang w:val="pt-BR"/>
        </w:rPr>
        <w:t>*Um cliente de Licenciamento por Volume que procura por atualizações de segurança/vírus ou software de sistema operacional atualizado e só notifica o usuário se eles não estiverem atualizados, não é uma “política de grupo imposta” para fins deste exemplo.</w:t>
      </w:r>
      <w:r w:rsidR="00DD7735" w:rsidRPr="00734B50">
        <w:rPr>
          <w:rFonts w:cs="Tahoma"/>
          <w:lang w:val="pt-BR"/>
        </w:rPr>
        <w:t xml:space="preserve"> </w:t>
      </w:r>
    </w:p>
    <w:p w:rsidR="00273176" w:rsidRPr="00734B50" w:rsidRDefault="00273176" w:rsidP="00510F6B">
      <w:pPr>
        <w:rPr>
          <w:lang w:val="pt-BR"/>
        </w:rPr>
      </w:pPr>
    </w:p>
    <w:p w:rsidR="00406CB0" w:rsidRPr="00734B50" w:rsidRDefault="00023FE7" w:rsidP="00406CB0">
      <w:pPr>
        <w:pStyle w:val="Heading3"/>
        <w:rPr>
          <w:lang w:val="pt-BR"/>
        </w:rPr>
      </w:pPr>
      <w:bookmarkStart w:id="682" w:name="_Toc243157227"/>
      <w:bookmarkStart w:id="683" w:name="_Toc336338194"/>
      <w:bookmarkStart w:id="684" w:name="_Toc353470842"/>
      <w:r w:rsidRPr="00734B50">
        <w:rPr>
          <w:rFonts w:ascii="Tahoma" w:hAnsi="Tahoma"/>
          <w:sz w:val="24"/>
          <w:lang w:val="pt-BR"/>
        </w:rPr>
        <w:t>Produtos qualificados para o Desconto de Atualização (UTD)</w:t>
      </w:r>
      <w:bookmarkEnd w:id="682"/>
      <w:bookmarkEnd w:id="683"/>
      <w:bookmarkEnd w:id="684"/>
    </w:p>
    <w:p w:rsidR="00406CB0" w:rsidRPr="00734B50" w:rsidRDefault="00406CB0" w:rsidP="00406CB0">
      <w:pPr>
        <w:pStyle w:val="Heading3"/>
        <w:rPr>
          <w:lang w:val="pt-BR"/>
        </w:rPr>
      </w:pPr>
    </w:p>
    <w:p w:rsidR="00023FE7" w:rsidRPr="00734B50" w:rsidRDefault="00023FE7" w:rsidP="00477B4D">
      <w:pPr>
        <w:rPr>
          <w:lang w:val="pt-BR"/>
        </w:rPr>
      </w:pPr>
      <w:r w:rsidRPr="00734B50">
        <w:rPr>
          <w:lang w:val="pt-BR"/>
        </w:rPr>
        <w:t>Os clientes Open Value Subscription estão qualificados para o Desconto UTD durante o primeiro ano do contrato da</w:t>
      </w:r>
      <w:r w:rsidR="00273176" w:rsidRPr="00734B50">
        <w:rPr>
          <w:lang w:val="pt-BR"/>
        </w:rPr>
        <w:t> </w:t>
      </w:r>
      <w:r w:rsidRPr="00734B50">
        <w:rPr>
          <w:lang w:val="pt-BR"/>
        </w:rPr>
        <w:t>assinatura.</w:t>
      </w:r>
      <w:r w:rsidR="00DD7735" w:rsidRPr="00734B50">
        <w:rPr>
          <w:lang w:val="pt-BR"/>
        </w:rPr>
        <w:t xml:space="preserve"> </w:t>
      </w:r>
      <w:r w:rsidRPr="00734B50">
        <w:rPr>
          <w:lang w:val="pt-BR"/>
        </w:rPr>
        <w:t>Os clientes qualificados podem adquirir qualquer Licença UTD identificada abaixo se estiverem licenciados para uma das versões qualificadas correspondentes, anteriores ou atuais, por meio de OEM, FPP ou Licenciamento por Volume.</w:t>
      </w:r>
      <w:r w:rsidR="00DD7735" w:rsidRPr="00734B50">
        <w:rPr>
          <w:lang w:val="pt-BR"/>
        </w:rPr>
        <w:t xml:space="preserve"> </w:t>
      </w:r>
      <w:r w:rsidRPr="00734B50">
        <w:rPr>
          <w:color w:val="000000"/>
          <w:lang w:val="pt-BR"/>
        </w:rPr>
        <w:t>Em geral, esse desconto só é dado para a versão atual ou a imediatamente anterior do produto. O Desconto UTD é independente da plataforma, de modo que usuários de Mac também estão qualificados.</w:t>
      </w:r>
    </w:p>
    <w:p w:rsidR="00C353DE" w:rsidRPr="00734B50" w:rsidRDefault="00C353DE">
      <w:pPr>
        <w:pStyle w:val="FootnoteBulletLevel1"/>
        <w:ind w:left="360" w:right="720" w:firstLine="0"/>
        <w:rPr>
          <w:lang w:val="pt-B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653421"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653421" w:rsidRDefault="00023FE7">
            <w:pPr>
              <w:ind w:right="720"/>
              <w:jc w:val="center"/>
              <w:rPr>
                <w:rFonts w:eastAsia="Calibri" w:cs="Tahoma"/>
                <w:b/>
                <w:bCs/>
                <w:color w:val="404040"/>
              </w:rPr>
            </w:pPr>
            <w:r w:rsidRPr="00653421">
              <w:rPr>
                <w:rFonts w:cs="Tahoma"/>
                <w:b/>
                <w:bCs/>
              </w:rPr>
              <w:t>Licença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653421" w:rsidRDefault="00023FE7">
            <w:pPr>
              <w:ind w:right="720"/>
              <w:jc w:val="center"/>
              <w:rPr>
                <w:rFonts w:eastAsia="Calibri" w:cs="Tahoma"/>
                <w:b/>
                <w:bCs/>
                <w:color w:val="404040"/>
              </w:rPr>
            </w:pPr>
            <w:r w:rsidRPr="00653421">
              <w:rPr>
                <w:rFonts w:cs="Tahoma"/>
                <w:b/>
                <w:bCs/>
              </w:rPr>
              <w:t>Versão qualificada</w:t>
            </w:r>
          </w:p>
        </w:tc>
      </w:tr>
      <w:tr w:rsidR="00023FE7" w:rsidRPr="00653421" w:rsidTr="0044720D">
        <w:trPr>
          <w:trHeight w:val="576"/>
        </w:trPr>
        <w:tc>
          <w:tcPr>
            <w:tcW w:w="3809" w:type="dxa"/>
            <w:tcBorders>
              <w:top w:val="nil"/>
              <w:left w:val="single" w:sz="8" w:space="0" w:color="auto"/>
              <w:bottom w:val="single" w:sz="8" w:space="0" w:color="auto"/>
              <w:right w:val="single" w:sz="8" w:space="0" w:color="auto"/>
            </w:tcBorders>
          </w:tcPr>
          <w:p w:rsidR="00023FE7" w:rsidRPr="00734B50" w:rsidRDefault="00023FE7" w:rsidP="00273176">
            <w:pPr>
              <w:spacing w:before="60"/>
              <w:ind w:left="360" w:right="720"/>
              <w:jc w:val="center"/>
              <w:rPr>
                <w:rFonts w:eastAsia="Calibri" w:cs="Tahoma"/>
                <w:szCs w:val="18"/>
                <w:lang w:val="pt-BR"/>
              </w:rPr>
            </w:pPr>
            <w:r w:rsidRPr="00734B50">
              <w:rPr>
                <w:rFonts w:cs="Tahoma"/>
                <w:szCs w:val="18"/>
                <w:lang w:val="pt-BR"/>
              </w:rPr>
              <w:t>CAL Principal (Dispositivo</w:t>
            </w:r>
            <w:r w:rsidR="00273176" w:rsidRPr="00734B50">
              <w:rPr>
                <w:rFonts w:cs="Tahoma"/>
                <w:szCs w:val="18"/>
                <w:lang w:val="pt-BR"/>
              </w:rPr>
              <w:t> </w:t>
            </w:r>
            <w:r w:rsidRPr="00734B50">
              <w:rPr>
                <w:rFonts w:cs="Tahoma"/>
                <w:szCs w:val="18"/>
                <w:lang w:val="pt-BR"/>
              </w:rPr>
              <w:t>ou</w:t>
            </w:r>
            <w:r w:rsidR="00273176" w:rsidRPr="00734B50">
              <w:rPr>
                <w:rFonts w:cs="Tahoma"/>
                <w:szCs w:val="18"/>
                <w:lang w:val="pt-BR"/>
              </w:rPr>
              <w:t> </w:t>
            </w:r>
            <w:r w:rsidRPr="00734B50">
              <w:rPr>
                <w:rFonts w:cs="Tahoma"/>
                <w:szCs w:val="18"/>
                <w:lang w:val="pt-BR"/>
              </w:rPr>
              <w:t>Usuário)</w:t>
            </w:r>
          </w:p>
        </w:tc>
        <w:tc>
          <w:tcPr>
            <w:tcW w:w="4298" w:type="dxa"/>
            <w:tcBorders>
              <w:top w:val="nil"/>
              <w:left w:val="nil"/>
              <w:bottom w:val="single" w:sz="8" w:space="0" w:color="auto"/>
              <w:right w:val="single" w:sz="8" w:space="0" w:color="auto"/>
            </w:tcBorders>
          </w:tcPr>
          <w:p w:rsidR="00023FE7" w:rsidRPr="00653421" w:rsidRDefault="00023FE7" w:rsidP="00230E01">
            <w:pPr>
              <w:pStyle w:val="Bulletedlistflush"/>
              <w:spacing w:before="60"/>
              <w:ind w:left="576" w:right="720" w:firstLine="0"/>
              <w:jc w:val="center"/>
            </w:pPr>
            <w:r w:rsidRPr="00653421">
              <w:rPr>
                <w:rFonts w:ascii="Tahoma" w:hAnsi="Tahoma" w:cs="Tahoma"/>
                <w:sz w:val="18"/>
                <w:szCs w:val="18"/>
              </w:rPr>
              <w:t>Qualquer CAL Principal</w:t>
            </w:r>
          </w:p>
          <w:p w:rsidR="00023FE7" w:rsidRPr="00653421" w:rsidRDefault="00023FE7" w:rsidP="00230E01">
            <w:pPr>
              <w:pStyle w:val="Bulletedlistflush"/>
              <w:ind w:left="576" w:right="720" w:firstLine="0"/>
              <w:jc w:val="center"/>
              <w:rPr>
                <w:rFonts w:ascii="Tahoma" w:hAnsi="Tahoma" w:cs="Tahoma"/>
                <w:sz w:val="18"/>
                <w:szCs w:val="18"/>
              </w:rPr>
            </w:pPr>
          </w:p>
        </w:tc>
      </w:tr>
      <w:tr w:rsidR="00023FE7" w:rsidRPr="00653421" w:rsidTr="0044720D">
        <w:trPr>
          <w:trHeight w:val="576"/>
        </w:trPr>
        <w:tc>
          <w:tcPr>
            <w:tcW w:w="3809" w:type="dxa"/>
            <w:tcBorders>
              <w:top w:val="nil"/>
              <w:left w:val="single" w:sz="8" w:space="0" w:color="auto"/>
              <w:bottom w:val="single" w:sz="8" w:space="0" w:color="auto"/>
              <w:right w:val="single" w:sz="8" w:space="0" w:color="auto"/>
            </w:tcBorders>
          </w:tcPr>
          <w:p w:rsidR="00023FE7" w:rsidRPr="00734B50" w:rsidRDefault="00023FE7" w:rsidP="00273176">
            <w:pPr>
              <w:spacing w:before="60"/>
              <w:ind w:left="360" w:right="720"/>
              <w:jc w:val="center"/>
              <w:rPr>
                <w:rFonts w:eastAsia="Calibri" w:cs="Tahoma"/>
                <w:szCs w:val="18"/>
                <w:lang w:val="pt-BR"/>
              </w:rPr>
            </w:pPr>
            <w:r w:rsidRPr="00734B50">
              <w:rPr>
                <w:rFonts w:cs="Tahoma"/>
                <w:szCs w:val="18"/>
                <w:lang w:val="pt-BR"/>
              </w:rPr>
              <w:t>CAL Empresarial (Dispositivo</w:t>
            </w:r>
            <w:r w:rsidR="00273176" w:rsidRPr="00734B50">
              <w:rPr>
                <w:rFonts w:cs="Tahoma"/>
                <w:szCs w:val="18"/>
                <w:lang w:val="pt-BR"/>
              </w:rPr>
              <w:t> </w:t>
            </w:r>
            <w:r w:rsidRPr="00734B50">
              <w:rPr>
                <w:rFonts w:cs="Tahoma"/>
                <w:szCs w:val="18"/>
                <w:lang w:val="pt-BR"/>
              </w:rPr>
              <w:t>ou</w:t>
            </w:r>
            <w:r w:rsidR="00273176" w:rsidRPr="00734B50">
              <w:rPr>
                <w:rFonts w:cs="Tahoma"/>
                <w:szCs w:val="18"/>
                <w:lang w:val="pt-BR"/>
              </w:rPr>
              <w:t> </w:t>
            </w:r>
            <w:r w:rsidRPr="00734B50">
              <w:rPr>
                <w:rFonts w:cs="Tahoma"/>
                <w:szCs w:val="18"/>
                <w:lang w:val="pt-BR"/>
              </w:rPr>
              <w:t>Usuário)</w:t>
            </w:r>
          </w:p>
        </w:tc>
        <w:tc>
          <w:tcPr>
            <w:tcW w:w="4298" w:type="dxa"/>
            <w:tcBorders>
              <w:top w:val="nil"/>
              <w:left w:val="nil"/>
              <w:bottom w:val="single" w:sz="8" w:space="0" w:color="auto"/>
              <w:right w:val="single" w:sz="8" w:space="0" w:color="auto"/>
            </w:tcBorders>
          </w:tcPr>
          <w:p w:rsidR="00023FE7" w:rsidRPr="00653421" w:rsidRDefault="00023FE7" w:rsidP="00230E01">
            <w:pPr>
              <w:pStyle w:val="Bulletedlistflush"/>
              <w:spacing w:before="60"/>
              <w:ind w:left="576" w:right="720" w:firstLine="0"/>
              <w:jc w:val="center"/>
              <w:rPr>
                <w:rFonts w:ascii="Tahoma" w:hAnsi="Tahoma" w:cs="Tahoma"/>
                <w:sz w:val="18"/>
                <w:szCs w:val="18"/>
              </w:rPr>
            </w:pPr>
            <w:r w:rsidRPr="00653421">
              <w:rPr>
                <w:rFonts w:ascii="Tahoma" w:hAnsi="Tahoma" w:cs="Tahoma"/>
                <w:sz w:val="18"/>
                <w:szCs w:val="18"/>
              </w:rPr>
              <w:t>Qualquer CAL Empresarial</w:t>
            </w:r>
          </w:p>
        </w:tc>
      </w:tr>
      <w:tr w:rsidR="0000615E" w:rsidRPr="00653421" w:rsidTr="0044720D">
        <w:trPr>
          <w:trHeight w:val="576"/>
        </w:trPr>
        <w:tc>
          <w:tcPr>
            <w:tcW w:w="3809" w:type="dxa"/>
            <w:tcBorders>
              <w:top w:val="nil"/>
              <w:left w:val="single" w:sz="8" w:space="0" w:color="auto"/>
              <w:bottom w:val="single" w:sz="8" w:space="0" w:color="auto"/>
              <w:right w:val="single" w:sz="8" w:space="0" w:color="auto"/>
            </w:tcBorders>
          </w:tcPr>
          <w:p w:rsidR="0000615E" w:rsidRPr="00653421" w:rsidRDefault="0000615E" w:rsidP="00230E01">
            <w:pPr>
              <w:spacing w:before="60"/>
              <w:ind w:left="360" w:right="720"/>
              <w:jc w:val="center"/>
              <w:rPr>
                <w:rFonts w:eastAsia="Calibri" w:cs="Tahoma"/>
                <w:szCs w:val="18"/>
              </w:rPr>
            </w:pPr>
            <w:r w:rsidRPr="00653421">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734B50" w:rsidRDefault="008B2AA7" w:rsidP="00230E01">
            <w:pPr>
              <w:pStyle w:val="Bulletedlistflush"/>
              <w:spacing w:before="60"/>
              <w:ind w:left="576" w:right="720" w:firstLine="0"/>
              <w:jc w:val="center"/>
              <w:rPr>
                <w:lang w:val="fr-FR"/>
              </w:rPr>
            </w:pPr>
            <w:r w:rsidRPr="00734B50">
              <w:rPr>
                <w:rFonts w:ascii="Tahoma" w:hAnsi="Tahoma" w:cs="Tahoma"/>
                <w:sz w:val="18"/>
                <w:szCs w:val="18"/>
                <w:lang w:val="fr-FR"/>
              </w:rPr>
              <w:t>Office Professional Plus 2013</w:t>
            </w:r>
          </w:p>
          <w:p w:rsidR="0000615E" w:rsidRPr="00734B50" w:rsidRDefault="0000615E" w:rsidP="00230E01">
            <w:pPr>
              <w:pStyle w:val="Bulletedlistflush"/>
              <w:ind w:left="576" w:right="720" w:firstLine="0"/>
              <w:jc w:val="center"/>
              <w:rPr>
                <w:lang w:val="fr-FR"/>
              </w:rPr>
            </w:pPr>
            <w:r w:rsidRPr="00734B50">
              <w:rPr>
                <w:rFonts w:ascii="Tahoma" w:hAnsi="Tahoma" w:cs="Tahoma"/>
                <w:sz w:val="18"/>
                <w:szCs w:val="18"/>
                <w:lang w:val="fr-FR"/>
              </w:rPr>
              <w:t>Office Professional Plus 2010</w:t>
            </w:r>
          </w:p>
          <w:p w:rsidR="002D0FAC" w:rsidRPr="00653421" w:rsidRDefault="002D0FAC" w:rsidP="00230E01">
            <w:pPr>
              <w:pStyle w:val="Bulletedlistflush"/>
              <w:ind w:left="576" w:right="720" w:firstLine="0"/>
              <w:jc w:val="center"/>
            </w:pPr>
            <w:r w:rsidRPr="00653421">
              <w:rPr>
                <w:rFonts w:ascii="Tahoma" w:hAnsi="Tahoma" w:cs="Tahoma"/>
                <w:sz w:val="18"/>
                <w:szCs w:val="18"/>
              </w:rPr>
              <w:t>Office 2013 Professional</w:t>
            </w:r>
          </w:p>
          <w:p w:rsidR="0000615E" w:rsidRPr="00653421" w:rsidRDefault="0000615E" w:rsidP="00230E01">
            <w:pPr>
              <w:pStyle w:val="Bulletedlistflush"/>
              <w:ind w:left="576" w:right="720" w:firstLine="0"/>
              <w:jc w:val="center"/>
            </w:pPr>
            <w:r w:rsidRPr="00653421">
              <w:rPr>
                <w:rFonts w:ascii="Tahoma" w:hAnsi="Tahoma" w:cs="Tahoma"/>
                <w:sz w:val="18"/>
                <w:szCs w:val="18"/>
              </w:rPr>
              <w:t>Office 2010 Professional</w:t>
            </w:r>
          </w:p>
          <w:p w:rsidR="0000615E" w:rsidRPr="00653421" w:rsidRDefault="0000615E" w:rsidP="008B2AA7">
            <w:pPr>
              <w:pStyle w:val="Bulletedlistflush"/>
              <w:ind w:left="576" w:right="720" w:firstLine="0"/>
              <w:jc w:val="center"/>
              <w:rPr>
                <w:rFonts w:ascii="Tahoma" w:hAnsi="Tahoma" w:cs="Tahoma"/>
                <w:sz w:val="18"/>
                <w:szCs w:val="18"/>
              </w:rPr>
            </w:pPr>
          </w:p>
        </w:tc>
      </w:tr>
      <w:tr w:rsidR="00023FE7" w:rsidRPr="00653421" w:rsidTr="0044720D">
        <w:trPr>
          <w:trHeight w:val="576"/>
        </w:trPr>
        <w:tc>
          <w:tcPr>
            <w:tcW w:w="3809" w:type="dxa"/>
            <w:tcBorders>
              <w:top w:val="nil"/>
              <w:left w:val="single" w:sz="8" w:space="0" w:color="auto"/>
              <w:bottom w:val="single" w:sz="8" w:space="0" w:color="auto"/>
              <w:right w:val="single" w:sz="8" w:space="0" w:color="auto"/>
            </w:tcBorders>
          </w:tcPr>
          <w:p w:rsidR="00023FE7" w:rsidRPr="00734B50" w:rsidRDefault="00023FE7" w:rsidP="00273176">
            <w:pPr>
              <w:spacing w:before="60"/>
              <w:ind w:left="360" w:right="720"/>
              <w:jc w:val="center"/>
              <w:rPr>
                <w:rFonts w:eastAsia="Calibri" w:cs="Tahoma"/>
                <w:color w:val="000000"/>
                <w:szCs w:val="18"/>
                <w:lang w:val="pt-BR"/>
              </w:rPr>
            </w:pPr>
            <w:r w:rsidRPr="00734B50">
              <w:rPr>
                <w:rFonts w:cs="Tahoma"/>
                <w:color w:val="000000"/>
                <w:szCs w:val="18"/>
                <w:lang w:val="pt-BR"/>
              </w:rPr>
              <w:t>CAL do Small Business Server Standard 2011 (Dispositivo</w:t>
            </w:r>
            <w:r w:rsidR="00273176" w:rsidRPr="00734B50">
              <w:rPr>
                <w:rFonts w:cs="Tahoma"/>
                <w:color w:val="000000"/>
                <w:szCs w:val="18"/>
                <w:lang w:val="pt-BR"/>
              </w:rPr>
              <w:t> </w:t>
            </w:r>
            <w:r w:rsidRPr="00734B50">
              <w:rPr>
                <w:rFonts w:cs="Tahoma"/>
                <w:color w:val="000000"/>
                <w:szCs w:val="18"/>
                <w:lang w:val="pt-BR"/>
              </w:rPr>
              <w:t>ou</w:t>
            </w:r>
            <w:r w:rsidR="00273176" w:rsidRPr="00734B50">
              <w:rPr>
                <w:rFonts w:cs="Tahoma"/>
                <w:color w:val="000000"/>
                <w:szCs w:val="18"/>
                <w:lang w:val="pt-BR"/>
              </w:rPr>
              <w:t> </w:t>
            </w:r>
            <w:r w:rsidRPr="00734B50">
              <w:rPr>
                <w:rFonts w:cs="Tahoma"/>
                <w:color w:val="000000"/>
                <w:szCs w:val="18"/>
                <w:lang w:val="pt-BR"/>
              </w:rPr>
              <w:t>Usuário)</w:t>
            </w:r>
          </w:p>
        </w:tc>
        <w:tc>
          <w:tcPr>
            <w:tcW w:w="4298" w:type="dxa"/>
            <w:tcBorders>
              <w:top w:val="nil"/>
              <w:left w:val="nil"/>
              <w:bottom w:val="single" w:sz="8" w:space="0" w:color="auto"/>
              <w:right w:val="single" w:sz="8" w:space="0" w:color="auto"/>
            </w:tcBorders>
          </w:tcPr>
          <w:p w:rsidR="00684C4D" w:rsidRPr="00653421" w:rsidRDefault="00684C4D" w:rsidP="00230E01">
            <w:pPr>
              <w:spacing w:before="60"/>
              <w:ind w:left="576" w:right="720"/>
              <w:jc w:val="center"/>
            </w:pPr>
            <w:r w:rsidRPr="00653421">
              <w:rPr>
                <w:rFonts w:eastAsia="Calibri" w:cs="Tahoma"/>
                <w:color w:val="000000"/>
                <w:szCs w:val="18"/>
              </w:rPr>
              <w:t>CAL do Windows Small Business Server 2011</w:t>
            </w:r>
          </w:p>
          <w:p w:rsidR="00023FE7" w:rsidRPr="00653421" w:rsidRDefault="00023FE7">
            <w:pPr>
              <w:pStyle w:val="Bulletedlistflush"/>
              <w:ind w:left="576" w:right="720" w:firstLine="0"/>
              <w:jc w:val="center"/>
            </w:pPr>
            <w:r w:rsidRPr="00653421">
              <w:rPr>
                <w:rFonts w:ascii="Tahoma" w:hAnsi="Tahoma" w:cs="Tahoma"/>
                <w:color w:val="000000"/>
                <w:sz w:val="18"/>
                <w:szCs w:val="18"/>
              </w:rPr>
              <w:t>CAL do Windows Small Business Server Standard 2008</w:t>
            </w:r>
          </w:p>
          <w:p w:rsidR="00023FE7" w:rsidRPr="00653421" w:rsidRDefault="00023FE7" w:rsidP="00230E01">
            <w:pPr>
              <w:pStyle w:val="Bulletedlistflush"/>
              <w:ind w:left="576" w:right="720" w:firstLine="0"/>
              <w:jc w:val="center"/>
              <w:rPr>
                <w:rFonts w:ascii="Tahoma" w:hAnsi="Tahoma" w:cs="Tahoma"/>
                <w:color w:val="000000"/>
                <w:sz w:val="18"/>
                <w:szCs w:val="18"/>
              </w:rPr>
            </w:pPr>
          </w:p>
        </w:tc>
      </w:tr>
      <w:tr w:rsidR="00023FE7" w:rsidRPr="00653421" w:rsidTr="0044720D">
        <w:trPr>
          <w:trHeight w:val="576"/>
        </w:trPr>
        <w:tc>
          <w:tcPr>
            <w:tcW w:w="3809" w:type="dxa"/>
            <w:tcBorders>
              <w:top w:val="nil"/>
              <w:left w:val="single" w:sz="8" w:space="0" w:color="auto"/>
              <w:bottom w:val="single" w:sz="8" w:space="0" w:color="auto"/>
              <w:right w:val="single" w:sz="8" w:space="0" w:color="auto"/>
            </w:tcBorders>
          </w:tcPr>
          <w:p w:rsidR="00023FE7" w:rsidRPr="00734B50" w:rsidRDefault="00023FE7" w:rsidP="00273176">
            <w:pPr>
              <w:spacing w:before="60"/>
              <w:ind w:left="360" w:right="720"/>
              <w:jc w:val="center"/>
              <w:rPr>
                <w:rFonts w:eastAsia="Calibri" w:cs="Tahoma"/>
                <w:szCs w:val="18"/>
                <w:lang w:val="pt-BR"/>
              </w:rPr>
            </w:pPr>
            <w:r w:rsidRPr="00734B50">
              <w:rPr>
                <w:rFonts w:cs="Tahoma"/>
                <w:szCs w:val="18"/>
                <w:lang w:val="pt-BR"/>
              </w:rPr>
              <w:t>CAL do Small Business Server Premium 2011 (Dispositivo ou</w:t>
            </w:r>
            <w:r w:rsidR="00273176" w:rsidRPr="00734B50">
              <w:rPr>
                <w:rFonts w:cs="Tahoma"/>
                <w:szCs w:val="18"/>
                <w:lang w:val="pt-BR"/>
              </w:rPr>
              <w:t> </w:t>
            </w:r>
            <w:r w:rsidRPr="00734B50">
              <w:rPr>
                <w:rFonts w:cs="Tahoma"/>
                <w:szCs w:val="18"/>
                <w:lang w:val="pt-BR"/>
              </w:rPr>
              <w:t>Usuário)</w:t>
            </w:r>
          </w:p>
        </w:tc>
        <w:tc>
          <w:tcPr>
            <w:tcW w:w="4298" w:type="dxa"/>
            <w:tcBorders>
              <w:top w:val="nil"/>
              <w:left w:val="nil"/>
              <w:bottom w:val="single" w:sz="8" w:space="0" w:color="auto"/>
              <w:right w:val="single" w:sz="8" w:space="0" w:color="auto"/>
            </w:tcBorders>
          </w:tcPr>
          <w:p w:rsidR="00684C4D" w:rsidRPr="00653421" w:rsidRDefault="00684C4D" w:rsidP="00230E01">
            <w:pPr>
              <w:spacing w:before="60"/>
              <w:ind w:left="576" w:right="720"/>
              <w:jc w:val="center"/>
            </w:pPr>
            <w:r w:rsidRPr="00653421">
              <w:rPr>
                <w:rFonts w:eastAsia="Calibri" w:cs="Tahoma"/>
                <w:color w:val="000000"/>
                <w:szCs w:val="18"/>
              </w:rPr>
              <w:t>CAL do Windows Small Business Server Premium 2011</w:t>
            </w:r>
          </w:p>
          <w:p w:rsidR="00023FE7" w:rsidRPr="00653421" w:rsidRDefault="00023FE7">
            <w:pPr>
              <w:pStyle w:val="Bulletedlistflush"/>
              <w:ind w:left="576" w:right="720" w:firstLine="0"/>
              <w:jc w:val="center"/>
            </w:pPr>
            <w:r w:rsidRPr="00653421">
              <w:rPr>
                <w:rFonts w:ascii="Tahoma" w:hAnsi="Tahoma" w:cs="Tahoma"/>
                <w:color w:val="000000"/>
                <w:sz w:val="18"/>
                <w:szCs w:val="18"/>
              </w:rPr>
              <w:t>CAL do Windows Small Business Server Premium 2008</w:t>
            </w:r>
          </w:p>
          <w:p w:rsidR="00023FE7" w:rsidRPr="00653421" w:rsidRDefault="00023FE7" w:rsidP="00230E01">
            <w:pPr>
              <w:pStyle w:val="Bulletedlistflush"/>
              <w:ind w:left="576" w:right="720" w:firstLine="0"/>
              <w:jc w:val="center"/>
              <w:rPr>
                <w:rFonts w:ascii="Tahoma" w:hAnsi="Tahoma" w:cs="Tahoma"/>
                <w:sz w:val="18"/>
                <w:szCs w:val="18"/>
              </w:rPr>
            </w:pPr>
          </w:p>
        </w:tc>
      </w:tr>
      <w:tr w:rsidR="00023FE7" w:rsidRPr="00653421" w:rsidTr="0044720D">
        <w:trPr>
          <w:trHeight w:val="576"/>
        </w:trPr>
        <w:tc>
          <w:tcPr>
            <w:tcW w:w="3809" w:type="dxa"/>
            <w:tcBorders>
              <w:top w:val="nil"/>
              <w:left w:val="single" w:sz="8" w:space="0" w:color="auto"/>
              <w:bottom w:val="single" w:sz="8" w:space="0" w:color="auto"/>
              <w:right w:val="single" w:sz="8" w:space="0" w:color="auto"/>
            </w:tcBorders>
          </w:tcPr>
          <w:p w:rsidR="00023FE7" w:rsidRPr="00734B50" w:rsidRDefault="00023FE7" w:rsidP="00230E01">
            <w:pPr>
              <w:spacing w:before="60"/>
              <w:ind w:left="360" w:right="720"/>
              <w:jc w:val="center"/>
              <w:rPr>
                <w:lang w:val="pt-BR"/>
              </w:rPr>
            </w:pPr>
            <w:r w:rsidRPr="00734B50">
              <w:rPr>
                <w:rFonts w:cs="Tahoma"/>
                <w:szCs w:val="18"/>
                <w:lang w:val="pt-BR"/>
              </w:rPr>
              <w:t>CAL do Essential Business Server Standard 2008 (Dispositivo ou</w:t>
            </w:r>
            <w:r w:rsidR="00273176" w:rsidRPr="00734B50">
              <w:rPr>
                <w:rFonts w:cs="Tahoma"/>
                <w:szCs w:val="18"/>
                <w:lang w:val="pt-BR"/>
              </w:rPr>
              <w:t> </w:t>
            </w:r>
            <w:r w:rsidRPr="00734B50">
              <w:rPr>
                <w:rFonts w:cs="Tahoma"/>
                <w:szCs w:val="18"/>
                <w:lang w:val="pt-BR"/>
              </w:rPr>
              <w:t>Usuário)</w:t>
            </w:r>
          </w:p>
          <w:p w:rsidR="00230E01" w:rsidRPr="00734B50"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653421" w:rsidRDefault="00023FE7" w:rsidP="00230E01">
            <w:pPr>
              <w:pStyle w:val="Bulletedlistflush"/>
              <w:spacing w:before="60"/>
              <w:ind w:left="576" w:right="720" w:firstLine="0"/>
              <w:jc w:val="center"/>
              <w:rPr>
                <w:rFonts w:ascii="Tahoma" w:hAnsi="Tahoma" w:cs="Tahoma"/>
                <w:sz w:val="18"/>
                <w:szCs w:val="18"/>
              </w:rPr>
            </w:pPr>
            <w:r w:rsidRPr="00653421">
              <w:rPr>
                <w:rFonts w:ascii="Tahoma" w:hAnsi="Tahoma" w:cs="Tahoma"/>
                <w:sz w:val="18"/>
                <w:szCs w:val="18"/>
              </w:rPr>
              <w:t>CAL do Windows Essential Business Server Standard 2008</w:t>
            </w:r>
          </w:p>
        </w:tc>
      </w:tr>
      <w:tr w:rsidR="00023FE7" w:rsidRPr="00653421" w:rsidTr="0044720D">
        <w:trPr>
          <w:trHeight w:val="576"/>
        </w:trPr>
        <w:tc>
          <w:tcPr>
            <w:tcW w:w="3809" w:type="dxa"/>
            <w:tcBorders>
              <w:top w:val="nil"/>
              <w:left w:val="single" w:sz="8" w:space="0" w:color="auto"/>
              <w:bottom w:val="single" w:sz="8" w:space="0" w:color="auto"/>
              <w:right w:val="single" w:sz="8" w:space="0" w:color="auto"/>
            </w:tcBorders>
          </w:tcPr>
          <w:p w:rsidR="00023FE7" w:rsidRPr="00734B50" w:rsidRDefault="00023FE7" w:rsidP="00230E01">
            <w:pPr>
              <w:spacing w:before="60"/>
              <w:ind w:left="360" w:right="720"/>
              <w:jc w:val="center"/>
              <w:rPr>
                <w:lang w:val="pt-BR"/>
              </w:rPr>
            </w:pPr>
            <w:r w:rsidRPr="00734B50">
              <w:rPr>
                <w:rFonts w:cs="Tahoma"/>
                <w:szCs w:val="18"/>
                <w:lang w:val="pt-BR"/>
              </w:rPr>
              <w:t>CAL do Essential Business Server Premium 2008 (Dispositivo ou</w:t>
            </w:r>
            <w:r w:rsidR="00273176" w:rsidRPr="00734B50">
              <w:rPr>
                <w:rFonts w:cs="Tahoma"/>
                <w:szCs w:val="18"/>
                <w:lang w:val="pt-BR"/>
              </w:rPr>
              <w:t> </w:t>
            </w:r>
            <w:r w:rsidRPr="00734B50">
              <w:rPr>
                <w:rFonts w:cs="Tahoma"/>
                <w:szCs w:val="18"/>
                <w:lang w:val="pt-BR"/>
              </w:rPr>
              <w:t>Usuário)</w:t>
            </w:r>
          </w:p>
          <w:p w:rsidR="00230E01" w:rsidRPr="00734B50"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653421" w:rsidRDefault="00023FE7" w:rsidP="00230E01">
            <w:pPr>
              <w:pStyle w:val="Bulletedlistflush"/>
              <w:spacing w:before="60"/>
              <w:ind w:left="576" w:right="720" w:firstLine="0"/>
              <w:jc w:val="center"/>
              <w:rPr>
                <w:rFonts w:ascii="Tahoma" w:hAnsi="Tahoma" w:cs="Tahoma"/>
                <w:sz w:val="18"/>
                <w:szCs w:val="18"/>
              </w:rPr>
            </w:pPr>
            <w:r w:rsidRPr="00653421">
              <w:rPr>
                <w:rFonts w:ascii="Tahoma" w:hAnsi="Tahoma" w:cs="Tahoma"/>
                <w:sz w:val="18"/>
                <w:szCs w:val="18"/>
              </w:rPr>
              <w:t>CAL do Windows Essential Business Server Premium 2008</w:t>
            </w:r>
          </w:p>
        </w:tc>
      </w:tr>
      <w:tr w:rsidR="00023FE7" w:rsidRPr="00653421" w:rsidTr="0044720D">
        <w:trPr>
          <w:trHeight w:val="576"/>
        </w:trPr>
        <w:tc>
          <w:tcPr>
            <w:tcW w:w="3809" w:type="dxa"/>
            <w:tcBorders>
              <w:top w:val="nil"/>
              <w:left w:val="single" w:sz="8" w:space="0" w:color="auto"/>
              <w:bottom w:val="single" w:sz="8" w:space="0" w:color="auto"/>
              <w:right w:val="single" w:sz="8" w:space="0" w:color="auto"/>
            </w:tcBorders>
          </w:tcPr>
          <w:p w:rsidR="00023FE7" w:rsidRPr="00653421" w:rsidRDefault="00023FE7" w:rsidP="00230E01">
            <w:pPr>
              <w:spacing w:before="60"/>
              <w:ind w:left="360" w:right="720"/>
              <w:jc w:val="center"/>
              <w:rPr>
                <w:rFonts w:eastAsia="Calibri" w:cs="Tahoma"/>
                <w:szCs w:val="18"/>
              </w:rPr>
            </w:pPr>
            <w:r w:rsidRPr="00653421">
              <w:rPr>
                <w:rFonts w:cs="Tahoma"/>
                <w:szCs w:val="18"/>
              </w:rPr>
              <w:t>Atualização do Windows 8 Pro</w:t>
            </w:r>
          </w:p>
        </w:tc>
        <w:tc>
          <w:tcPr>
            <w:tcW w:w="4298" w:type="dxa"/>
            <w:tcBorders>
              <w:top w:val="nil"/>
              <w:left w:val="nil"/>
              <w:bottom w:val="single" w:sz="8" w:space="0" w:color="auto"/>
              <w:right w:val="single" w:sz="8" w:space="0" w:color="auto"/>
            </w:tcBorders>
          </w:tcPr>
          <w:p w:rsidR="008B6EDD" w:rsidRPr="00653421" w:rsidRDefault="008B6EDD" w:rsidP="00230E01">
            <w:pPr>
              <w:pStyle w:val="Bulletedlistflush"/>
              <w:spacing w:before="60"/>
              <w:ind w:left="576" w:right="720" w:firstLine="0"/>
              <w:jc w:val="center"/>
            </w:pPr>
            <w:r w:rsidRPr="00653421">
              <w:rPr>
                <w:rFonts w:ascii="Tahoma" w:hAnsi="Tahoma" w:cs="Tahoma"/>
                <w:sz w:val="18"/>
                <w:szCs w:val="18"/>
              </w:rPr>
              <w:t>Windows 8 Pro</w:t>
            </w:r>
          </w:p>
          <w:p w:rsidR="00023FE7" w:rsidRPr="00653421" w:rsidRDefault="00023FE7" w:rsidP="008B6EDD">
            <w:pPr>
              <w:pStyle w:val="Bulletedlistflush"/>
              <w:ind w:left="576" w:right="720" w:firstLine="0"/>
              <w:jc w:val="center"/>
              <w:rPr>
                <w:rFonts w:ascii="Tahoma" w:hAnsi="Tahoma" w:cs="Tahoma"/>
                <w:sz w:val="18"/>
                <w:szCs w:val="18"/>
              </w:rPr>
            </w:pPr>
            <w:r w:rsidRPr="00653421">
              <w:rPr>
                <w:rFonts w:ascii="Tahoma" w:hAnsi="Tahoma" w:cs="Tahoma"/>
                <w:sz w:val="18"/>
                <w:szCs w:val="18"/>
              </w:rPr>
              <w:t>Windows 7 Professional</w:t>
            </w:r>
          </w:p>
        </w:tc>
      </w:tr>
    </w:tbl>
    <w:p w:rsidR="007C4AA7" w:rsidRPr="00653421" w:rsidRDefault="007C4AA7"/>
    <w:p w:rsidR="007C4AA7" w:rsidRPr="00653421" w:rsidRDefault="007C4AA7" w:rsidP="007C4AA7">
      <w:r w:rsidRPr="00653421">
        <w:br w:type="page"/>
      </w:r>
    </w:p>
    <w:p w:rsidR="00456002" w:rsidRPr="00734B50" w:rsidRDefault="00456002" w:rsidP="00456002">
      <w:pPr>
        <w:pStyle w:val="Heading2"/>
        <w:ind w:left="0"/>
        <w:rPr>
          <w:lang w:val="pt-BR"/>
        </w:rPr>
      </w:pPr>
      <w:bookmarkStart w:id="685" w:name="_Toc336338195"/>
      <w:bookmarkStart w:id="686" w:name="_Toc353470843"/>
      <w:r w:rsidRPr="00734B50">
        <w:rPr>
          <w:rFonts w:ascii="Tahoma" w:hAnsi="Tahoma" w:cs="Tahoma"/>
          <w:lang w:val="pt-BR"/>
        </w:rPr>
        <w:lastRenderedPageBreak/>
        <w:t>Termos de Programa Atualizados dos Contratos Enterprise e Subscription</w:t>
      </w:r>
      <w:bookmarkEnd w:id="685"/>
      <w:bookmarkEnd w:id="686"/>
    </w:p>
    <w:p w:rsidR="00456002" w:rsidRPr="00734B50" w:rsidRDefault="00456002" w:rsidP="00456002">
      <w:pPr>
        <w:tabs>
          <w:tab w:val="left" w:pos="360"/>
        </w:tabs>
        <w:rPr>
          <w:lang w:val="pt-BR"/>
        </w:rPr>
      </w:pPr>
    </w:p>
    <w:p w:rsidR="00456002" w:rsidRPr="00734B50" w:rsidRDefault="00456002" w:rsidP="00F06EC5">
      <w:pPr>
        <w:keepNext/>
        <w:spacing w:after="60"/>
        <w:outlineLvl w:val="3"/>
        <w:rPr>
          <w:lang w:val="pt-BR"/>
        </w:rPr>
      </w:pPr>
      <w:r w:rsidRPr="00734B50">
        <w:rPr>
          <w:rFonts w:cs="Tahoma"/>
          <w:b/>
          <w:szCs w:val="20"/>
          <w:lang w:val="pt-BR"/>
        </w:rPr>
        <w:t>Serviços Online Enterprise que satisfazem os requisitos do Produto Enterprise</w:t>
      </w:r>
    </w:p>
    <w:p w:rsidR="00456002" w:rsidRPr="00734B50" w:rsidRDefault="00456002" w:rsidP="00366502">
      <w:pPr>
        <w:tabs>
          <w:tab w:val="left" w:pos="360"/>
        </w:tabs>
        <w:rPr>
          <w:lang w:val="pt-BR"/>
        </w:rPr>
      </w:pPr>
      <w:r w:rsidRPr="00734B50">
        <w:rPr>
          <w:rFonts w:cs="Tahoma"/>
          <w:b/>
          <w:szCs w:val="20"/>
          <w:lang w:val="pt-BR"/>
        </w:rPr>
        <w:t>Observação:</w:t>
      </w:r>
      <w:r w:rsidRPr="00734B50">
        <w:rPr>
          <w:rFonts w:cs="Tahoma"/>
          <w:szCs w:val="20"/>
          <w:lang w:val="pt-BR"/>
        </w:rPr>
        <w:t xml:space="preserve"> O seguinte se aplica aos clientes do Registro Enterprise e Enterprise Subscription qualificados para comprar os Serviços Online Enterprise.</w:t>
      </w:r>
      <w:r w:rsidR="00DD7735" w:rsidRPr="00734B50">
        <w:rPr>
          <w:rFonts w:cs="Tahoma"/>
          <w:szCs w:val="20"/>
          <w:lang w:val="pt-BR"/>
        </w:rPr>
        <w:t xml:space="preserve"> </w:t>
      </w:r>
      <w:r w:rsidRPr="00734B50">
        <w:rPr>
          <w:rFonts w:cs="Tahoma"/>
          <w:szCs w:val="20"/>
          <w:lang w:val="pt-BR"/>
        </w:rPr>
        <w:t>Os clientes que tiverem dúvidas sobre sua qualificação para comprar os Serviços Online Enterprise devem entrar em contato com o Consultor de Software, Revendedor ou Gerente de Conta</w:t>
      </w:r>
      <w:r w:rsidR="0075742A" w:rsidRPr="00734B50">
        <w:rPr>
          <w:rFonts w:cs="Tahoma"/>
          <w:szCs w:val="20"/>
          <w:lang w:val="pt-BR"/>
        </w:rPr>
        <w:t> </w:t>
      </w:r>
      <w:r w:rsidRPr="00734B50">
        <w:rPr>
          <w:rFonts w:cs="Tahoma"/>
          <w:szCs w:val="20"/>
          <w:lang w:val="pt-BR"/>
        </w:rPr>
        <w:t>Microsoft para obter mais informações.</w:t>
      </w:r>
      <w:r w:rsidR="00DD7735" w:rsidRPr="00734B50">
        <w:rPr>
          <w:rFonts w:cs="Tahoma"/>
          <w:szCs w:val="20"/>
          <w:lang w:val="pt-BR"/>
        </w:rPr>
        <w:t xml:space="preserve"> </w:t>
      </w:r>
    </w:p>
    <w:p w:rsidR="00456002" w:rsidRPr="00734B50" w:rsidRDefault="00456002" w:rsidP="00366502">
      <w:pPr>
        <w:tabs>
          <w:tab w:val="left" w:pos="360"/>
        </w:tabs>
        <w:rPr>
          <w:lang w:val="pt-BR"/>
        </w:rPr>
      </w:pPr>
    </w:p>
    <w:p w:rsidR="00456002" w:rsidRPr="00734B50" w:rsidRDefault="00456002" w:rsidP="00366502">
      <w:pPr>
        <w:tabs>
          <w:tab w:val="left" w:pos="360"/>
        </w:tabs>
        <w:rPr>
          <w:lang w:val="pt-BR"/>
        </w:rPr>
      </w:pPr>
      <w:r w:rsidRPr="00734B50">
        <w:rPr>
          <w:rFonts w:cs="Tahoma"/>
          <w:szCs w:val="20"/>
          <w:lang w:val="pt-BR"/>
        </w:rPr>
        <w:t>Uma combinação dos Produtos Enterprise e dos Serviços Online Enterprise pode ser usada para atender aos requisitos de toda a Empresa em um Registro Enterprise ou Enterprise Subscription.</w:t>
      </w:r>
    </w:p>
    <w:p w:rsidR="0075742A" w:rsidRPr="00734B50" w:rsidRDefault="0075742A" w:rsidP="00366502">
      <w:pPr>
        <w:tabs>
          <w:tab w:val="left" w:pos="360"/>
        </w:tabs>
        <w:rPr>
          <w:lang w:val="pt-BR"/>
        </w:rPr>
      </w:pPr>
    </w:p>
    <w:p w:rsidR="00456002" w:rsidRPr="00734B50" w:rsidRDefault="00456002" w:rsidP="00366502">
      <w:pPr>
        <w:tabs>
          <w:tab w:val="left" w:pos="360"/>
        </w:tabs>
        <w:rPr>
          <w:lang w:val="pt-BR"/>
        </w:rPr>
      </w:pPr>
      <w:r w:rsidRPr="00734B50">
        <w:rPr>
          <w:rFonts w:cs="Tahoma"/>
          <w:szCs w:val="20"/>
          <w:lang w:val="pt-BR"/>
        </w:rPr>
        <w:t>A tabela a seguir identifica os Serviços Online Enterprise e as CALs necessárias (se aplicável) que atendem aos requisitos de toda a Empresa para Produtos Enterprise.</w:t>
      </w:r>
      <w:r w:rsidR="00DD7735" w:rsidRPr="00734B50">
        <w:rPr>
          <w:rFonts w:cs="Tahoma"/>
          <w:szCs w:val="20"/>
          <w:lang w:val="pt-BR"/>
        </w:rPr>
        <w:t xml:space="preserve"> </w:t>
      </w:r>
    </w:p>
    <w:p w:rsidR="00456002" w:rsidRPr="00734B50" w:rsidRDefault="00456002" w:rsidP="0055442E">
      <w:pPr>
        <w:ind w:left="720"/>
        <w:rPr>
          <w:lang w:val="pt-B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653421"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653421" w:rsidRDefault="00456002" w:rsidP="005C647E">
            <w:pPr>
              <w:keepNext/>
              <w:jc w:val="center"/>
              <w:rPr>
                <w:rFonts w:cs="Tahoma"/>
                <w:b/>
              </w:rPr>
            </w:pPr>
            <w:r w:rsidRPr="00653421">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653421" w:rsidRDefault="00456002" w:rsidP="005C647E">
            <w:pPr>
              <w:keepNext/>
              <w:jc w:val="center"/>
              <w:rPr>
                <w:rFonts w:cs="Tahoma"/>
                <w:b/>
              </w:rPr>
            </w:pPr>
            <w:r w:rsidRPr="00653421">
              <w:rPr>
                <w:rFonts w:cs="Tahoma"/>
                <w:b/>
                <w:bCs/>
              </w:rPr>
              <w:t>Serviços Online Enterprise***</w:t>
            </w:r>
          </w:p>
        </w:tc>
      </w:tr>
      <w:tr w:rsidR="00E71EB9" w:rsidRPr="00653421"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653421" w:rsidRDefault="00E71EB9" w:rsidP="005C647E">
            <w:pPr>
              <w:ind w:left="144"/>
              <w:rPr>
                <w:rFonts w:cs="Tahoma"/>
                <w:szCs w:val="18"/>
              </w:rPr>
            </w:pPr>
            <w:r w:rsidRPr="00653421">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653421" w:rsidRDefault="00E71EB9" w:rsidP="00F06EC5">
            <w:pPr>
              <w:numPr>
                <w:ilvl w:val="0"/>
                <w:numId w:val="47"/>
              </w:numPr>
              <w:spacing w:before="60" w:after="60"/>
              <w:ind w:left="907"/>
            </w:pPr>
            <w:r w:rsidRPr="00653421">
              <w:rPr>
                <w:rFonts w:cs="Tahoma"/>
                <w:color w:val="000000"/>
                <w:szCs w:val="18"/>
              </w:rPr>
              <w:t>Office 365 (Enterprise E2)</w:t>
            </w:r>
          </w:p>
          <w:p w:rsidR="00E71EB9" w:rsidRPr="00653421" w:rsidRDefault="00E71EB9" w:rsidP="00822871">
            <w:pPr>
              <w:numPr>
                <w:ilvl w:val="0"/>
                <w:numId w:val="47"/>
              </w:numPr>
              <w:spacing w:after="60"/>
              <w:ind w:left="907"/>
            </w:pPr>
            <w:r w:rsidRPr="00653421">
              <w:rPr>
                <w:rFonts w:cs="Tahoma"/>
                <w:color w:val="000000"/>
                <w:szCs w:val="18"/>
              </w:rPr>
              <w:t>Office 365 (Enterprise E3)</w:t>
            </w:r>
          </w:p>
          <w:p w:rsidR="00E71EB9" w:rsidRPr="00653421" w:rsidRDefault="00E71EB9" w:rsidP="00822871">
            <w:pPr>
              <w:numPr>
                <w:ilvl w:val="0"/>
                <w:numId w:val="47"/>
              </w:numPr>
              <w:spacing w:after="60"/>
              <w:ind w:left="907"/>
            </w:pPr>
            <w:r w:rsidRPr="00653421">
              <w:rPr>
                <w:rFonts w:cs="Tahoma"/>
                <w:color w:val="000000"/>
                <w:szCs w:val="18"/>
              </w:rPr>
              <w:t xml:space="preserve">Office 365 (Enterprise E4) </w:t>
            </w:r>
          </w:p>
          <w:p w:rsidR="00E71EB9" w:rsidRPr="00653421" w:rsidRDefault="00E71EB9" w:rsidP="00822871">
            <w:pPr>
              <w:numPr>
                <w:ilvl w:val="0"/>
                <w:numId w:val="47"/>
              </w:numPr>
              <w:spacing w:after="60"/>
              <w:ind w:left="907"/>
            </w:pPr>
            <w:r w:rsidRPr="00653421">
              <w:rPr>
                <w:rFonts w:cs="Tahoma"/>
                <w:color w:val="000000"/>
                <w:szCs w:val="18"/>
              </w:rPr>
              <w:t>Office 365 (Government G2)</w:t>
            </w:r>
          </w:p>
          <w:p w:rsidR="00E71EB9" w:rsidRPr="00653421" w:rsidRDefault="00E71EB9" w:rsidP="00822871">
            <w:pPr>
              <w:numPr>
                <w:ilvl w:val="0"/>
                <w:numId w:val="47"/>
              </w:numPr>
              <w:spacing w:after="60"/>
              <w:ind w:left="907"/>
            </w:pPr>
            <w:r w:rsidRPr="00653421">
              <w:rPr>
                <w:rFonts w:cs="Tahoma"/>
                <w:color w:val="000000"/>
                <w:szCs w:val="18"/>
              </w:rPr>
              <w:t>Office 365 (Government G3)</w:t>
            </w:r>
          </w:p>
          <w:p w:rsidR="00E71EB9" w:rsidRPr="00653421" w:rsidRDefault="00E71EB9" w:rsidP="00822871">
            <w:pPr>
              <w:numPr>
                <w:ilvl w:val="0"/>
                <w:numId w:val="47"/>
              </w:numPr>
              <w:spacing w:after="60"/>
              <w:ind w:left="907"/>
            </w:pPr>
            <w:r w:rsidRPr="00653421">
              <w:rPr>
                <w:rFonts w:cs="Tahoma"/>
                <w:color w:val="000000"/>
                <w:szCs w:val="18"/>
              </w:rPr>
              <w:t>Office 365 (Government G4)</w:t>
            </w:r>
          </w:p>
          <w:p w:rsidR="00C571BD" w:rsidRPr="00653421" w:rsidRDefault="00C571BD" w:rsidP="00F06EC5">
            <w:pPr>
              <w:ind w:left="907"/>
              <w:rPr>
                <w:rFonts w:cs="Tahoma"/>
                <w:color w:val="000000"/>
                <w:szCs w:val="18"/>
              </w:rPr>
            </w:pPr>
          </w:p>
        </w:tc>
      </w:tr>
      <w:tr w:rsidR="00E71EB9" w:rsidRPr="00653421"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653421" w:rsidRDefault="00E71EB9" w:rsidP="005C647E">
            <w:pPr>
              <w:ind w:left="144"/>
              <w:rPr>
                <w:rFonts w:cs="Tahoma"/>
                <w:szCs w:val="18"/>
              </w:rPr>
            </w:pPr>
            <w:r w:rsidRPr="00653421">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653421" w:rsidRDefault="008368B4" w:rsidP="008368B4">
            <w:pPr>
              <w:numPr>
                <w:ilvl w:val="0"/>
                <w:numId w:val="47"/>
              </w:numPr>
              <w:spacing w:before="60" w:after="60"/>
              <w:ind w:left="907"/>
            </w:pPr>
            <w:r w:rsidRPr="00653421">
              <w:rPr>
                <w:rFonts w:cs="Tahoma"/>
                <w:color w:val="000000"/>
                <w:szCs w:val="18"/>
              </w:rPr>
              <w:t>Office 365 (Enterprise E1)*</w:t>
            </w:r>
          </w:p>
          <w:p w:rsidR="008368B4" w:rsidRPr="00653421" w:rsidRDefault="008368B4" w:rsidP="008368B4">
            <w:pPr>
              <w:numPr>
                <w:ilvl w:val="0"/>
                <w:numId w:val="47"/>
              </w:numPr>
              <w:spacing w:after="60"/>
            </w:pPr>
            <w:r w:rsidRPr="00653421">
              <w:rPr>
                <w:rFonts w:cs="Tahoma"/>
                <w:color w:val="000000"/>
                <w:szCs w:val="18"/>
              </w:rPr>
              <w:t>Office 365 (Enterprise E2)*</w:t>
            </w:r>
          </w:p>
          <w:p w:rsidR="008368B4" w:rsidRPr="00653421" w:rsidRDefault="008368B4" w:rsidP="008368B4">
            <w:pPr>
              <w:numPr>
                <w:ilvl w:val="0"/>
                <w:numId w:val="47"/>
              </w:numPr>
              <w:spacing w:after="60"/>
            </w:pPr>
            <w:r w:rsidRPr="00653421">
              <w:rPr>
                <w:rFonts w:cs="Tahoma"/>
                <w:color w:val="000000"/>
                <w:szCs w:val="18"/>
              </w:rPr>
              <w:t>Office 365 (Enterprise E3)*</w:t>
            </w:r>
          </w:p>
          <w:p w:rsidR="008368B4" w:rsidRPr="00653421" w:rsidRDefault="008368B4" w:rsidP="008368B4">
            <w:pPr>
              <w:numPr>
                <w:ilvl w:val="0"/>
                <w:numId w:val="47"/>
              </w:numPr>
              <w:spacing w:after="60"/>
            </w:pPr>
            <w:r w:rsidRPr="00653421">
              <w:rPr>
                <w:rFonts w:cs="Tahoma"/>
                <w:color w:val="000000"/>
                <w:szCs w:val="18"/>
              </w:rPr>
              <w:t>Office 365 (Enterprise E4)*</w:t>
            </w:r>
          </w:p>
          <w:p w:rsidR="008368B4" w:rsidRPr="00653421" w:rsidRDefault="008368B4" w:rsidP="008368B4">
            <w:pPr>
              <w:numPr>
                <w:ilvl w:val="0"/>
                <w:numId w:val="47"/>
              </w:numPr>
              <w:spacing w:after="60"/>
            </w:pPr>
            <w:r w:rsidRPr="00653421">
              <w:rPr>
                <w:rFonts w:cs="Tahoma"/>
                <w:color w:val="000000"/>
                <w:szCs w:val="18"/>
              </w:rPr>
              <w:t>Office 365 (Government G1)*</w:t>
            </w:r>
          </w:p>
          <w:p w:rsidR="008368B4" w:rsidRPr="00653421" w:rsidRDefault="008368B4" w:rsidP="008368B4">
            <w:pPr>
              <w:numPr>
                <w:ilvl w:val="0"/>
                <w:numId w:val="47"/>
              </w:numPr>
              <w:spacing w:after="60"/>
            </w:pPr>
            <w:r w:rsidRPr="00653421">
              <w:rPr>
                <w:rFonts w:cs="Tahoma"/>
                <w:color w:val="000000"/>
                <w:szCs w:val="18"/>
              </w:rPr>
              <w:t>Office 365 (Government G2)*</w:t>
            </w:r>
          </w:p>
          <w:p w:rsidR="008368B4" w:rsidRPr="00653421" w:rsidRDefault="004D2744" w:rsidP="008368B4">
            <w:pPr>
              <w:numPr>
                <w:ilvl w:val="0"/>
                <w:numId w:val="47"/>
              </w:numPr>
              <w:spacing w:after="60"/>
            </w:pPr>
            <w:r w:rsidRPr="00653421">
              <w:rPr>
                <w:rFonts w:cs="Tahoma"/>
                <w:color w:val="000000"/>
                <w:szCs w:val="18"/>
              </w:rPr>
              <w:t>Office 365 (Government G3)*</w:t>
            </w:r>
          </w:p>
          <w:p w:rsidR="008368B4" w:rsidRPr="00653421" w:rsidRDefault="008368B4" w:rsidP="008368B4">
            <w:pPr>
              <w:numPr>
                <w:ilvl w:val="0"/>
                <w:numId w:val="47"/>
              </w:numPr>
              <w:spacing w:after="60"/>
            </w:pPr>
            <w:r w:rsidRPr="00653421">
              <w:rPr>
                <w:rFonts w:cs="Tahoma"/>
                <w:color w:val="000000"/>
                <w:szCs w:val="18"/>
              </w:rPr>
              <w:t>Office 365 (Government G4)*</w:t>
            </w:r>
          </w:p>
          <w:p w:rsidR="00822871" w:rsidRPr="00653421" w:rsidRDefault="00E71EB9" w:rsidP="00822871">
            <w:pPr>
              <w:numPr>
                <w:ilvl w:val="0"/>
                <w:numId w:val="47"/>
              </w:numPr>
              <w:spacing w:after="60"/>
            </w:pPr>
            <w:r w:rsidRPr="00653421">
              <w:rPr>
                <w:rFonts w:cs="Tahoma"/>
                <w:color w:val="000000"/>
                <w:szCs w:val="18"/>
              </w:rPr>
              <w:t xml:space="preserve">Windows Intune* </w:t>
            </w:r>
          </w:p>
          <w:p w:rsidR="00822871" w:rsidRPr="00653421" w:rsidRDefault="00822871" w:rsidP="00F06EC5">
            <w:pPr>
              <w:ind w:left="907"/>
              <w:rPr>
                <w:rFonts w:cs="Tahoma"/>
                <w:color w:val="000000"/>
                <w:szCs w:val="18"/>
              </w:rPr>
            </w:pPr>
          </w:p>
        </w:tc>
      </w:tr>
      <w:tr w:rsidR="00E71EB9" w:rsidRPr="00653421"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653421" w:rsidRDefault="00E71EB9" w:rsidP="005C647E">
            <w:pPr>
              <w:ind w:left="144"/>
              <w:rPr>
                <w:rFonts w:cs="Tahoma"/>
                <w:szCs w:val="18"/>
              </w:rPr>
            </w:pPr>
            <w:r w:rsidRPr="00653421">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653421" w:rsidRDefault="008368B4" w:rsidP="008368B4">
            <w:pPr>
              <w:numPr>
                <w:ilvl w:val="0"/>
                <w:numId w:val="48"/>
              </w:numPr>
              <w:spacing w:before="60" w:after="60"/>
              <w:ind w:left="907"/>
            </w:pPr>
            <w:r w:rsidRPr="00653421">
              <w:rPr>
                <w:rFonts w:eastAsia="Calibri" w:cs="Tahoma"/>
                <w:color w:val="000000"/>
                <w:szCs w:val="18"/>
              </w:rPr>
              <w:t xml:space="preserve">Office 365 </w:t>
            </w:r>
            <w:r w:rsidRPr="00653421">
              <w:rPr>
                <w:rFonts w:cs="Tahoma"/>
                <w:color w:val="000000"/>
                <w:szCs w:val="18"/>
              </w:rPr>
              <w:t>(Enterprise E3)*</w:t>
            </w:r>
          </w:p>
          <w:p w:rsidR="008368B4" w:rsidRPr="00653421" w:rsidRDefault="008368B4" w:rsidP="008368B4">
            <w:pPr>
              <w:numPr>
                <w:ilvl w:val="0"/>
                <w:numId w:val="48"/>
              </w:numPr>
              <w:spacing w:after="60"/>
            </w:pPr>
            <w:r w:rsidRPr="00653421">
              <w:rPr>
                <w:rFonts w:eastAsia="Calibri" w:cs="Tahoma"/>
                <w:color w:val="000000"/>
                <w:szCs w:val="18"/>
              </w:rPr>
              <w:t xml:space="preserve">Office 365 </w:t>
            </w:r>
            <w:r w:rsidRPr="00653421">
              <w:rPr>
                <w:rFonts w:cs="Tahoma"/>
                <w:color w:val="000000"/>
                <w:szCs w:val="18"/>
              </w:rPr>
              <w:t>(Enterprise E4)*</w:t>
            </w:r>
          </w:p>
          <w:p w:rsidR="008368B4" w:rsidRPr="00653421" w:rsidRDefault="008368B4" w:rsidP="008368B4">
            <w:pPr>
              <w:numPr>
                <w:ilvl w:val="0"/>
                <w:numId w:val="48"/>
              </w:numPr>
              <w:spacing w:after="60"/>
            </w:pPr>
            <w:r w:rsidRPr="00653421">
              <w:rPr>
                <w:rFonts w:eastAsia="Calibri" w:cs="Tahoma"/>
                <w:color w:val="000000"/>
                <w:szCs w:val="18"/>
              </w:rPr>
              <w:t xml:space="preserve">Office 365 </w:t>
            </w:r>
            <w:r w:rsidRPr="00653421">
              <w:rPr>
                <w:rFonts w:cs="Tahoma"/>
                <w:color w:val="000000"/>
                <w:szCs w:val="18"/>
              </w:rPr>
              <w:t>(Government G3)*</w:t>
            </w:r>
          </w:p>
          <w:p w:rsidR="008368B4" w:rsidRPr="00653421" w:rsidRDefault="008368B4" w:rsidP="008368B4">
            <w:pPr>
              <w:numPr>
                <w:ilvl w:val="0"/>
                <w:numId w:val="48"/>
              </w:numPr>
              <w:spacing w:after="60"/>
            </w:pPr>
            <w:r w:rsidRPr="00653421">
              <w:rPr>
                <w:rFonts w:eastAsia="Calibri" w:cs="Tahoma"/>
                <w:color w:val="000000"/>
                <w:szCs w:val="18"/>
              </w:rPr>
              <w:t xml:space="preserve">Office 365 </w:t>
            </w:r>
            <w:r w:rsidRPr="00653421">
              <w:rPr>
                <w:rFonts w:cs="Tahoma"/>
                <w:color w:val="000000"/>
                <w:szCs w:val="18"/>
              </w:rPr>
              <w:t>(Government G4)*</w:t>
            </w:r>
          </w:p>
          <w:p w:rsidR="00822871" w:rsidRPr="00653421" w:rsidRDefault="00E71EB9" w:rsidP="00822871">
            <w:pPr>
              <w:numPr>
                <w:ilvl w:val="0"/>
                <w:numId w:val="48"/>
              </w:numPr>
              <w:spacing w:after="60"/>
            </w:pPr>
            <w:r w:rsidRPr="00653421">
              <w:rPr>
                <w:rFonts w:cs="Tahoma"/>
                <w:color w:val="000000"/>
                <w:szCs w:val="18"/>
              </w:rPr>
              <w:t>Windows Intune*</w:t>
            </w:r>
          </w:p>
          <w:p w:rsidR="00E71EB9" w:rsidRPr="00653421" w:rsidRDefault="00E71EB9" w:rsidP="0038120B">
            <w:pPr>
              <w:ind w:left="907"/>
              <w:rPr>
                <w:rFonts w:cs="Tahoma"/>
                <w:color w:val="000000"/>
                <w:szCs w:val="18"/>
              </w:rPr>
            </w:pPr>
            <w:r w:rsidRPr="00653421">
              <w:rPr>
                <w:rFonts w:cs="Tahoma"/>
                <w:color w:val="000000"/>
                <w:szCs w:val="18"/>
              </w:rPr>
              <w:t xml:space="preserve"> </w:t>
            </w:r>
          </w:p>
        </w:tc>
      </w:tr>
    </w:tbl>
    <w:p w:rsidR="00456002" w:rsidRPr="00734B50" w:rsidRDefault="00456002" w:rsidP="00456002">
      <w:pPr>
        <w:tabs>
          <w:tab w:val="left" w:pos="360"/>
        </w:tabs>
        <w:ind w:left="720"/>
        <w:rPr>
          <w:lang w:val="pt-BR"/>
        </w:rPr>
      </w:pPr>
      <w:r w:rsidRPr="00734B50">
        <w:rPr>
          <w:rFonts w:cs="Tahoma"/>
          <w:i/>
          <w:sz w:val="16"/>
          <w:szCs w:val="20"/>
          <w:lang w:val="pt-BR"/>
        </w:rPr>
        <w:t>* Requer Bridge do Pacote de CALs adequado. Para obter mais informações sobre o Bridge do Pacote de CALs, consulte a</w:t>
      </w:r>
      <w:r w:rsidR="00934BAF" w:rsidRPr="00734B50">
        <w:rPr>
          <w:rFonts w:cs="Tahoma"/>
          <w:i/>
          <w:sz w:val="16"/>
          <w:szCs w:val="20"/>
          <w:lang w:val="pt-BR"/>
        </w:rPr>
        <w:t> </w:t>
      </w:r>
      <w:r w:rsidRPr="00734B50">
        <w:rPr>
          <w:rFonts w:cs="Tahoma"/>
          <w:i/>
          <w:sz w:val="16"/>
          <w:szCs w:val="20"/>
          <w:lang w:val="pt-BR"/>
        </w:rPr>
        <w:t>seção de notas do produto neste documento.</w:t>
      </w:r>
    </w:p>
    <w:p w:rsidR="00456002" w:rsidRPr="00734B50" w:rsidRDefault="00456002" w:rsidP="00456002">
      <w:pPr>
        <w:tabs>
          <w:tab w:val="left" w:pos="360"/>
        </w:tabs>
        <w:ind w:left="720"/>
        <w:rPr>
          <w:lang w:val="pt-BR"/>
        </w:rPr>
      </w:pPr>
      <w:r w:rsidRPr="00734B50">
        <w:rPr>
          <w:rFonts w:cs="Tahoma"/>
          <w:i/>
          <w:sz w:val="16"/>
          <w:szCs w:val="20"/>
          <w:lang w:val="pt-BR"/>
        </w:rPr>
        <w:t>**</w:t>
      </w:r>
      <w:r w:rsidR="0075742A" w:rsidRPr="00734B50">
        <w:rPr>
          <w:rFonts w:cs="Tahoma"/>
          <w:i/>
          <w:sz w:val="16"/>
          <w:szCs w:val="20"/>
          <w:lang w:val="pt-BR"/>
        </w:rPr>
        <w:t xml:space="preserve"> </w:t>
      </w:r>
      <w:r w:rsidRPr="00734B50">
        <w:rPr>
          <w:rFonts w:cs="Tahoma"/>
          <w:i/>
          <w:sz w:val="16"/>
          <w:szCs w:val="20"/>
          <w:lang w:val="pt-BR"/>
        </w:rPr>
        <w:t>O Office Professional Plus no Office 365 e o Windows VDA são Produtos Empresariais e também podem atender aos requisitos para toda a Empresa.</w:t>
      </w:r>
    </w:p>
    <w:p w:rsidR="00456002" w:rsidRPr="00734B50" w:rsidRDefault="00456002" w:rsidP="00366502">
      <w:pPr>
        <w:tabs>
          <w:tab w:val="left" w:pos="360"/>
        </w:tabs>
        <w:ind w:left="720"/>
        <w:rPr>
          <w:lang w:val="pt-BR"/>
        </w:rPr>
      </w:pPr>
      <w:r w:rsidRPr="00734B50">
        <w:rPr>
          <w:rFonts w:cs="Tahoma"/>
          <w:i/>
          <w:sz w:val="16"/>
          <w:szCs w:val="20"/>
          <w:lang w:val="pt-BR"/>
        </w:rPr>
        <w:t>*** Os Serviços Online Enterprise incluem somente USLs completas.</w:t>
      </w:r>
      <w:r w:rsidR="00DD7735" w:rsidRPr="00734B50">
        <w:rPr>
          <w:rFonts w:cs="Tahoma"/>
          <w:i/>
          <w:sz w:val="16"/>
          <w:szCs w:val="20"/>
          <w:lang w:val="pt-BR"/>
        </w:rPr>
        <w:t xml:space="preserve"> </w:t>
      </w:r>
      <w:r w:rsidRPr="00734B50">
        <w:rPr>
          <w:rFonts w:cs="Tahoma"/>
          <w:i/>
          <w:sz w:val="16"/>
          <w:szCs w:val="20"/>
          <w:lang w:val="pt-BR"/>
        </w:rPr>
        <w:t>As USLs do Software Assurance, que requerem CAL</w:t>
      </w:r>
      <w:r w:rsidR="00934BAF" w:rsidRPr="00734B50">
        <w:rPr>
          <w:rFonts w:cs="Tahoma"/>
          <w:i/>
          <w:sz w:val="16"/>
          <w:szCs w:val="20"/>
          <w:lang w:val="pt-BR"/>
        </w:rPr>
        <w:t> </w:t>
      </w:r>
      <w:r w:rsidRPr="00734B50">
        <w:rPr>
          <w:rFonts w:cs="Tahoma"/>
          <w:i/>
          <w:sz w:val="16"/>
          <w:szCs w:val="20"/>
          <w:lang w:val="pt-BR"/>
        </w:rPr>
        <w:t>Principal ou CAL Empresarial para compra, não são Serviços Online Enterprise.</w:t>
      </w:r>
    </w:p>
    <w:p w:rsidR="00366502" w:rsidRPr="00734B50" w:rsidRDefault="00366502" w:rsidP="00456002">
      <w:pPr>
        <w:tabs>
          <w:tab w:val="left" w:pos="360"/>
        </w:tabs>
        <w:ind w:left="720"/>
        <w:rPr>
          <w:lang w:val="pt-BR"/>
        </w:rPr>
      </w:pPr>
    </w:p>
    <w:p w:rsidR="00456002" w:rsidRPr="00734B50" w:rsidRDefault="00456002" w:rsidP="0055442E">
      <w:pPr>
        <w:tabs>
          <w:tab w:val="left" w:pos="360"/>
        </w:tabs>
        <w:spacing w:after="60"/>
        <w:rPr>
          <w:lang w:val="pt-BR"/>
        </w:rPr>
      </w:pPr>
      <w:r w:rsidRPr="00734B50">
        <w:rPr>
          <w:rFonts w:cs="Tahoma"/>
          <w:b/>
          <w:szCs w:val="18"/>
          <w:lang w:val="pt-BR"/>
        </w:rPr>
        <w:t>Transições Permitidas</w:t>
      </w:r>
    </w:p>
    <w:p w:rsidR="00456002" w:rsidRPr="00734B50" w:rsidRDefault="0014632E" w:rsidP="00366502">
      <w:pPr>
        <w:tabs>
          <w:tab w:val="left" w:pos="360"/>
        </w:tabs>
        <w:rPr>
          <w:lang w:val="pt-BR"/>
        </w:rPr>
      </w:pPr>
      <w:r w:rsidRPr="00734B50">
        <w:rPr>
          <w:rFonts w:cs="Tahoma"/>
          <w:b/>
          <w:szCs w:val="20"/>
          <w:lang w:val="pt-BR"/>
        </w:rPr>
        <w:t xml:space="preserve">Observação: </w:t>
      </w:r>
      <w:r w:rsidRPr="00734B50">
        <w:rPr>
          <w:rFonts w:cs="Tahoma"/>
          <w:szCs w:val="20"/>
          <w:lang w:val="pt-BR"/>
        </w:rPr>
        <w:t>O seguinte se aplica aos clientes do Registro Enterprise e Enterprise Subscription que tenham direitos de Transição.</w:t>
      </w:r>
      <w:r w:rsidR="00DD7735" w:rsidRPr="00734B50">
        <w:rPr>
          <w:rFonts w:cs="Tahoma"/>
          <w:szCs w:val="20"/>
          <w:lang w:val="pt-BR"/>
        </w:rPr>
        <w:t xml:space="preserve"> </w:t>
      </w:r>
      <w:r w:rsidRPr="00734B50">
        <w:rPr>
          <w:rFonts w:cs="Tahoma"/>
          <w:szCs w:val="20"/>
          <w:lang w:val="pt-BR"/>
        </w:rPr>
        <w:t>Os clientes que tiverem dúvidas sobre os direitos de Transição do seu registro devem entrar em contato com o Consultor de Software, Revendedor ou Gerente de Conta Microsoft para obter mais informações.</w:t>
      </w:r>
      <w:r w:rsidR="005A52A2" w:rsidRPr="00734B50">
        <w:rPr>
          <w:rFonts w:cs="Tahoma"/>
          <w:szCs w:val="20"/>
          <w:lang w:val="pt-BR"/>
        </w:rPr>
        <w:t xml:space="preserve"> </w:t>
      </w:r>
    </w:p>
    <w:p w:rsidR="00456002" w:rsidRPr="00734B50" w:rsidRDefault="00456002" w:rsidP="00366502">
      <w:pPr>
        <w:tabs>
          <w:tab w:val="left" w:pos="360"/>
        </w:tabs>
        <w:rPr>
          <w:lang w:val="pt-BR"/>
        </w:rPr>
      </w:pPr>
    </w:p>
    <w:p w:rsidR="00934BAF" w:rsidRPr="00734B50" w:rsidRDefault="00934BAF" w:rsidP="00366502">
      <w:pPr>
        <w:tabs>
          <w:tab w:val="left" w:pos="360"/>
        </w:tabs>
        <w:rPr>
          <w:lang w:val="pt-BR"/>
        </w:rPr>
      </w:pPr>
    </w:p>
    <w:p w:rsidR="00456002" w:rsidRPr="00734B50" w:rsidRDefault="00456002" w:rsidP="00366502">
      <w:pPr>
        <w:tabs>
          <w:tab w:val="left" w:pos="360"/>
        </w:tabs>
        <w:rPr>
          <w:lang w:val="pt-BR"/>
        </w:rPr>
      </w:pPr>
      <w:r w:rsidRPr="00734B50">
        <w:rPr>
          <w:rFonts w:cs="Tahoma"/>
          <w:szCs w:val="20"/>
          <w:lang w:val="pt-BR"/>
        </w:rPr>
        <w:lastRenderedPageBreak/>
        <w:t>A tabela a seguir identifica os produtos qualificados para a Transição e as Transições permitidas.</w:t>
      </w:r>
      <w:r w:rsidR="00DD7735" w:rsidRPr="00734B50">
        <w:rPr>
          <w:rFonts w:cs="Tahoma"/>
          <w:szCs w:val="20"/>
          <w:lang w:val="pt-BR"/>
        </w:rPr>
        <w:t xml:space="preserve"> </w:t>
      </w:r>
      <w:r w:rsidRPr="00734B50">
        <w:rPr>
          <w:rFonts w:cs="Tahoma"/>
          <w:szCs w:val="20"/>
          <w:lang w:val="pt-BR"/>
        </w:rPr>
        <w:t>Ela inclui produtos submetidos a transição quando comprados como parte de uma plataforma de desktop.</w:t>
      </w:r>
    </w:p>
    <w:p w:rsidR="00456002" w:rsidRPr="00734B50" w:rsidRDefault="00456002" w:rsidP="00456002">
      <w:pPr>
        <w:tabs>
          <w:tab w:val="left" w:pos="360"/>
        </w:tabs>
        <w:ind w:left="720"/>
        <w:rPr>
          <w:lang w:val="pt-BR"/>
        </w:rPr>
      </w:pPr>
    </w:p>
    <w:tbl>
      <w:tblPr>
        <w:tblW w:w="7750" w:type="dxa"/>
        <w:tblInd w:w="720" w:type="dxa"/>
        <w:tblCellMar>
          <w:left w:w="0" w:type="dxa"/>
          <w:right w:w="0" w:type="dxa"/>
        </w:tblCellMar>
        <w:tblLook w:val="04A0" w:firstRow="1" w:lastRow="0" w:firstColumn="1" w:lastColumn="0" w:noHBand="0" w:noVBand="1"/>
      </w:tblPr>
      <w:tblGrid>
        <w:gridCol w:w="3160"/>
        <w:gridCol w:w="4590"/>
      </w:tblGrid>
      <w:tr w:rsidR="00456002" w:rsidRPr="00653421" w:rsidTr="00934BAF">
        <w:trPr>
          <w:cantSplit/>
          <w:trHeight w:val="189"/>
        </w:trPr>
        <w:tc>
          <w:tcPr>
            <w:tcW w:w="3160"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734B50" w:rsidRDefault="00456002" w:rsidP="005C647E">
            <w:pPr>
              <w:keepNext/>
              <w:jc w:val="center"/>
              <w:rPr>
                <w:rFonts w:cs="Tahoma"/>
                <w:b/>
                <w:lang w:val="pt-BR"/>
              </w:rPr>
            </w:pPr>
            <w:r w:rsidRPr="00734B50">
              <w:rPr>
                <w:rFonts w:cs="Tahoma"/>
                <w:b/>
                <w:lang w:val="pt-BR"/>
              </w:rPr>
              <w:t>Produtos Enterprise qualificados para Transição</w:t>
            </w:r>
          </w:p>
        </w:tc>
        <w:tc>
          <w:tcPr>
            <w:tcW w:w="4590" w:type="dxa"/>
            <w:tcBorders>
              <w:top w:val="single" w:sz="8" w:space="0" w:color="auto"/>
              <w:left w:val="nil"/>
              <w:bottom w:val="single" w:sz="8" w:space="0" w:color="auto"/>
              <w:right w:val="single" w:sz="8" w:space="0" w:color="auto"/>
            </w:tcBorders>
            <w:shd w:val="clear" w:color="auto" w:fill="FABF8F"/>
            <w:vAlign w:val="center"/>
            <w:hideMark/>
          </w:tcPr>
          <w:p w:rsidR="00456002" w:rsidRPr="00653421" w:rsidRDefault="00456002" w:rsidP="005C647E">
            <w:pPr>
              <w:keepNext/>
              <w:jc w:val="center"/>
              <w:rPr>
                <w:rFonts w:cs="Tahoma"/>
                <w:b/>
              </w:rPr>
            </w:pPr>
            <w:r w:rsidRPr="00653421">
              <w:rPr>
                <w:rFonts w:cs="Tahoma"/>
                <w:b/>
              </w:rPr>
              <w:t>Opções de Transições Válidas</w:t>
            </w:r>
          </w:p>
        </w:tc>
      </w:tr>
      <w:tr w:rsidR="00A32052" w:rsidRPr="00653421" w:rsidTr="00934BAF">
        <w:trPr>
          <w:cantSplit/>
          <w:trHeight w:val="354"/>
        </w:trPr>
        <w:tc>
          <w:tcPr>
            <w:tcW w:w="3160" w:type="dxa"/>
            <w:tcBorders>
              <w:top w:val="nil"/>
              <w:left w:val="single" w:sz="8" w:space="0" w:color="auto"/>
              <w:bottom w:val="single" w:sz="8" w:space="0" w:color="auto"/>
              <w:right w:val="single" w:sz="8" w:space="0" w:color="auto"/>
            </w:tcBorders>
            <w:vAlign w:val="center"/>
          </w:tcPr>
          <w:p w:rsidR="00A32052" w:rsidRPr="00653421" w:rsidRDefault="00A32052" w:rsidP="005C647E">
            <w:pPr>
              <w:spacing w:before="60" w:after="60"/>
              <w:ind w:left="144"/>
              <w:rPr>
                <w:rFonts w:cs="Tahoma"/>
              </w:rPr>
            </w:pPr>
            <w:r w:rsidRPr="00653421">
              <w:rPr>
                <w:rFonts w:cs="Tahoma"/>
              </w:rPr>
              <w:t xml:space="preserve">Pacote de CALs Principais </w:t>
            </w:r>
          </w:p>
        </w:tc>
        <w:tc>
          <w:tcPr>
            <w:tcW w:w="4590" w:type="dxa"/>
            <w:tcBorders>
              <w:top w:val="nil"/>
              <w:left w:val="nil"/>
              <w:bottom w:val="single" w:sz="8" w:space="0" w:color="auto"/>
              <w:right w:val="single" w:sz="8" w:space="0" w:color="auto"/>
            </w:tcBorders>
            <w:vAlign w:val="center"/>
          </w:tcPr>
          <w:p w:rsidR="008368B4" w:rsidRPr="00653421" w:rsidRDefault="008368B4" w:rsidP="008368B4">
            <w:pPr>
              <w:numPr>
                <w:ilvl w:val="0"/>
                <w:numId w:val="49"/>
              </w:numPr>
              <w:spacing w:before="60" w:after="60"/>
            </w:pPr>
            <w:r w:rsidRPr="00653421">
              <w:rPr>
                <w:rFonts w:cs="Tahoma"/>
                <w:color w:val="000000"/>
                <w:szCs w:val="18"/>
              </w:rPr>
              <w:t>Office 365 (Enterprise E1)*</w:t>
            </w:r>
          </w:p>
          <w:p w:rsidR="008368B4" w:rsidRPr="00653421" w:rsidRDefault="008368B4" w:rsidP="008368B4">
            <w:pPr>
              <w:numPr>
                <w:ilvl w:val="0"/>
                <w:numId w:val="49"/>
              </w:numPr>
              <w:spacing w:after="60"/>
            </w:pPr>
            <w:r w:rsidRPr="00653421">
              <w:rPr>
                <w:rFonts w:cs="Tahoma"/>
                <w:color w:val="000000"/>
                <w:szCs w:val="18"/>
              </w:rPr>
              <w:t>Office 365 (Enterprise E2)*</w:t>
            </w:r>
          </w:p>
          <w:p w:rsidR="008368B4" w:rsidRPr="00653421" w:rsidRDefault="008368B4" w:rsidP="008368B4">
            <w:pPr>
              <w:numPr>
                <w:ilvl w:val="0"/>
                <w:numId w:val="49"/>
              </w:numPr>
              <w:spacing w:after="60"/>
            </w:pPr>
            <w:r w:rsidRPr="00653421">
              <w:rPr>
                <w:rFonts w:cs="Tahoma"/>
                <w:color w:val="000000"/>
                <w:szCs w:val="18"/>
              </w:rPr>
              <w:t>Office 365 (Enterprise E3)*</w:t>
            </w:r>
          </w:p>
          <w:p w:rsidR="008368B4" w:rsidRPr="00653421" w:rsidRDefault="008368B4" w:rsidP="008368B4">
            <w:pPr>
              <w:numPr>
                <w:ilvl w:val="0"/>
                <w:numId w:val="49"/>
              </w:numPr>
              <w:spacing w:after="60"/>
            </w:pPr>
            <w:r w:rsidRPr="00653421">
              <w:rPr>
                <w:rFonts w:cs="Tahoma"/>
                <w:color w:val="000000"/>
                <w:szCs w:val="18"/>
              </w:rPr>
              <w:t>Office 365 (Enterprise E4)*</w:t>
            </w:r>
          </w:p>
          <w:p w:rsidR="008368B4" w:rsidRPr="00653421" w:rsidRDefault="008368B4" w:rsidP="008368B4">
            <w:pPr>
              <w:numPr>
                <w:ilvl w:val="0"/>
                <w:numId w:val="49"/>
              </w:numPr>
              <w:spacing w:after="60"/>
            </w:pPr>
            <w:r w:rsidRPr="00653421">
              <w:rPr>
                <w:rFonts w:cs="Tahoma"/>
                <w:color w:val="000000"/>
                <w:szCs w:val="18"/>
              </w:rPr>
              <w:t>Office 365 (Government G1)*</w:t>
            </w:r>
          </w:p>
          <w:p w:rsidR="008368B4" w:rsidRPr="00653421" w:rsidRDefault="008368B4" w:rsidP="008368B4">
            <w:pPr>
              <w:numPr>
                <w:ilvl w:val="0"/>
                <w:numId w:val="49"/>
              </w:numPr>
              <w:spacing w:after="60"/>
            </w:pPr>
            <w:r w:rsidRPr="00653421">
              <w:rPr>
                <w:rFonts w:cs="Tahoma"/>
                <w:color w:val="000000"/>
                <w:szCs w:val="18"/>
              </w:rPr>
              <w:t>Office 365 (Government G2)*</w:t>
            </w:r>
          </w:p>
          <w:p w:rsidR="008368B4" w:rsidRPr="00653421" w:rsidRDefault="008368B4" w:rsidP="008368B4">
            <w:pPr>
              <w:numPr>
                <w:ilvl w:val="0"/>
                <w:numId w:val="49"/>
              </w:numPr>
              <w:spacing w:after="60"/>
            </w:pPr>
            <w:r w:rsidRPr="00653421">
              <w:rPr>
                <w:rFonts w:cs="Tahoma"/>
                <w:color w:val="000000"/>
                <w:szCs w:val="18"/>
              </w:rPr>
              <w:t>Office 365 (Government G3)*</w:t>
            </w:r>
          </w:p>
          <w:p w:rsidR="008368B4" w:rsidRPr="00653421" w:rsidRDefault="008368B4" w:rsidP="008368B4">
            <w:pPr>
              <w:numPr>
                <w:ilvl w:val="0"/>
                <w:numId w:val="49"/>
              </w:numPr>
              <w:spacing w:after="60"/>
            </w:pPr>
            <w:r w:rsidRPr="00653421">
              <w:rPr>
                <w:rFonts w:cs="Tahoma"/>
                <w:color w:val="000000"/>
                <w:szCs w:val="18"/>
              </w:rPr>
              <w:t>Office 365 (Government G4)*</w:t>
            </w:r>
          </w:p>
          <w:p w:rsidR="00A32052" w:rsidRPr="00653421" w:rsidRDefault="00A32052" w:rsidP="00024C3C">
            <w:pPr>
              <w:numPr>
                <w:ilvl w:val="0"/>
                <w:numId w:val="49"/>
              </w:numPr>
              <w:ind w:right="144"/>
            </w:pPr>
            <w:r w:rsidRPr="00653421">
              <w:rPr>
                <w:rFonts w:cs="Tahoma"/>
                <w:color w:val="000000"/>
              </w:rPr>
              <w:t>Windows Intune*</w:t>
            </w:r>
          </w:p>
          <w:p w:rsidR="00A32052" w:rsidRPr="00653421" w:rsidRDefault="00A32052" w:rsidP="0055442E">
            <w:pPr>
              <w:ind w:left="720" w:right="144"/>
              <w:rPr>
                <w:rFonts w:cs="Tahoma"/>
                <w:color w:val="000000"/>
              </w:rPr>
            </w:pPr>
          </w:p>
        </w:tc>
      </w:tr>
      <w:tr w:rsidR="00A32052" w:rsidRPr="00653421" w:rsidTr="00934BAF">
        <w:trPr>
          <w:cantSplit/>
          <w:trHeight w:val="354"/>
        </w:trPr>
        <w:tc>
          <w:tcPr>
            <w:tcW w:w="3160" w:type="dxa"/>
            <w:tcBorders>
              <w:top w:val="nil"/>
              <w:left w:val="single" w:sz="8" w:space="0" w:color="auto"/>
              <w:bottom w:val="single" w:sz="8" w:space="0" w:color="auto"/>
              <w:right w:val="single" w:sz="8" w:space="0" w:color="auto"/>
            </w:tcBorders>
            <w:vAlign w:val="center"/>
          </w:tcPr>
          <w:p w:rsidR="00A32052" w:rsidRPr="00653421" w:rsidRDefault="00A32052" w:rsidP="005C647E">
            <w:pPr>
              <w:spacing w:before="60" w:after="60"/>
              <w:ind w:left="144"/>
              <w:rPr>
                <w:rFonts w:cs="Tahoma"/>
              </w:rPr>
            </w:pPr>
            <w:r w:rsidRPr="00653421">
              <w:rPr>
                <w:rFonts w:cs="Tahoma"/>
              </w:rPr>
              <w:t>Enterprise CAL Suite</w:t>
            </w:r>
          </w:p>
        </w:tc>
        <w:tc>
          <w:tcPr>
            <w:tcW w:w="4590" w:type="dxa"/>
            <w:tcBorders>
              <w:top w:val="nil"/>
              <w:left w:val="nil"/>
              <w:bottom w:val="single" w:sz="8" w:space="0" w:color="auto"/>
              <w:right w:val="single" w:sz="8" w:space="0" w:color="auto"/>
            </w:tcBorders>
            <w:vAlign w:val="center"/>
          </w:tcPr>
          <w:p w:rsidR="00A32052" w:rsidRPr="00653421" w:rsidRDefault="00A32052" w:rsidP="0055442E">
            <w:pPr>
              <w:numPr>
                <w:ilvl w:val="0"/>
                <w:numId w:val="49"/>
              </w:numPr>
              <w:spacing w:before="60" w:after="60"/>
            </w:pPr>
            <w:r w:rsidRPr="00653421">
              <w:rPr>
                <w:rFonts w:cs="Tahoma"/>
                <w:color w:val="000000"/>
                <w:szCs w:val="18"/>
              </w:rPr>
              <w:t>Office 365 (Enterprise E3)*</w:t>
            </w:r>
          </w:p>
          <w:p w:rsidR="00A32052" w:rsidRPr="00653421" w:rsidRDefault="00A32052" w:rsidP="00024C3C">
            <w:pPr>
              <w:numPr>
                <w:ilvl w:val="0"/>
                <w:numId w:val="49"/>
              </w:numPr>
              <w:spacing w:after="60"/>
            </w:pPr>
            <w:r w:rsidRPr="00653421">
              <w:rPr>
                <w:rFonts w:cs="Tahoma"/>
                <w:color w:val="000000"/>
                <w:szCs w:val="18"/>
              </w:rPr>
              <w:t>Office 365 (Enterprise E4)*</w:t>
            </w:r>
          </w:p>
          <w:p w:rsidR="004D2744" w:rsidRPr="00653421" w:rsidRDefault="004D2744" w:rsidP="004D2744">
            <w:pPr>
              <w:numPr>
                <w:ilvl w:val="0"/>
                <w:numId w:val="49"/>
              </w:numPr>
              <w:spacing w:after="60"/>
            </w:pPr>
            <w:r w:rsidRPr="00653421">
              <w:rPr>
                <w:rFonts w:cs="Tahoma"/>
                <w:color w:val="000000"/>
                <w:szCs w:val="18"/>
              </w:rPr>
              <w:t>Office 365 (Enterprise G3)*</w:t>
            </w:r>
          </w:p>
          <w:p w:rsidR="004D2744" w:rsidRPr="00653421" w:rsidRDefault="004D2744" w:rsidP="004D2744">
            <w:pPr>
              <w:numPr>
                <w:ilvl w:val="0"/>
                <w:numId w:val="49"/>
              </w:numPr>
              <w:spacing w:after="60"/>
            </w:pPr>
            <w:r w:rsidRPr="00653421">
              <w:rPr>
                <w:rFonts w:cs="Tahoma"/>
                <w:color w:val="000000"/>
                <w:szCs w:val="18"/>
              </w:rPr>
              <w:t>Office 365 (Enterprise G4)*</w:t>
            </w:r>
          </w:p>
          <w:p w:rsidR="00A32052" w:rsidRPr="00653421" w:rsidRDefault="00A32052" w:rsidP="00024C3C">
            <w:pPr>
              <w:numPr>
                <w:ilvl w:val="0"/>
                <w:numId w:val="49"/>
              </w:numPr>
              <w:ind w:right="144"/>
            </w:pPr>
            <w:r w:rsidRPr="00653421">
              <w:rPr>
                <w:rFonts w:cs="Tahoma"/>
                <w:color w:val="000000"/>
              </w:rPr>
              <w:t>Windows</w:t>
            </w:r>
            <w:r w:rsidRPr="00653421">
              <w:rPr>
                <w:rFonts w:cs="Tahoma"/>
                <w:color w:val="000000"/>
                <w:vertAlign w:val="superscript"/>
              </w:rPr>
              <w:t>®</w:t>
            </w:r>
            <w:r w:rsidRPr="00653421">
              <w:rPr>
                <w:rFonts w:cs="Tahoma"/>
                <w:color w:val="000000"/>
              </w:rPr>
              <w:t xml:space="preserve"> Intune*</w:t>
            </w:r>
          </w:p>
          <w:p w:rsidR="00A32052" w:rsidRPr="00653421" w:rsidRDefault="00A32052" w:rsidP="00BD6C2C">
            <w:pPr>
              <w:ind w:right="144"/>
              <w:rPr>
                <w:rFonts w:cs="Tahoma"/>
                <w:color w:val="000000"/>
              </w:rPr>
            </w:pPr>
          </w:p>
        </w:tc>
      </w:tr>
      <w:tr w:rsidR="00A32052" w:rsidRPr="00E04628" w:rsidTr="00934BAF">
        <w:trPr>
          <w:cantSplit/>
          <w:trHeight w:val="354"/>
        </w:trPr>
        <w:tc>
          <w:tcPr>
            <w:tcW w:w="3160" w:type="dxa"/>
            <w:tcBorders>
              <w:top w:val="single" w:sz="8" w:space="0" w:color="auto"/>
              <w:left w:val="single" w:sz="8" w:space="0" w:color="auto"/>
              <w:bottom w:val="nil"/>
              <w:right w:val="single" w:sz="8" w:space="0" w:color="auto"/>
            </w:tcBorders>
            <w:vAlign w:val="center"/>
          </w:tcPr>
          <w:p w:rsidR="00A32052" w:rsidRPr="00653421" w:rsidRDefault="00A32052" w:rsidP="005C647E">
            <w:pPr>
              <w:spacing w:before="60" w:after="60"/>
              <w:ind w:left="144"/>
              <w:rPr>
                <w:rFonts w:cs="Tahoma"/>
              </w:rPr>
            </w:pPr>
            <w:r w:rsidRPr="00653421">
              <w:rPr>
                <w:rFonts w:cs="Tahoma"/>
              </w:rPr>
              <w:t>Office Professional Plus</w:t>
            </w:r>
          </w:p>
        </w:tc>
        <w:tc>
          <w:tcPr>
            <w:tcW w:w="4590" w:type="dxa"/>
            <w:tcBorders>
              <w:top w:val="single" w:sz="8" w:space="0" w:color="auto"/>
              <w:left w:val="nil"/>
              <w:bottom w:val="nil"/>
              <w:right w:val="single" w:sz="8" w:space="0" w:color="auto"/>
            </w:tcBorders>
            <w:vAlign w:val="center"/>
          </w:tcPr>
          <w:p w:rsidR="004D2744" w:rsidRPr="00653421" w:rsidRDefault="00A32052" w:rsidP="008368B4">
            <w:pPr>
              <w:numPr>
                <w:ilvl w:val="0"/>
                <w:numId w:val="49"/>
              </w:numPr>
              <w:spacing w:after="60"/>
            </w:pPr>
            <w:r w:rsidRPr="00653421">
              <w:rPr>
                <w:rFonts w:cs="Tahoma"/>
                <w:color w:val="000000"/>
                <w:szCs w:val="18"/>
              </w:rPr>
              <w:t>Office 365 (Enterprise E2)*</w:t>
            </w:r>
          </w:p>
          <w:p w:rsidR="00A32052" w:rsidRPr="00653421" w:rsidRDefault="00A32052" w:rsidP="008368B4">
            <w:pPr>
              <w:numPr>
                <w:ilvl w:val="0"/>
                <w:numId w:val="49"/>
              </w:numPr>
              <w:spacing w:after="60"/>
            </w:pPr>
            <w:r w:rsidRPr="00653421">
              <w:rPr>
                <w:rFonts w:cs="Tahoma"/>
                <w:color w:val="000000"/>
                <w:szCs w:val="18"/>
              </w:rPr>
              <w:t>Office 365 (Enterprise E3)*</w:t>
            </w:r>
          </w:p>
          <w:p w:rsidR="00A32052" w:rsidRPr="00653421" w:rsidRDefault="00A32052" w:rsidP="00366502">
            <w:pPr>
              <w:numPr>
                <w:ilvl w:val="0"/>
                <w:numId w:val="49"/>
              </w:numPr>
              <w:spacing w:after="60"/>
            </w:pPr>
            <w:r w:rsidRPr="00653421">
              <w:rPr>
                <w:rFonts w:cs="Tahoma"/>
                <w:color w:val="000000"/>
                <w:szCs w:val="18"/>
              </w:rPr>
              <w:t>Office 365 (Enterprise E4)*</w:t>
            </w:r>
          </w:p>
          <w:p w:rsidR="00A32052" w:rsidRPr="00653421" w:rsidRDefault="00A32052" w:rsidP="00024C3C">
            <w:pPr>
              <w:numPr>
                <w:ilvl w:val="0"/>
                <w:numId w:val="49"/>
              </w:numPr>
              <w:spacing w:after="60"/>
            </w:pPr>
            <w:r w:rsidRPr="00653421">
              <w:rPr>
                <w:rFonts w:cs="Tahoma"/>
                <w:color w:val="000000"/>
                <w:szCs w:val="18"/>
              </w:rPr>
              <w:t xml:space="preserve">Office 365 (Government G2) </w:t>
            </w:r>
          </w:p>
          <w:p w:rsidR="00A32052" w:rsidRPr="00653421" w:rsidRDefault="00A32052" w:rsidP="00024C3C">
            <w:pPr>
              <w:numPr>
                <w:ilvl w:val="0"/>
                <w:numId w:val="49"/>
              </w:numPr>
              <w:spacing w:after="60"/>
            </w:pPr>
            <w:r w:rsidRPr="00653421">
              <w:rPr>
                <w:rFonts w:cs="Tahoma"/>
                <w:color w:val="000000"/>
                <w:szCs w:val="18"/>
              </w:rPr>
              <w:t>Office 365 (Government G3)</w:t>
            </w:r>
          </w:p>
          <w:p w:rsidR="00A32052" w:rsidRPr="00653421" w:rsidRDefault="00A32052" w:rsidP="00366502">
            <w:pPr>
              <w:numPr>
                <w:ilvl w:val="0"/>
                <w:numId w:val="49"/>
              </w:numPr>
              <w:spacing w:after="60"/>
            </w:pPr>
            <w:r w:rsidRPr="00653421">
              <w:rPr>
                <w:rFonts w:cs="Tahoma"/>
                <w:color w:val="000000"/>
                <w:szCs w:val="18"/>
              </w:rPr>
              <w:t>Office 365 (Government G4)</w:t>
            </w:r>
          </w:p>
          <w:p w:rsidR="00A32052" w:rsidRPr="00734B50" w:rsidRDefault="00A32052" w:rsidP="00366502">
            <w:pPr>
              <w:numPr>
                <w:ilvl w:val="0"/>
                <w:numId w:val="49"/>
              </w:numPr>
              <w:spacing w:after="60"/>
              <w:rPr>
                <w:lang w:val="fr-FR"/>
              </w:rPr>
            </w:pPr>
            <w:r w:rsidRPr="00734B50">
              <w:rPr>
                <w:rFonts w:cs="Tahoma"/>
                <w:color w:val="000000"/>
                <w:szCs w:val="18"/>
                <w:lang w:val="fr-FR"/>
              </w:rPr>
              <w:t>Office Professional Plus para Office 365</w:t>
            </w:r>
          </w:p>
          <w:p w:rsidR="002D25C8" w:rsidRPr="00734B50" w:rsidRDefault="002D25C8" w:rsidP="0055442E">
            <w:pPr>
              <w:ind w:left="720"/>
              <w:rPr>
                <w:rFonts w:cs="Tahoma"/>
                <w:color w:val="000000"/>
                <w:lang w:val="fr-FR"/>
              </w:rPr>
            </w:pPr>
          </w:p>
        </w:tc>
      </w:tr>
      <w:tr w:rsidR="00A32052" w:rsidRPr="00653421" w:rsidTr="00934BAF">
        <w:trPr>
          <w:cantSplit/>
          <w:trHeight w:val="354"/>
        </w:trPr>
        <w:tc>
          <w:tcPr>
            <w:tcW w:w="3160" w:type="dxa"/>
            <w:tcBorders>
              <w:top w:val="single" w:sz="8" w:space="0" w:color="auto"/>
              <w:left w:val="single" w:sz="8" w:space="0" w:color="auto"/>
              <w:bottom w:val="nil"/>
              <w:right w:val="single" w:sz="8" w:space="0" w:color="auto"/>
            </w:tcBorders>
            <w:vAlign w:val="center"/>
          </w:tcPr>
          <w:p w:rsidR="00A32052" w:rsidRPr="00653421" w:rsidRDefault="00A32052" w:rsidP="005C647E">
            <w:pPr>
              <w:spacing w:before="60" w:after="60"/>
              <w:ind w:left="144"/>
              <w:rPr>
                <w:rFonts w:cs="Tahoma"/>
              </w:rPr>
            </w:pPr>
            <w:r w:rsidRPr="00653421">
              <w:rPr>
                <w:rFonts w:cs="Tahoma"/>
              </w:rPr>
              <w:t>Office Professional Plus e Pacote de CALs Principais</w:t>
            </w:r>
          </w:p>
        </w:tc>
        <w:tc>
          <w:tcPr>
            <w:tcW w:w="4590" w:type="dxa"/>
            <w:tcBorders>
              <w:top w:val="single" w:sz="8" w:space="0" w:color="auto"/>
              <w:left w:val="nil"/>
              <w:bottom w:val="nil"/>
              <w:right w:val="single" w:sz="8" w:space="0" w:color="auto"/>
            </w:tcBorders>
            <w:vAlign w:val="center"/>
          </w:tcPr>
          <w:p w:rsidR="008368B4" w:rsidRPr="00653421" w:rsidRDefault="008368B4" w:rsidP="008368B4">
            <w:pPr>
              <w:numPr>
                <w:ilvl w:val="0"/>
                <w:numId w:val="49"/>
              </w:numPr>
              <w:spacing w:before="60" w:after="60"/>
            </w:pPr>
            <w:r w:rsidRPr="00653421">
              <w:rPr>
                <w:rFonts w:cs="Tahoma"/>
                <w:color w:val="000000"/>
                <w:szCs w:val="18"/>
              </w:rPr>
              <w:t>Office 365 (Enterprise E2)*</w:t>
            </w:r>
          </w:p>
          <w:p w:rsidR="008368B4" w:rsidRPr="00653421" w:rsidRDefault="008368B4" w:rsidP="008368B4">
            <w:pPr>
              <w:numPr>
                <w:ilvl w:val="0"/>
                <w:numId w:val="49"/>
              </w:numPr>
              <w:spacing w:after="60"/>
            </w:pPr>
            <w:r w:rsidRPr="00653421">
              <w:rPr>
                <w:rFonts w:cs="Tahoma"/>
                <w:color w:val="000000"/>
                <w:szCs w:val="18"/>
              </w:rPr>
              <w:t>Office 365 (Enterprise E3)*</w:t>
            </w:r>
          </w:p>
          <w:p w:rsidR="008368B4" w:rsidRPr="00653421" w:rsidRDefault="008368B4" w:rsidP="008368B4">
            <w:pPr>
              <w:numPr>
                <w:ilvl w:val="0"/>
                <w:numId w:val="49"/>
              </w:numPr>
              <w:spacing w:after="60"/>
            </w:pPr>
            <w:r w:rsidRPr="00653421">
              <w:rPr>
                <w:rFonts w:cs="Tahoma"/>
                <w:color w:val="000000"/>
                <w:szCs w:val="18"/>
              </w:rPr>
              <w:t>Office 365 (Enterprise E4)*</w:t>
            </w:r>
          </w:p>
          <w:p w:rsidR="008368B4" w:rsidRPr="00653421" w:rsidRDefault="008368B4" w:rsidP="008368B4">
            <w:pPr>
              <w:numPr>
                <w:ilvl w:val="0"/>
                <w:numId w:val="49"/>
              </w:numPr>
              <w:spacing w:after="60"/>
            </w:pPr>
            <w:r w:rsidRPr="00653421">
              <w:rPr>
                <w:rFonts w:cs="Tahoma"/>
                <w:color w:val="000000"/>
                <w:szCs w:val="18"/>
              </w:rPr>
              <w:t>Office 365 (Government G2)*</w:t>
            </w:r>
          </w:p>
          <w:p w:rsidR="008368B4" w:rsidRPr="00653421" w:rsidRDefault="008368B4" w:rsidP="008368B4">
            <w:pPr>
              <w:numPr>
                <w:ilvl w:val="0"/>
                <w:numId w:val="49"/>
              </w:numPr>
              <w:spacing w:after="60"/>
            </w:pPr>
            <w:r w:rsidRPr="00653421">
              <w:rPr>
                <w:rFonts w:cs="Tahoma"/>
                <w:color w:val="000000"/>
                <w:szCs w:val="18"/>
              </w:rPr>
              <w:t>Office 365 (Government G3)*</w:t>
            </w:r>
          </w:p>
          <w:p w:rsidR="008368B4" w:rsidRPr="00653421" w:rsidRDefault="008368B4" w:rsidP="008368B4">
            <w:pPr>
              <w:numPr>
                <w:ilvl w:val="0"/>
                <w:numId w:val="49"/>
              </w:numPr>
              <w:spacing w:after="60"/>
            </w:pPr>
            <w:r w:rsidRPr="00653421">
              <w:rPr>
                <w:rFonts w:cs="Tahoma"/>
                <w:color w:val="000000"/>
                <w:szCs w:val="18"/>
              </w:rPr>
              <w:t>Office 365 (Government G4)*</w:t>
            </w:r>
          </w:p>
          <w:p w:rsidR="002D25C8" w:rsidRPr="00653421" w:rsidRDefault="002D25C8" w:rsidP="0055442E">
            <w:pPr>
              <w:ind w:left="720"/>
              <w:rPr>
                <w:rFonts w:cs="Tahoma"/>
                <w:color w:val="000000"/>
              </w:rPr>
            </w:pPr>
          </w:p>
        </w:tc>
      </w:tr>
      <w:tr w:rsidR="00A32052" w:rsidRPr="00653421" w:rsidTr="00934BAF">
        <w:trPr>
          <w:cantSplit/>
          <w:trHeight w:val="354"/>
        </w:trPr>
        <w:tc>
          <w:tcPr>
            <w:tcW w:w="3160" w:type="dxa"/>
            <w:tcBorders>
              <w:top w:val="single" w:sz="8" w:space="0" w:color="auto"/>
              <w:left w:val="single" w:sz="8" w:space="0" w:color="auto"/>
              <w:bottom w:val="single" w:sz="8" w:space="0" w:color="auto"/>
              <w:right w:val="single" w:sz="8" w:space="0" w:color="auto"/>
            </w:tcBorders>
            <w:vAlign w:val="center"/>
          </w:tcPr>
          <w:p w:rsidR="00A32052" w:rsidRPr="00653421" w:rsidRDefault="00A32052" w:rsidP="005C647E">
            <w:pPr>
              <w:spacing w:before="60" w:after="60"/>
              <w:ind w:left="144"/>
              <w:rPr>
                <w:rFonts w:cs="Tahoma"/>
              </w:rPr>
            </w:pPr>
            <w:r w:rsidRPr="00653421">
              <w:rPr>
                <w:rFonts w:cs="Tahoma"/>
              </w:rPr>
              <w:t>Office Professional Plus e Pacote de CALs Empresariais</w:t>
            </w:r>
          </w:p>
        </w:tc>
        <w:tc>
          <w:tcPr>
            <w:tcW w:w="4590" w:type="dxa"/>
            <w:tcBorders>
              <w:top w:val="single" w:sz="8" w:space="0" w:color="auto"/>
              <w:left w:val="nil"/>
              <w:bottom w:val="single" w:sz="8" w:space="0" w:color="auto"/>
              <w:right w:val="single" w:sz="8" w:space="0" w:color="auto"/>
            </w:tcBorders>
            <w:vAlign w:val="center"/>
          </w:tcPr>
          <w:p w:rsidR="008368B4" w:rsidRPr="00653421" w:rsidRDefault="008368B4" w:rsidP="008368B4">
            <w:pPr>
              <w:numPr>
                <w:ilvl w:val="0"/>
                <w:numId w:val="49"/>
              </w:numPr>
              <w:spacing w:before="60" w:after="60"/>
            </w:pPr>
            <w:r w:rsidRPr="00653421">
              <w:rPr>
                <w:rFonts w:cs="Tahoma"/>
                <w:color w:val="000000"/>
                <w:szCs w:val="18"/>
              </w:rPr>
              <w:t>Office 365 (Enterprise E3)*</w:t>
            </w:r>
          </w:p>
          <w:p w:rsidR="008368B4" w:rsidRPr="00653421" w:rsidRDefault="008368B4" w:rsidP="00C562C9">
            <w:pPr>
              <w:numPr>
                <w:ilvl w:val="0"/>
                <w:numId w:val="49"/>
              </w:numPr>
              <w:spacing w:after="60"/>
            </w:pPr>
            <w:r w:rsidRPr="00653421">
              <w:rPr>
                <w:rFonts w:cs="Tahoma"/>
                <w:color w:val="000000"/>
                <w:szCs w:val="18"/>
              </w:rPr>
              <w:t>Office 365 (Enterprise E4)*</w:t>
            </w:r>
          </w:p>
          <w:p w:rsidR="008368B4" w:rsidRPr="00653421" w:rsidRDefault="008368B4" w:rsidP="00C562C9">
            <w:pPr>
              <w:numPr>
                <w:ilvl w:val="0"/>
                <w:numId w:val="49"/>
              </w:numPr>
              <w:spacing w:after="60"/>
            </w:pPr>
            <w:r w:rsidRPr="00653421">
              <w:rPr>
                <w:rFonts w:cs="Tahoma"/>
                <w:color w:val="000000"/>
                <w:szCs w:val="18"/>
              </w:rPr>
              <w:t>Office 365 (Government G3)*</w:t>
            </w:r>
          </w:p>
          <w:p w:rsidR="008368B4" w:rsidRPr="00653421" w:rsidRDefault="008368B4" w:rsidP="008368B4">
            <w:pPr>
              <w:numPr>
                <w:ilvl w:val="0"/>
                <w:numId w:val="49"/>
              </w:numPr>
              <w:spacing w:after="60"/>
            </w:pPr>
            <w:r w:rsidRPr="00653421">
              <w:rPr>
                <w:rFonts w:cs="Tahoma"/>
                <w:color w:val="000000"/>
                <w:szCs w:val="18"/>
              </w:rPr>
              <w:t>Office 365 (Government G4)*</w:t>
            </w:r>
          </w:p>
          <w:p w:rsidR="002D25C8" w:rsidRPr="00653421" w:rsidRDefault="002D25C8" w:rsidP="0055442E">
            <w:pPr>
              <w:ind w:left="720"/>
              <w:rPr>
                <w:rFonts w:cs="Tahoma"/>
                <w:color w:val="000000"/>
              </w:rPr>
            </w:pPr>
          </w:p>
        </w:tc>
      </w:tr>
      <w:tr w:rsidR="00B1054F" w:rsidRPr="00653421" w:rsidTr="00934BAF">
        <w:trPr>
          <w:cantSplit/>
          <w:trHeight w:val="354"/>
        </w:trPr>
        <w:tc>
          <w:tcPr>
            <w:tcW w:w="3160" w:type="dxa"/>
            <w:tcBorders>
              <w:top w:val="single" w:sz="8" w:space="0" w:color="auto"/>
              <w:left w:val="single" w:sz="8" w:space="0" w:color="auto"/>
              <w:bottom w:val="single" w:sz="8" w:space="0" w:color="auto"/>
              <w:right w:val="single" w:sz="8" w:space="0" w:color="auto"/>
            </w:tcBorders>
            <w:vAlign w:val="center"/>
          </w:tcPr>
          <w:p w:rsidR="00B1054F" w:rsidRPr="00653421" w:rsidRDefault="00B1054F" w:rsidP="00B1054F">
            <w:pPr>
              <w:spacing w:before="60" w:after="60"/>
              <w:ind w:left="144"/>
              <w:rPr>
                <w:rFonts w:cs="Tahoma"/>
              </w:rPr>
            </w:pPr>
            <w:r w:rsidRPr="00653421">
              <w:rPr>
                <w:rFonts w:cs="Tahoma"/>
              </w:rPr>
              <w:t xml:space="preserve">Atualização do Windows Pro </w:t>
            </w:r>
          </w:p>
        </w:tc>
        <w:tc>
          <w:tcPr>
            <w:tcW w:w="4590" w:type="dxa"/>
            <w:tcBorders>
              <w:top w:val="single" w:sz="8" w:space="0" w:color="auto"/>
              <w:left w:val="nil"/>
              <w:bottom w:val="single" w:sz="8" w:space="0" w:color="auto"/>
              <w:right w:val="single" w:sz="8" w:space="0" w:color="auto"/>
            </w:tcBorders>
            <w:vAlign w:val="center"/>
          </w:tcPr>
          <w:p w:rsidR="00B1054F" w:rsidRPr="00653421" w:rsidRDefault="00B1054F" w:rsidP="00B1054F">
            <w:pPr>
              <w:numPr>
                <w:ilvl w:val="0"/>
                <w:numId w:val="49"/>
              </w:numPr>
              <w:spacing w:before="60" w:after="60"/>
              <w:rPr>
                <w:rFonts w:cs="Tahoma"/>
                <w:color w:val="000000"/>
                <w:szCs w:val="18"/>
              </w:rPr>
            </w:pPr>
            <w:r w:rsidRPr="00653421">
              <w:rPr>
                <w:rFonts w:cs="Tahoma"/>
                <w:color w:val="000000" w:themeColor="text1"/>
              </w:rPr>
              <w:t>Windows Virtual Desktop Access</w:t>
            </w:r>
          </w:p>
        </w:tc>
      </w:tr>
      <w:tr w:rsidR="00B1054F" w:rsidRPr="00E04628" w:rsidTr="00934BAF">
        <w:trPr>
          <w:cantSplit/>
          <w:trHeight w:val="354"/>
        </w:trPr>
        <w:tc>
          <w:tcPr>
            <w:tcW w:w="3160" w:type="dxa"/>
            <w:tcBorders>
              <w:top w:val="single" w:sz="8" w:space="0" w:color="auto"/>
              <w:left w:val="single" w:sz="8" w:space="0" w:color="auto"/>
              <w:bottom w:val="single" w:sz="8" w:space="0" w:color="auto"/>
              <w:right w:val="single" w:sz="8" w:space="0" w:color="auto"/>
            </w:tcBorders>
            <w:vAlign w:val="center"/>
          </w:tcPr>
          <w:p w:rsidR="00B1054F" w:rsidRPr="00653421" w:rsidRDefault="00B1054F" w:rsidP="00B1054F">
            <w:pPr>
              <w:spacing w:before="60" w:after="60"/>
              <w:ind w:left="144"/>
              <w:rPr>
                <w:rFonts w:cs="Tahoma"/>
              </w:rPr>
            </w:pPr>
            <w:r w:rsidRPr="00653421">
              <w:rPr>
                <w:rFonts w:cs="Tahoma"/>
                <w:color w:val="000000" w:themeColor="text1"/>
              </w:rPr>
              <w:t>Windows Virtual Desktop Access</w:t>
            </w:r>
          </w:p>
        </w:tc>
        <w:tc>
          <w:tcPr>
            <w:tcW w:w="4590" w:type="dxa"/>
            <w:tcBorders>
              <w:top w:val="single" w:sz="8" w:space="0" w:color="auto"/>
              <w:left w:val="nil"/>
              <w:bottom w:val="single" w:sz="8" w:space="0" w:color="auto"/>
              <w:right w:val="single" w:sz="8" w:space="0" w:color="auto"/>
            </w:tcBorders>
            <w:vAlign w:val="center"/>
          </w:tcPr>
          <w:p w:rsidR="00B1054F" w:rsidRPr="00734B50" w:rsidRDefault="00B1054F" w:rsidP="00B1054F">
            <w:pPr>
              <w:numPr>
                <w:ilvl w:val="0"/>
                <w:numId w:val="49"/>
              </w:numPr>
              <w:spacing w:before="60" w:after="60"/>
              <w:rPr>
                <w:rFonts w:cs="Tahoma"/>
                <w:color w:val="000000"/>
                <w:szCs w:val="18"/>
                <w:lang w:val="pt-BR"/>
              </w:rPr>
            </w:pPr>
            <w:r w:rsidRPr="00734B50">
              <w:rPr>
                <w:rFonts w:cs="Tahoma"/>
                <w:color w:val="000000" w:themeColor="text1"/>
                <w:lang w:val="pt-BR"/>
              </w:rPr>
              <w:t>Licença de Assinatura do Windows Companion</w:t>
            </w:r>
          </w:p>
        </w:tc>
      </w:tr>
      <w:tr w:rsidR="00B1054F" w:rsidRPr="00E04628" w:rsidTr="00934BAF">
        <w:trPr>
          <w:cantSplit/>
          <w:trHeight w:val="354"/>
        </w:trPr>
        <w:tc>
          <w:tcPr>
            <w:tcW w:w="3160" w:type="dxa"/>
            <w:tcBorders>
              <w:top w:val="single" w:sz="8" w:space="0" w:color="auto"/>
              <w:left w:val="single" w:sz="8" w:space="0" w:color="auto"/>
              <w:bottom w:val="single" w:sz="8" w:space="0" w:color="auto"/>
              <w:right w:val="single" w:sz="8" w:space="0" w:color="auto"/>
            </w:tcBorders>
            <w:vAlign w:val="center"/>
          </w:tcPr>
          <w:p w:rsidR="00B1054F" w:rsidRPr="00653421" w:rsidRDefault="00B1054F" w:rsidP="00B1054F">
            <w:pPr>
              <w:spacing w:before="60" w:after="60"/>
              <w:ind w:left="144"/>
              <w:rPr>
                <w:rFonts w:cs="Tahoma"/>
              </w:rPr>
            </w:pPr>
            <w:r w:rsidRPr="00653421">
              <w:rPr>
                <w:rFonts w:cs="Tahoma"/>
              </w:rPr>
              <w:t>Atualização do Windows Pro</w:t>
            </w:r>
          </w:p>
        </w:tc>
        <w:tc>
          <w:tcPr>
            <w:tcW w:w="4590" w:type="dxa"/>
            <w:tcBorders>
              <w:top w:val="single" w:sz="8" w:space="0" w:color="auto"/>
              <w:left w:val="nil"/>
              <w:bottom w:val="single" w:sz="8" w:space="0" w:color="auto"/>
              <w:right w:val="single" w:sz="8" w:space="0" w:color="auto"/>
            </w:tcBorders>
            <w:vAlign w:val="center"/>
          </w:tcPr>
          <w:p w:rsidR="00B1054F" w:rsidRPr="00734B50" w:rsidRDefault="00B1054F" w:rsidP="00B1054F">
            <w:pPr>
              <w:numPr>
                <w:ilvl w:val="0"/>
                <w:numId w:val="49"/>
              </w:numPr>
              <w:spacing w:before="60" w:after="60"/>
              <w:rPr>
                <w:rFonts w:cs="Tahoma"/>
                <w:color w:val="000000"/>
                <w:szCs w:val="18"/>
                <w:lang w:val="pt-BR"/>
              </w:rPr>
            </w:pPr>
            <w:r w:rsidRPr="00734B50">
              <w:rPr>
                <w:rFonts w:cs="Tahoma"/>
                <w:color w:val="000000" w:themeColor="text1"/>
                <w:lang w:val="pt-BR"/>
              </w:rPr>
              <w:t>Licença de Assinatura do Windows Companion</w:t>
            </w:r>
          </w:p>
        </w:tc>
      </w:tr>
    </w:tbl>
    <w:p w:rsidR="00456002" w:rsidRPr="00734B50" w:rsidRDefault="00456002" w:rsidP="00456002">
      <w:pPr>
        <w:tabs>
          <w:tab w:val="left" w:pos="360"/>
        </w:tabs>
        <w:ind w:left="720"/>
        <w:rPr>
          <w:lang w:val="pt-BR"/>
        </w:rPr>
      </w:pPr>
      <w:r w:rsidRPr="00734B50">
        <w:rPr>
          <w:rFonts w:cs="Tahoma"/>
          <w:i/>
          <w:sz w:val="16"/>
          <w:szCs w:val="20"/>
          <w:lang w:val="pt-BR"/>
        </w:rPr>
        <w:t xml:space="preserve">* Requer Bridge do Pacote de CALs adequado. Para obter mais informações sobre o Bridge do Pacote de CALs, </w:t>
      </w:r>
      <w:r w:rsidR="007C4AA7" w:rsidRPr="00734B50">
        <w:rPr>
          <w:rFonts w:cs="Tahoma"/>
          <w:i/>
          <w:sz w:val="16"/>
          <w:szCs w:val="20"/>
          <w:lang w:val="pt-BR"/>
        </w:rPr>
        <w:br/>
      </w:r>
      <w:r w:rsidRPr="00734B50">
        <w:rPr>
          <w:rFonts w:cs="Tahoma"/>
          <w:i/>
          <w:sz w:val="16"/>
          <w:szCs w:val="20"/>
          <w:lang w:val="pt-BR"/>
        </w:rPr>
        <w:t>consulte a</w:t>
      </w:r>
      <w:r w:rsidR="00C3501B" w:rsidRPr="00734B50">
        <w:rPr>
          <w:rFonts w:cs="Tahoma"/>
          <w:i/>
          <w:sz w:val="16"/>
          <w:szCs w:val="20"/>
          <w:lang w:val="pt-BR"/>
        </w:rPr>
        <w:t> </w:t>
      </w:r>
      <w:r w:rsidRPr="00734B50">
        <w:rPr>
          <w:rFonts w:cs="Tahoma"/>
          <w:i/>
          <w:sz w:val="16"/>
          <w:szCs w:val="20"/>
          <w:lang w:val="pt-BR"/>
        </w:rPr>
        <w:t>seção de notas do produto neste documento.</w:t>
      </w:r>
    </w:p>
    <w:p w:rsidR="00456002" w:rsidRPr="00734B50" w:rsidRDefault="00456002" w:rsidP="00366502">
      <w:pPr>
        <w:rPr>
          <w:lang w:val="pt-BR"/>
        </w:rPr>
      </w:pPr>
      <w:r w:rsidRPr="00734B50">
        <w:rPr>
          <w:rFonts w:cs="Tahoma"/>
          <w:szCs w:val="20"/>
          <w:lang w:val="pt-BR"/>
        </w:rPr>
        <w:lastRenderedPageBreak/>
        <w:t>Outras Transições podem ser adicionadas a critério da Microsoft.</w:t>
      </w:r>
      <w:r w:rsidR="00DD7735" w:rsidRPr="00734B50">
        <w:rPr>
          <w:rFonts w:cs="Tahoma"/>
          <w:szCs w:val="20"/>
          <w:lang w:val="pt-BR"/>
        </w:rPr>
        <w:t xml:space="preserve"> </w:t>
      </w:r>
      <w:r w:rsidRPr="00734B50">
        <w:rPr>
          <w:rFonts w:cs="Tahoma"/>
          <w:szCs w:val="20"/>
          <w:lang w:val="pt-BR"/>
        </w:rPr>
        <w:t>Valores adicionais e requisitos de licença podem ser</w:t>
      </w:r>
      <w:r w:rsidR="007C4AA7" w:rsidRPr="00734B50">
        <w:rPr>
          <w:rFonts w:cs="Tahoma"/>
          <w:szCs w:val="20"/>
          <w:lang w:val="pt-BR"/>
        </w:rPr>
        <w:t> </w:t>
      </w:r>
      <w:r w:rsidRPr="00734B50">
        <w:rPr>
          <w:rFonts w:cs="Tahoma"/>
          <w:szCs w:val="20"/>
          <w:lang w:val="pt-BR"/>
        </w:rPr>
        <w:t>aplicáveis.</w:t>
      </w:r>
      <w:r w:rsidR="00DD7735" w:rsidRPr="00734B50">
        <w:rPr>
          <w:rFonts w:cs="Tahoma"/>
          <w:szCs w:val="20"/>
          <w:lang w:val="pt-BR"/>
        </w:rPr>
        <w:t xml:space="preserve"> </w:t>
      </w:r>
    </w:p>
    <w:p w:rsidR="00456002" w:rsidRPr="00734B50" w:rsidRDefault="00456002" w:rsidP="00366502">
      <w:pPr>
        <w:outlineLvl w:val="2"/>
        <w:rPr>
          <w:lang w:val="pt-BR"/>
        </w:rPr>
      </w:pPr>
    </w:p>
    <w:p w:rsidR="00456002" w:rsidRPr="00734B50" w:rsidRDefault="00456002" w:rsidP="0055442E">
      <w:pPr>
        <w:keepNext/>
        <w:tabs>
          <w:tab w:val="num" w:pos="720"/>
        </w:tabs>
        <w:spacing w:after="60"/>
        <w:outlineLvl w:val="3"/>
        <w:rPr>
          <w:lang w:val="pt-BR"/>
        </w:rPr>
      </w:pPr>
      <w:r w:rsidRPr="00734B50">
        <w:rPr>
          <w:rFonts w:cs="Tahoma"/>
          <w:b/>
          <w:szCs w:val="20"/>
          <w:lang w:val="pt-BR"/>
        </w:rPr>
        <w:t>Pedidos de adequação (“true-up”) ou anuais dos Serviços Online</w:t>
      </w:r>
      <w:r w:rsidRPr="00734B50">
        <w:rPr>
          <w:rFonts w:eastAsia="Times New Roman" w:cs="Tahoma"/>
          <w:b/>
          <w:sz w:val="22"/>
          <w:szCs w:val="20"/>
          <w:lang w:val="pt-BR"/>
        </w:rPr>
        <w:t xml:space="preserve"> </w:t>
      </w:r>
    </w:p>
    <w:p w:rsidR="00456002" w:rsidRPr="00734B50" w:rsidRDefault="00456002" w:rsidP="00366502">
      <w:pPr>
        <w:rPr>
          <w:lang w:val="pt-BR"/>
        </w:rPr>
      </w:pPr>
      <w:r w:rsidRPr="00734B50">
        <w:rPr>
          <w:rFonts w:cs="Tahoma"/>
          <w:b/>
          <w:szCs w:val="20"/>
          <w:lang w:val="pt-BR"/>
        </w:rPr>
        <w:t>Observação:</w:t>
      </w:r>
      <w:r w:rsidRPr="00734B50">
        <w:rPr>
          <w:rFonts w:cs="Tahoma"/>
          <w:szCs w:val="20"/>
          <w:lang w:val="pt-BR"/>
        </w:rPr>
        <w:t xml:space="preserve"> O seguinte se aplica aos clientes do Registro Enterprise e Enterprise Subscription qualificados para fazerem pedidos de adequação (“true-up”) ou anuais dos serviços online.</w:t>
      </w:r>
      <w:r w:rsidR="00DD7735" w:rsidRPr="00734B50">
        <w:rPr>
          <w:rFonts w:cs="Tahoma"/>
          <w:szCs w:val="20"/>
          <w:lang w:val="pt-BR"/>
        </w:rPr>
        <w:t xml:space="preserve"> </w:t>
      </w:r>
      <w:r w:rsidRPr="00734B50">
        <w:rPr>
          <w:rFonts w:cs="Tahoma"/>
          <w:szCs w:val="20"/>
          <w:lang w:val="pt-BR"/>
        </w:rPr>
        <w:t>Os clientes que tiverem dúvidas sobre sua</w:t>
      </w:r>
      <w:r w:rsidR="0077268D" w:rsidRPr="00734B50">
        <w:rPr>
          <w:rFonts w:cs="Tahoma"/>
          <w:szCs w:val="20"/>
          <w:lang w:val="pt-BR"/>
        </w:rPr>
        <w:t> </w:t>
      </w:r>
      <w:r w:rsidRPr="00734B50">
        <w:rPr>
          <w:rFonts w:cs="Tahoma"/>
          <w:szCs w:val="20"/>
          <w:lang w:val="pt-BR"/>
        </w:rPr>
        <w:t>qualificação para fazer pedidos de adequação (“true-up”) ou anuais dos serviços online devem entrar em contato</w:t>
      </w:r>
      <w:r w:rsidR="0077268D" w:rsidRPr="00734B50">
        <w:rPr>
          <w:rFonts w:cs="Tahoma"/>
          <w:szCs w:val="20"/>
          <w:lang w:val="pt-BR"/>
        </w:rPr>
        <w:t> </w:t>
      </w:r>
      <w:r w:rsidRPr="00734B50">
        <w:rPr>
          <w:rFonts w:cs="Tahoma"/>
          <w:szCs w:val="20"/>
          <w:lang w:val="pt-BR"/>
        </w:rPr>
        <w:t>com o Consultor de Software, Revendedor ou Gerente de Conta Microsoft para obter mais informações.</w:t>
      </w:r>
    </w:p>
    <w:p w:rsidR="00456002" w:rsidRPr="00734B50" w:rsidRDefault="00456002" w:rsidP="00366502">
      <w:pPr>
        <w:rPr>
          <w:lang w:val="pt-BR"/>
        </w:rPr>
      </w:pPr>
    </w:p>
    <w:p w:rsidR="00456002" w:rsidRPr="00734B50" w:rsidRDefault="00456002" w:rsidP="00366502">
      <w:pPr>
        <w:rPr>
          <w:lang w:val="pt-BR"/>
        </w:rPr>
      </w:pPr>
      <w:r w:rsidRPr="00734B50">
        <w:rPr>
          <w:rFonts w:cs="Tahoma"/>
          <w:szCs w:val="20"/>
          <w:lang w:val="pt-BR"/>
        </w:rPr>
        <w:t xml:space="preserve">Os seguintes Serviços Online estão qualificados para pedido de adequação (“true-up”) ou anual de Serviços Online: </w:t>
      </w:r>
    </w:p>
    <w:p w:rsidR="00456002" w:rsidRPr="00734B50" w:rsidRDefault="00456002" w:rsidP="0055442E">
      <w:pPr>
        <w:ind w:left="720"/>
        <w:rPr>
          <w:lang w:val="pt-BR"/>
        </w:rPr>
      </w:pPr>
    </w:p>
    <w:tbl>
      <w:tblPr>
        <w:tblW w:w="451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3"/>
        <w:gridCol w:w="4284"/>
      </w:tblGrid>
      <w:tr w:rsidR="00456002" w:rsidRPr="00653421" w:rsidTr="0077268D">
        <w:trPr>
          <w:trHeight w:val="80"/>
          <w:tblHeader/>
        </w:trPr>
        <w:tc>
          <w:tcPr>
            <w:tcW w:w="5000" w:type="pct"/>
            <w:gridSpan w:val="2"/>
            <w:shd w:val="clear" w:color="auto" w:fill="FABF8F"/>
          </w:tcPr>
          <w:p w:rsidR="00456002" w:rsidRPr="00653421" w:rsidRDefault="00456002" w:rsidP="005C647E">
            <w:pPr>
              <w:jc w:val="center"/>
              <w:rPr>
                <w:rFonts w:cs="Tahoma"/>
                <w:b/>
              </w:rPr>
            </w:pPr>
            <w:r w:rsidRPr="00653421">
              <w:rPr>
                <w:rFonts w:cs="Tahoma"/>
                <w:b/>
              </w:rPr>
              <w:t>Serviços Online</w:t>
            </w:r>
          </w:p>
        </w:tc>
      </w:tr>
      <w:tr w:rsidR="00456002" w:rsidRPr="00653421" w:rsidTr="0077268D">
        <w:trPr>
          <w:trHeight w:val="219"/>
        </w:trPr>
        <w:tc>
          <w:tcPr>
            <w:tcW w:w="2464" w:type="pct"/>
          </w:tcPr>
          <w:p w:rsidR="00456002" w:rsidRPr="00653421" w:rsidRDefault="00456002" w:rsidP="002C1048">
            <w:pPr>
              <w:numPr>
                <w:ilvl w:val="0"/>
                <w:numId w:val="50"/>
              </w:numPr>
              <w:spacing w:before="80"/>
              <w:ind w:left="1265" w:hanging="985"/>
              <w:jc w:val="both"/>
            </w:pPr>
            <w:r w:rsidRPr="00653421">
              <w:rPr>
                <w:rFonts w:cs="Tahoma"/>
              </w:rPr>
              <w:t>Quiosque do Exchange Online*</w:t>
            </w:r>
          </w:p>
          <w:p w:rsidR="00456002" w:rsidRPr="00653421" w:rsidRDefault="00456002" w:rsidP="002C1048">
            <w:pPr>
              <w:numPr>
                <w:ilvl w:val="0"/>
                <w:numId w:val="50"/>
              </w:numPr>
              <w:spacing w:before="80"/>
              <w:ind w:left="1265" w:hanging="985"/>
              <w:jc w:val="both"/>
            </w:pPr>
            <w:r w:rsidRPr="00653421">
              <w:rPr>
                <w:rFonts w:cs="Tahoma"/>
              </w:rPr>
              <w:t>Exchange Online Plano 1*</w:t>
            </w:r>
          </w:p>
          <w:p w:rsidR="00456002" w:rsidRPr="00653421" w:rsidRDefault="00456002" w:rsidP="002C1048">
            <w:pPr>
              <w:numPr>
                <w:ilvl w:val="0"/>
                <w:numId w:val="50"/>
              </w:numPr>
              <w:spacing w:before="80"/>
              <w:ind w:left="1265" w:hanging="985"/>
              <w:jc w:val="both"/>
            </w:pPr>
            <w:r w:rsidRPr="00653421">
              <w:rPr>
                <w:rFonts w:cs="Tahoma"/>
              </w:rPr>
              <w:t>Exchange Online Plano 2*</w:t>
            </w:r>
          </w:p>
          <w:p w:rsidR="00456002" w:rsidRPr="00653421" w:rsidRDefault="00456002" w:rsidP="002C1048">
            <w:pPr>
              <w:numPr>
                <w:ilvl w:val="0"/>
                <w:numId w:val="50"/>
              </w:numPr>
              <w:spacing w:before="80"/>
              <w:ind w:left="1265" w:hanging="985"/>
              <w:jc w:val="both"/>
            </w:pPr>
            <w:r w:rsidRPr="00653421">
              <w:rPr>
                <w:rFonts w:cs="Tahoma"/>
              </w:rPr>
              <w:t>Lync Online Plano 1*</w:t>
            </w:r>
          </w:p>
          <w:p w:rsidR="00456002" w:rsidRPr="00653421" w:rsidRDefault="00456002" w:rsidP="002C1048">
            <w:pPr>
              <w:numPr>
                <w:ilvl w:val="0"/>
                <w:numId w:val="50"/>
              </w:numPr>
              <w:spacing w:before="80"/>
              <w:ind w:left="1265" w:hanging="985"/>
              <w:jc w:val="both"/>
            </w:pPr>
            <w:r w:rsidRPr="00653421">
              <w:rPr>
                <w:rFonts w:cs="Tahoma"/>
              </w:rPr>
              <w:t>Lync Online Plano 2*</w:t>
            </w:r>
          </w:p>
          <w:p w:rsidR="00E77288" w:rsidRPr="00653421" w:rsidRDefault="00E77288" w:rsidP="002C1048">
            <w:pPr>
              <w:numPr>
                <w:ilvl w:val="0"/>
                <w:numId w:val="50"/>
              </w:numPr>
              <w:spacing w:before="80"/>
              <w:ind w:left="1265" w:hanging="985"/>
              <w:jc w:val="both"/>
            </w:pPr>
            <w:r w:rsidRPr="00653421">
              <w:rPr>
                <w:rFonts w:cs="Tahoma"/>
              </w:rPr>
              <w:t>Lync Online Plano 3*</w:t>
            </w:r>
          </w:p>
          <w:p w:rsidR="00456002" w:rsidRPr="00653421" w:rsidRDefault="00456002" w:rsidP="002C1048">
            <w:pPr>
              <w:numPr>
                <w:ilvl w:val="0"/>
                <w:numId w:val="50"/>
              </w:numPr>
              <w:spacing w:before="80"/>
              <w:ind w:left="1265" w:hanging="985"/>
              <w:jc w:val="both"/>
            </w:pPr>
            <w:r w:rsidRPr="00653421">
              <w:rPr>
                <w:rFonts w:cs="Tahoma"/>
              </w:rPr>
              <w:t>Office 365 (Enterprise K1)*</w:t>
            </w:r>
          </w:p>
          <w:p w:rsidR="00456002" w:rsidRPr="00653421" w:rsidRDefault="00456002" w:rsidP="002C1048">
            <w:pPr>
              <w:numPr>
                <w:ilvl w:val="0"/>
                <w:numId w:val="50"/>
              </w:numPr>
              <w:spacing w:before="80"/>
              <w:ind w:left="1265" w:hanging="985"/>
              <w:jc w:val="both"/>
            </w:pPr>
            <w:r w:rsidRPr="00653421">
              <w:rPr>
                <w:rFonts w:cs="Tahoma"/>
              </w:rPr>
              <w:t>Office 365 (Enterprise K2)*</w:t>
            </w:r>
          </w:p>
          <w:p w:rsidR="00456002" w:rsidRPr="00653421" w:rsidRDefault="00456002" w:rsidP="002C1048">
            <w:pPr>
              <w:numPr>
                <w:ilvl w:val="0"/>
                <w:numId w:val="50"/>
              </w:numPr>
              <w:spacing w:before="80"/>
              <w:ind w:left="1265" w:hanging="985"/>
              <w:jc w:val="both"/>
            </w:pPr>
            <w:r w:rsidRPr="00653421">
              <w:rPr>
                <w:rFonts w:cs="Tahoma"/>
              </w:rPr>
              <w:t>Office 365 (Enterprise E1)</w:t>
            </w:r>
          </w:p>
          <w:p w:rsidR="00456002" w:rsidRPr="00653421" w:rsidRDefault="00456002" w:rsidP="002C1048">
            <w:pPr>
              <w:numPr>
                <w:ilvl w:val="0"/>
                <w:numId w:val="50"/>
              </w:numPr>
              <w:spacing w:before="80"/>
              <w:ind w:left="1265" w:hanging="985"/>
              <w:jc w:val="both"/>
            </w:pPr>
            <w:r w:rsidRPr="00653421">
              <w:rPr>
                <w:rFonts w:cs="Tahoma"/>
              </w:rPr>
              <w:t>Office 365 (Enterprise E2)</w:t>
            </w:r>
          </w:p>
          <w:p w:rsidR="00456002" w:rsidRPr="00653421" w:rsidRDefault="00456002" w:rsidP="002C1048">
            <w:pPr>
              <w:numPr>
                <w:ilvl w:val="0"/>
                <w:numId w:val="50"/>
              </w:numPr>
              <w:spacing w:before="80"/>
              <w:ind w:left="1265" w:hanging="985"/>
              <w:jc w:val="both"/>
            </w:pPr>
            <w:r w:rsidRPr="00653421">
              <w:rPr>
                <w:rFonts w:cs="Tahoma"/>
              </w:rPr>
              <w:t>Office 365 (Enterprise E3)</w:t>
            </w:r>
          </w:p>
          <w:p w:rsidR="00456002" w:rsidRPr="00653421" w:rsidRDefault="00456002" w:rsidP="00F27B29">
            <w:pPr>
              <w:numPr>
                <w:ilvl w:val="0"/>
                <w:numId w:val="50"/>
              </w:numPr>
              <w:spacing w:before="80"/>
              <w:ind w:left="1265" w:hanging="985"/>
              <w:jc w:val="both"/>
              <w:rPr>
                <w:rFonts w:cs="Tahoma"/>
              </w:rPr>
            </w:pPr>
            <w:r w:rsidRPr="00653421">
              <w:rPr>
                <w:rFonts w:cs="Tahoma"/>
              </w:rPr>
              <w:t>Office 365 (Enterprise E4)</w:t>
            </w:r>
          </w:p>
        </w:tc>
        <w:tc>
          <w:tcPr>
            <w:tcW w:w="2536" w:type="pct"/>
          </w:tcPr>
          <w:p w:rsidR="00A32052" w:rsidRPr="00653421" w:rsidRDefault="00A32052" w:rsidP="002C1048">
            <w:pPr>
              <w:numPr>
                <w:ilvl w:val="0"/>
                <w:numId w:val="50"/>
              </w:numPr>
              <w:spacing w:before="80"/>
              <w:ind w:left="692"/>
              <w:jc w:val="both"/>
            </w:pPr>
            <w:r w:rsidRPr="00653421">
              <w:rPr>
                <w:rFonts w:cs="Tahoma"/>
                <w:color w:val="000000"/>
              </w:rPr>
              <w:t>Office 365 (Government G1)</w:t>
            </w:r>
          </w:p>
          <w:p w:rsidR="00A32052" w:rsidRPr="00653421" w:rsidRDefault="00A32052" w:rsidP="002C1048">
            <w:pPr>
              <w:numPr>
                <w:ilvl w:val="0"/>
                <w:numId w:val="50"/>
              </w:numPr>
              <w:spacing w:before="80"/>
              <w:ind w:left="692"/>
              <w:jc w:val="both"/>
            </w:pPr>
            <w:r w:rsidRPr="00653421">
              <w:rPr>
                <w:rFonts w:cs="Tahoma"/>
                <w:color w:val="000000"/>
              </w:rPr>
              <w:t>Office 365 (Government G2)</w:t>
            </w:r>
          </w:p>
          <w:p w:rsidR="00A32052" w:rsidRPr="00653421" w:rsidRDefault="00A32052" w:rsidP="002C1048">
            <w:pPr>
              <w:numPr>
                <w:ilvl w:val="0"/>
                <w:numId w:val="50"/>
              </w:numPr>
              <w:spacing w:before="80"/>
              <w:ind w:left="692"/>
              <w:jc w:val="both"/>
            </w:pPr>
            <w:r w:rsidRPr="00653421">
              <w:rPr>
                <w:rFonts w:cs="Tahoma"/>
                <w:color w:val="000000"/>
              </w:rPr>
              <w:t>Office 365 (Government G3)</w:t>
            </w:r>
          </w:p>
          <w:p w:rsidR="00A32052" w:rsidRPr="00653421" w:rsidRDefault="00A32052" w:rsidP="002C1048">
            <w:pPr>
              <w:numPr>
                <w:ilvl w:val="0"/>
                <w:numId w:val="50"/>
              </w:numPr>
              <w:spacing w:before="80"/>
              <w:ind w:left="692"/>
              <w:jc w:val="both"/>
            </w:pPr>
            <w:r w:rsidRPr="00653421">
              <w:rPr>
                <w:rFonts w:cs="Tahoma"/>
                <w:color w:val="000000"/>
              </w:rPr>
              <w:t>Office 365 (Government G4)</w:t>
            </w:r>
          </w:p>
          <w:p w:rsidR="00456002" w:rsidRPr="00653421" w:rsidRDefault="00456002" w:rsidP="002C1048">
            <w:pPr>
              <w:numPr>
                <w:ilvl w:val="0"/>
                <w:numId w:val="50"/>
              </w:numPr>
              <w:spacing w:before="80"/>
              <w:ind w:left="692"/>
              <w:jc w:val="both"/>
            </w:pPr>
            <w:r w:rsidRPr="00653421">
              <w:rPr>
                <w:rFonts w:cs="Tahoma"/>
                <w:color w:val="000000"/>
              </w:rPr>
              <w:t>Office Web Applications*</w:t>
            </w:r>
          </w:p>
          <w:p w:rsidR="00456002" w:rsidRPr="00653421" w:rsidRDefault="00456002" w:rsidP="002C1048">
            <w:pPr>
              <w:numPr>
                <w:ilvl w:val="0"/>
                <w:numId w:val="50"/>
              </w:numPr>
              <w:spacing w:before="80"/>
              <w:ind w:left="692"/>
              <w:jc w:val="both"/>
            </w:pPr>
            <w:r w:rsidRPr="00653421">
              <w:rPr>
                <w:rFonts w:cs="Tahoma"/>
                <w:color w:val="000000"/>
              </w:rPr>
              <w:t>SharePoint Online Plano 1*</w:t>
            </w:r>
          </w:p>
          <w:p w:rsidR="00456002" w:rsidRPr="00653421" w:rsidRDefault="00456002" w:rsidP="002C1048">
            <w:pPr>
              <w:numPr>
                <w:ilvl w:val="0"/>
                <w:numId w:val="50"/>
              </w:numPr>
              <w:spacing w:before="80"/>
              <w:ind w:left="692"/>
              <w:jc w:val="both"/>
            </w:pPr>
            <w:r w:rsidRPr="00653421">
              <w:rPr>
                <w:rFonts w:cs="Tahoma"/>
                <w:color w:val="000000"/>
              </w:rPr>
              <w:t>SharePoint Online Plano 2*</w:t>
            </w:r>
          </w:p>
          <w:p w:rsidR="00456002" w:rsidRPr="00734B50" w:rsidRDefault="00456002" w:rsidP="002C1048">
            <w:pPr>
              <w:numPr>
                <w:ilvl w:val="0"/>
                <w:numId w:val="50"/>
              </w:numPr>
              <w:spacing w:before="80"/>
              <w:ind w:left="692"/>
              <w:jc w:val="both"/>
              <w:rPr>
                <w:lang w:val="pt-BR"/>
              </w:rPr>
            </w:pPr>
            <w:r w:rsidRPr="00734B50">
              <w:rPr>
                <w:rFonts w:cs="Tahoma"/>
                <w:color w:val="000000"/>
                <w:lang w:val="pt-BR"/>
              </w:rPr>
              <w:t>Acesso para Parceiros do SharePoint Online*</w:t>
            </w:r>
          </w:p>
          <w:p w:rsidR="00456002" w:rsidRPr="00653421" w:rsidRDefault="00456002" w:rsidP="002C1048">
            <w:pPr>
              <w:numPr>
                <w:ilvl w:val="0"/>
                <w:numId w:val="50"/>
              </w:numPr>
              <w:spacing w:before="80"/>
              <w:ind w:left="692"/>
              <w:jc w:val="both"/>
            </w:pPr>
            <w:r w:rsidRPr="00653421">
              <w:rPr>
                <w:rFonts w:cs="Tahoma"/>
                <w:color w:val="000000"/>
              </w:rPr>
              <w:t>Windows Intune</w:t>
            </w:r>
          </w:p>
          <w:p w:rsidR="00456002" w:rsidRPr="00653421" w:rsidRDefault="00BD6C2C" w:rsidP="002C1048">
            <w:pPr>
              <w:numPr>
                <w:ilvl w:val="0"/>
                <w:numId w:val="50"/>
              </w:numPr>
              <w:spacing w:before="80"/>
              <w:ind w:left="692"/>
              <w:jc w:val="both"/>
            </w:pPr>
            <w:r w:rsidRPr="00653421">
              <w:rPr>
                <w:rFonts w:cs="Tahoma"/>
                <w:color w:val="000000"/>
              </w:rPr>
              <w:t>Complemento do Windows Intune*, **</w:t>
            </w:r>
          </w:p>
          <w:p w:rsidR="00F27B29" w:rsidRPr="00653421" w:rsidRDefault="00F27B29" w:rsidP="002C1048">
            <w:pPr>
              <w:numPr>
                <w:ilvl w:val="0"/>
                <w:numId w:val="50"/>
              </w:numPr>
              <w:spacing w:before="80"/>
              <w:ind w:left="692"/>
              <w:jc w:val="both"/>
              <w:rPr>
                <w:rFonts w:cs="Tahoma"/>
              </w:rPr>
            </w:pPr>
            <w:r w:rsidRPr="00653421">
              <w:rPr>
                <w:rFonts w:cs="Tahoma"/>
                <w:color w:val="000000"/>
              </w:rPr>
              <w:t>Yammer Enterprise*</w:t>
            </w:r>
          </w:p>
        </w:tc>
      </w:tr>
    </w:tbl>
    <w:p w:rsidR="00456002" w:rsidRPr="00653421" w:rsidRDefault="00456002" w:rsidP="00456002">
      <w:pPr>
        <w:tabs>
          <w:tab w:val="left" w:pos="360"/>
        </w:tabs>
        <w:ind w:left="720"/>
      </w:pPr>
      <w:r w:rsidRPr="00653421">
        <w:rPr>
          <w:rFonts w:cs="Tahoma"/>
          <w:i/>
          <w:sz w:val="16"/>
          <w:szCs w:val="20"/>
        </w:rPr>
        <w:t>* Produto Adicional</w:t>
      </w:r>
    </w:p>
    <w:p w:rsidR="00456002" w:rsidRPr="00734B50" w:rsidRDefault="003929D1" w:rsidP="00456002">
      <w:pPr>
        <w:tabs>
          <w:tab w:val="left" w:pos="360"/>
        </w:tabs>
        <w:ind w:left="720"/>
        <w:rPr>
          <w:lang w:val="pt-BR"/>
        </w:rPr>
      </w:pPr>
      <w:r w:rsidRPr="00734B50">
        <w:rPr>
          <w:rFonts w:cs="Tahoma"/>
          <w:i/>
          <w:sz w:val="16"/>
          <w:szCs w:val="20"/>
          <w:lang w:val="pt-BR"/>
        </w:rPr>
        <w:t xml:space="preserve">** </w:t>
      </w:r>
      <w:r w:rsidR="00C133AB" w:rsidRPr="00734B50">
        <w:rPr>
          <w:rFonts w:cs="Tahoma"/>
          <w:i/>
          <w:sz w:val="16"/>
          <w:szCs w:val="20"/>
          <w:lang w:val="pt-BR"/>
        </w:rPr>
        <w:t>“</w:t>
      </w:r>
      <w:r w:rsidRPr="00734B50">
        <w:rPr>
          <w:rFonts w:cs="Tahoma"/>
          <w:i/>
          <w:sz w:val="16"/>
          <w:szCs w:val="20"/>
          <w:lang w:val="pt-BR"/>
        </w:rPr>
        <w:t>Complemento do Windows Intune” é uma abreviação para Complemento do Windows Intune para System Center Configuration Manager e System Center Endpoint Protection (Por Usuário)</w:t>
      </w:r>
    </w:p>
    <w:p w:rsidR="003929D1" w:rsidRPr="00734B50" w:rsidRDefault="003929D1" w:rsidP="00A12176">
      <w:pPr>
        <w:tabs>
          <w:tab w:val="left" w:pos="360"/>
        </w:tabs>
        <w:rPr>
          <w:lang w:val="pt-BR"/>
        </w:rPr>
      </w:pPr>
    </w:p>
    <w:p w:rsidR="00456002" w:rsidRPr="00734B50" w:rsidRDefault="00456002" w:rsidP="001E7C5F">
      <w:pPr>
        <w:tabs>
          <w:tab w:val="left" w:pos="360"/>
        </w:tabs>
        <w:spacing w:after="60"/>
        <w:rPr>
          <w:lang w:val="pt-BR"/>
        </w:rPr>
      </w:pPr>
      <w:r w:rsidRPr="00734B50">
        <w:rPr>
          <w:rFonts w:cs="Tahoma"/>
          <w:b/>
          <w:szCs w:val="20"/>
          <w:lang w:val="pt-BR"/>
        </w:rPr>
        <w:t>Reduções de Licença de Assinatura</w:t>
      </w:r>
    </w:p>
    <w:p w:rsidR="00456002" w:rsidRPr="00734B50" w:rsidRDefault="00456002" w:rsidP="00366502">
      <w:pPr>
        <w:tabs>
          <w:tab w:val="left" w:pos="360"/>
        </w:tabs>
        <w:rPr>
          <w:lang w:val="pt-BR"/>
        </w:rPr>
      </w:pPr>
      <w:r w:rsidRPr="00734B50">
        <w:rPr>
          <w:rFonts w:cs="Tahoma"/>
          <w:b/>
          <w:szCs w:val="20"/>
          <w:lang w:val="pt-BR"/>
        </w:rPr>
        <w:t>Observação:</w:t>
      </w:r>
      <w:r w:rsidRPr="00734B50">
        <w:rPr>
          <w:rFonts w:cs="Tahoma"/>
          <w:szCs w:val="20"/>
          <w:lang w:val="pt-BR"/>
        </w:rPr>
        <w:t xml:space="preserve"> O seguinte se aplica aos clientes do Enterprise qualificados para informar reduções nas Licenças de</w:t>
      </w:r>
      <w:r w:rsidR="0077268D" w:rsidRPr="00734B50">
        <w:rPr>
          <w:rFonts w:cs="Tahoma"/>
          <w:szCs w:val="20"/>
          <w:lang w:val="pt-BR"/>
        </w:rPr>
        <w:t> </w:t>
      </w:r>
      <w:r w:rsidRPr="00734B50">
        <w:rPr>
          <w:rFonts w:cs="Tahoma"/>
          <w:szCs w:val="20"/>
          <w:lang w:val="pt-BR"/>
        </w:rPr>
        <w:t>assinatura.</w:t>
      </w:r>
      <w:r w:rsidR="00DD7735" w:rsidRPr="00734B50">
        <w:rPr>
          <w:rFonts w:cs="Tahoma"/>
          <w:szCs w:val="20"/>
          <w:lang w:val="pt-BR"/>
        </w:rPr>
        <w:t xml:space="preserve"> </w:t>
      </w:r>
      <w:r w:rsidRPr="00734B50">
        <w:rPr>
          <w:rFonts w:cs="Tahoma"/>
          <w:szCs w:val="20"/>
          <w:lang w:val="pt-BR"/>
        </w:rPr>
        <w:t>Os clientes que tiverem dúvidas sobre sua qualificação para informar reduções nas Licenças de assinatura devem entrar em contato com o Consultor de Software, Revendedor ou Gerente de Conta Microsoft para</w:t>
      </w:r>
      <w:r w:rsidR="0077268D" w:rsidRPr="00734B50">
        <w:rPr>
          <w:rFonts w:cs="Tahoma"/>
          <w:szCs w:val="20"/>
          <w:lang w:val="pt-BR"/>
        </w:rPr>
        <w:t> </w:t>
      </w:r>
      <w:r w:rsidRPr="00734B50">
        <w:rPr>
          <w:rFonts w:cs="Tahoma"/>
          <w:szCs w:val="20"/>
          <w:lang w:val="pt-BR"/>
        </w:rPr>
        <w:t>obter mais informações.</w:t>
      </w:r>
      <w:r w:rsidR="00DD7735" w:rsidRPr="00734B50">
        <w:rPr>
          <w:rFonts w:cs="Tahoma"/>
          <w:szCs w:val="20"/>
          <w:lang w:val="pt-BR"/>
        </w:rPr>
        <w:t xml:space="preserve"> </w:t>
      </w:r>
    </w:p>
    <w:p w:rsidR="00456002" w:rsidRPr="00734B50" w:rsidRDefault="00456002" w:rsidP="00366502">
      <w:pPr>
        <w:tabs>
          <w:tab w:val="left" w:pos="360"/>
        </w:tabs>
        <w:rPr>
          <w:lang w:val="pt-BR"/>
        </w:rPr>
      </w:pPr>
    </w:p>
    <w:p w:rsidR="00456002" w:rsidRPr="00734B50" w:rsidRDefault="00456002" w:rsidP="00366502">
      <w:pPr>
        <w:tabs>
          <w:tab w:val="left" w:pos="360"/>
        </w:tabs>
        <w:rPr>
          <w:lang w:val="pt-BR"/>
        </w:rPr>
      </w:pPr>
      <w:r w:rsidRPr="00734B50">
        <w:rPr>
          <w:rFonts w:cs="Tahoma"/>
          <w:szCs w:val="20"/>
          <w:lang w:val="pt-BR"/>
        </w:rPr>
        <w:t>As seguintes Licenças de assinatura estão qualificadas para ajustes nas quantidades de Licença:</w:t>
      </w:r>
    </w:p>
    <w:p w:rsidR="00456002" w:rsidRPr="00734B50" w:rsidRDefault="00456002" w:rsidP="00456002">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653421" w:rsidTr="007E466C">
        <w:trPr>
          <w:trHeight w:val="80"/>
        </w:trPr>
        <w:tc>
          <w:tcPr>
            <w:tcW w:w="5000" w:type="pct"/>
            <w:gridSpan w:val="2"/>
            <w:shd w:val="clear" w:color="auto" w:fill="FABF8F"/>
          </w:tcPr>
          <w:p w:rsidR="00456002" w:rsidRPr="00653421" w:rsidRDefault="00456002" w:rsidP="005C647E">
            <w:pPr>
              <w:jc w:val="center"/>
              <w:rPr>
                <w:rFonts w:cs="Tahoma"/>
                <w:b/>
              </w:rPr>
            </w:pPr>
            <w:r w:rsidRPr="00653421">
              <w:rPr>
                <w:rFonts w:cs="Tahoma"/>
                <w:b/>
              </w:rPr>
              <w:t>Serviços Online</w:t>
            </w:r>
          </w:p>
        </w:tc>
      </w:tr>
      <w:tr w:rsidR="00456002" w:rsidRPr="00653421" w:rsidTr="007E466C">
        <w:trPr>
          <w:trHeight w:val="219"/>
        </w:trPr>
        <w:tc>
          <w:tcPr>
            <w:tcW w:w="2500" w:type="pct"/>
          </w:tcPr>
          <w:p w:rsidR="00456002" w:rsidRPr="00653421" w:rsidRDefault="00456002" w:rsidP="007E466C">
            <w:pPr>
              <w:numPr>
                <w:ilvl w:val="0"/>
                <w:numId w:val="50"/>
              </w:numPr>
              <w:spacing w:before="80"/>
            </w:pPr>
            <w:r w:rsidRPr="00653421">
              <w:rPr>
                <w:rFonts w:cs="Tahoma"/>
              </w:rPr>
              <w:t>Quiosque do Exchange Online*</w:t>
            </w:r>
          </w:p>
          <w:p w:rsidR="00456002" w:rsidRPr="00653421" w:rsidRDefault="00456002" w:rsidP="007E466C">
            <w:pPr>
              <w:numPr>
                <w:ilvl w:val="0"/>
                <w:numId w:val="50"/>
              </w:numPr>
              <w:spacing w:before="80"/>
            </w:pPr>
            <w:r w:rsidRPr="00653421">
              <w:rPr>
                <w:rFonts w:cs="Tahoma"/>
              </w:rPr>
              <w:t>Exchange Online Plano 1*</w:t>
            </w:r>
          </w:p>
          <w:p w:rsidR="00456002" w:rsidRPr="00653421" w:rsidRDefault="00456002" w:rsidP="007E466C">
            <w:pPr>
              <w:numPr>
                <w:ilvl w:val="0"/>
                <w:numId w:val="50"/>
              </w:numPr>
              <w:spacing w:before="80"/>
            </w:pPr>
            <w:r w:rsidRPr="00653421">
              <w:rPr>
                <w:rFonts w:cs="Tahoma"/>
              </w:rPr>
              <w:t>Exchange Online Plano 2*</w:t>
            </w:r>
          </w:p>
          <w:p w:rsidR="00456002" w:rsidRPr="00653421" w:rsidRDefault="00456002" w:rsidP="007E466C">
            <w:pPr>
              <w:numPr>
                <w:ilvl w:val="0"/>
                <w:numId w:val="50"/>
              </w:numPr>
              <w:spacing w:before="80"/>
            </w:pPr>
            <w:r w:rsidRPr="00653421">
              <w:rPr>
                <w:rFonts w:cs="Tahoma"/>
              </w:rPr>
              <w:t>Lync Online Plano 1*</w:t>
            </w:r>
          </w:p>
          <w:p w:rsidR="00456002" w:rsidRPr="00653421" w:rsidRDefault="00456002" w:rsidP="007E466C">
            <w:pPr>
              <w:numPr>
                <w:ilvl w:val="0"/>
                <w:numId w:val="50"/>
              </w:numPr>
              <w:spacing w:before="80"/>
            </w:pPr>
            <w:r w:rsidRPr="00653421">
              <w:rPr>
                <w:rFonts w:cs="Tahoma"/>
              </w:rPr>
              <w:t>Lync Online Plano 2*</w:t>
            </w:r>
          </w:p>
          <w:p w:rsidR="00E77288" w:rsidRPr="00653421" w:rsidRDefault="00E77288" w:rsidP="007E466C">
            <w:pPr>
              <w:numPr>
                <w:ilvl w:val="0"/>
                <w:numId w:val="50"/>
              </w:numPr>
              <w:spacing w:before="80"/>
            </w:pPr>
            <w:r w:rsidRPr="00653421">
              <w:rPr>
                <w:rFonts w:cs="Tahoma"/>
              </w:rPr>
              <w:t>Lync Online Plano 3*</w:t>
            </w:r>
          </w:p>
          <w:p w:rsidR="00456002" w:rsidRPr="00653421" w:rsidRDefault="00456002" w:rsidP="007E466C">
            <w:pPr>
              <w:numPr>
                <w:ilvl w:val="0"/>
                <w:numId w:val="50"/>
              </w:numPr>
              <w:spacing w:before="80"/>
            </w:pPr>
            <w:r w:rsidRPr="00653421">
              <w:rPr>
                <w:rFonts w:cs="Tahoma"/>
              </w:rPr>
              <w:t>Office 365 (Enterprise K1)*</w:t>
            </w:r>
          </w:p>
          <w:p w:rsidR="00456002" w:rsidRPr="00653421" w:rsidRDefault="00456002" w:rsidP="007E466C">
            <w:pPr>
              <w:numPr>
                <w:ilvl w:val="0"/>
                <w:numId w:val="50"/>
              </w:numPr>
              <w:spacing w:before="80"/>
            </w:pPr>
            <w:r w:rsidRPr="00653421">
              <w:rPr>
                <w:rFonts w:cs="Tahoma"/>
              </w:rPr>
              <w:t>Office 365 (Enterprise K2)*</w:t>
            </w:r>
          </w:p>
          <w:p w:rsidR="00456002" w:rsidRPr="00653421" w:rsidRDefault="00456002" w:rsidP="007E466C">
            <w:pPr>
              <w:numPr>
                <w:ilvl w:val="0"/>
                <w:numId w:val="50"/>
              </w:numPr>
              <w:spacing w:before="80"/>
            </w:pPr>
            <w:r w:rsidRPr="00653421">
              <w:rPr>
                <w:rFonts w:cs="Tahoma"/>
              </w:rPr>
              <w:t>Office 365 (Enterprise E1)</w:t>
            </w:r>
          </w:p>
          <w:p w:rsidR="00456002" w:rsidRPr="00653421" w:rsidRDefault="00456002" w:rsidP="007E466C">
            <w:pPr>
              <w:numPr>
                <w:ilvl w:val="0"/>
                <w:numId w:val="50"/>
              </w:numPr>
              <w:spacing w:before="80"/>
            </w:pPr>
            <w:r w:rsidRPr="00653421">
              <w:rPr>
                <w:rFonts w:cs="Tahoma"/>
              </w:rPr>
              <w:t>Office 365 (Enterprise E2)</w:t>
            </w:r>
          </w:p>
          <w:p w:rsidR="00456002" w:rsidRPr="00653421" w:rsidRDefault="00456002" w:rsidP="007E466C">
            <w:pPr>
              <w:numPr>
                <w:ilvl w:val="0"/>
                <w:numId w:val="50"/>
              </w:numPr>
              <w:spacing w:before="80"/>
            </w:pPr>
            <w:r w:rsidRPr="00653421">
              <w:rPr>
                <w:rFonts w:cs="Tahoma"/>
              </w:rPr>
              <w:t>Office 365 (Enterprise E3)</w:t>
            </w:r>
          </w:p>
          <w:p w:rsidR="00456002" w:rsidRPr="00653421" w:rsidRDefault="00456002" w:rsidP="007E466C">
            <w:pPr>
              <w:numPr>
                <w:ilvl w:val="0"/>
                <w:numId w:val="50"/>
              </w:numPr>
              <w:spacing w:before="80"/>
            </w:pPr>
            <w:r w:rsidRPr="00653421">
              <w:rPr>
                <w:rFonts w:cs="Tahoma"/>
              </w:rPr>
              <w:lastRenderedPageBreak/>
              <w:t>Office 365 (Enterprise E4)</w:t>
            </w:r>
          </w:p>
          <w:p w:rsidR="005272FA" w:rsidRPr="00653421" w:rsidRDefault="005272FA" w:rsidP="005272FA">
            <w:pPr>
              <w:numPr>
                <w:ilvl w:val="0"/>
                <w:numId w:val="50"/>
              </w:numPr>
              <w:spacing w:before="80"/>
              <w:jc w:val="both"/>
            </w:pPr>
            <w:r w:rsidRPr="00653421">
              <w:rPr>
                <w:rFonts w:cs="Tahoma"/>
                <w:color w:val="000000"/>
              </w:rPr>
              <w:t>Office 365 (Government G1)</w:t>
            </w:r>
          </w:p>
          <w:p w:rsidR="005272FA" w:rsidRPr="00653421" w:rsidRDefault="005272FA" w:rsidP="005272FA">
            <w:pPr>
              <w:numPr>
                <w:ilvl w:val="0"/>
                <w:numId w:val="50"/>
              </w:numPr>
              <w:spacing w:before="80"/>
              <w:jc w:val="both"/>
            </w:pPr>
            <w:r w:rsidRPr="00653421">
              <w:rPr>
                <w:rFonts w:cs="Tahoma"/>
                <w:color w:val="000000"/>
              </w:rPr>
              <w:t>Office 365 (Government G2)</w:t>
            </w:r>
          </w:p>
          <w:p w:rsidR="005272FA" w:rsidRPr="00653421" w:rsidRDefault="005272FA" w:rsidP="005272FA">
            <w:pPr>
              <w:numPr>
                <w:ilvl w:val="0"/>
                <w:numId w:val="50"/>
              </w:numPr>
              <w:spacing w:before="80"/>
              <w:jc w:val="both"/>
            </w:pPr>
            <w:r w:rsidRPr="00653421">
              <w:rPr>
                <w:rFonts w:cs="Tahoma"/>
                <w:color w:val="000000"/>
              </w:rPr>
              <w:t>Office 365 (Government G3)</w:t>
            </w:r>
          </w:p>
          <w:p w:rsidR="005272FA" w:rsidRPr="00653421" w:rsidRDefault="005272FA" w:rsidP="005272FA">
            <w:pPr>
              <w:numPr>
                <w:ilvl w:val="0"/>
                <w:numId w:val="50"/>
              </w:numPr>
              <w:spacing w:before="80"/>
              <w:jc w:val="both"/>
            </w:pPr>
            <w:r w:rsidRPr="00653421">
              <w:rPr>
                <w:rFonts w:cs="Tahoma"/>
                <w:color w:val="000000"/>
              </w:rPr>
              <w:t>Office 365 (Government G4)</w:t>
            </w:r>
          </w:p>
          <w:p w:rsidR="005272FA" w:rsidRPr="00653421" w:rsidRDefault="005272FA" w:rsidP="007E466C">
            <w:pPr>
              <w:spacing w:before="80"/>
              <w:ind w:left="522"/>
              <w:rPr>
                <w:rFonts w:cs="Tahoma"/>
              </w:rPr>
            </w:pPr>
          </w:p>
        </w:tc>
        <w:tc>
          <w:tcPr>
            <w:tcW w:w="2500" w:type="pct"/>
          </w:tcPr>
          <w:p w:rsidR="00456002" w:rsidRPr="00653421" w:rsidRDefault="00456002" w:rsidP="007E466C">
            <w:pPr>
              <w:numPr>
                <w:ilvl w:val="0"/>
                <w:numId w:val="50"/>
              </w:numPr>
              <w:spacing w:before="80"/>
              <w:jc w:val="both"/>
            </w:pPr>
            <w:r w:rsidRPr="00653421">
              <w:rPr>
                <w:rFonts w:cs="Tahoma"/>
                <w:color w:val="000000"/>
              </w:rPr>
              <w:lastRenderedPageBreak/>
              <w:t>Office Web Applications*</w:t>
            </w:r>
          </w:p>
          <w:p w:rsidR="00CE1716" w:rsidRPr="00653421" w:rsidRDefault="00CE1716" w:rsidP="007E466C">
            <w:pPr>
              <w:numPr>
                <w:ilvl w:val="0"/>
                <w:numId w:val="50"/>
              </w:numPr>
              <w:spacing w:before="80"/>
              <w:jc w:val="both"/>
            </w:pPr>
            <w:r w:rsidRPr="00653421">
              <w:rPr>
                <w:rFonts w:cs="Tahoma"/>
                <w:color w:val="000000"/>
              </w:rPr>
              <w:t>Project Online</w:t>
            </w:r>
          </w:p>
          <w:p w:rsidR="005272FA" w:rsidRPr="00653421" w:rsidRDefault="005272FA" w:rsidP="007E466C">
            <w:pPr>
              <w:numPr>
                <w:ilvl w:val="0"/>
                <w:numId w:val="50"/>
              </w:numPr>
              <w:spacing w:before="80"/>
              <w:jc w:val="both"/>
            </w:pPr>
            <w:r w:rsidRPr="00653421">
              <w:rPr>
                <w:rFonts w:cs="Tahoma"/>
                <w:color w:val="000000"/>
              </w:rPr>
              <w:t>Project Pro para Office 365*</w:t>
            </w:r>
          </w:p>
          <w:p w:rsidR="00456002" w:rsidRPr="00653421" w:rsidRDefault="00456002" w:rsidP="007E466C">
            <w:pPr>
              <w:numPr>
                <w:ilvl w:val="0"/>
                <w:numId w:val="50"/>
              </w:numPr>
              <w:spacing w:before="80"/>
              <w:jc w:val="both"/>
            </w:pPr>
            <w:r w:rsidRPr="00653421">
              <w:rPr>
                <w:rFonts w:cs="Tahoma"/>
                <w:color w:val="000000"/>
              </w:rPr>
              <w:t>SharePoint Online Plano 1*</w:t>
            </w:r>
          </w:p>
          <w:p w:rsidR="00456002" w:rsidRPr="00653421" w:rsidRDefault="00456002" w:rsidP="007E466C">
            <w:pPr>
              <w:numPr>
                <w:ilvl w:val="0"/>
                <w:numId w:val="50"/>
              </w:numPr>
              <w:spacing w:before="80"/>
              <w:jc w:val="both"/>
            </w:pPr>
            <w:r w:rsidRPr="00653421">
              <w:rPr>
                <w:rFonts w:cs="Tahoma"/>
                <w:color w:val="000000"/>
              </w:rPr>
              <w:t>SharePoint Online Plano 2*</w:t>
            </w:r>
          </w:p>
          <w:p w:rsidR="00456002" w:rsidRPr="00734B50" w:rsidRDefault="00456002" w:rsidP="007E466C">
            <w:pPr>
              <w:numPr>
                <w:ilvl w:val="0"/>
                <w:numId w:val="50"/>
              </w:numPr>
              <w:spacing w:before="80"/>
              <w:ind w:right="270"/>
              <w:jc w:val="both"/>
              <w:rPr>
                <w:lang w:val="pt-BR"/>
              </w:rPr>
            </w:pPr>
            <w:r w:rsidRPr="00734B50">
              <w:rPr>
                <w:rFonts w:cs="Tahoma"/>
                <w:color w:val="000000"/>
                <w:lang w:val="pt-BR"/>
              </w:rPr>
              <w:t>Acesso para Parceiros do SharePoint Online*</w:t>
            </w:r>
          </w:p>
          <w:p w:rsidR="00456002" w:rsidRPr="00653421" w:rsidRDefault="00456002" w:rsidP="007E466C">
            <w:pPr>
              <w:numPr>
                <w:ilvl w:val="0"/>
                <w:numId w:val="50"/>
              </w:numPr>
              <w:spacing w:before="80"/>
              <w:jc w:val="both"/>
            </w:pPr>
            <w:r w:rsidRPr="00653421">
              <w:rPr>
                <w:rFonts w:cs="Tahoma"/>
                <w:color w:val="000000"/>
              </w:rPr>
              <w:t>Windows Intune</w:t>
            </w:r>
          </w:p>
          <w:p w:rsidR="00456002" w:rsidRPr="00653421" w:rsidRDefault="00456002" w:rsidP="007E466C">
            <w:pPr>
              <w:numPr>
                <w:ilvl w:val="0"/>
                <w:numId w:val="50"/>
              </w:numPr>
              <w:spacing w:before="80"/>
              <w:jc w:val="both"/>
            </w:pPr>
            <w:r w:rsidRPr="00653421">
              <w:rPr>
                <w:rFonts w:cs="Tahoma"/>
                <w:color w:val="000000"/>
              </w:rPr>
              <w:t>Windows Intune Complementar*</w:t>
            </w:r>
          </w:p>
          <w:p w:rsidR="00A2058E" w:rsidRPr="00653421" w:rsidRDefault="00A2058E" w:rsidP="007E466C">
            <w:pPr>
              <w:numPr>
                <w:ilvl w:val="0"/>
                <w:numId w:val="50"/>
              </w:numPr>
              <w:spacing w:before="80"/>
              <w:jc w:val="both"/>
            </w:pPr>
            <w:r w:rsidRPr="00653421">
              <w:rPr>
                <w:rFonts w:cs="Tahoma"/>
                <w:color w:val="000000"/>
              </w:rPr>
              <w:t>Microsoft Dynamics CRM Online*</w:t>
            </w:r>
          </w:p>
          <w:p w:rsidR="005272FA" w:rsidRPr="00653421" w:rsidRDefault="005272FA" w:rsidP="007E466C">
            <w:pPr>
              <w:numPr>
                <w:ilvl w:val="0"/>
                <w:numId w:val="50"/>
              </w:numPr>
              <w:spacing w:before="80"/>
              <w:jc w:val="both"/>
            </w:pPr>
            <w:r w:rsidRPr="00653421">
              <w:rPr>
                <w:rFonts w:cs="Tahoma"/>
                <w:color w:val="000000"/>
              </w:rPr>
              <w:t>Visio Pro para Office 365*</w:t>
            </w:r>
          </w:p>
          <w:p w:rsidR="00F27B29" w:rsidRPr="00653421" w:rsidRDefault="00F27B29" w:rsidP="007E466C">
            <w:pPr>
              <w:numPr>
                <w:ilvl w:val="0"/>
                <w:numId w:val="50"/>
              </w:numPr>
              <w:spacing w:before="80" w:after="120"/>
              <w:jc w:val="both"/>
              <w:rPr>
                <w:rFonts w:cs="Tahoma"/>
              </w:rPr>
            </w:pPr>
            <w:r w:rsidRPr="00653421">
              <w:rPr>
                <w:rFonts w:cs="Tahoma"/>
                <w:color w:val="000000"/>
              </w:rPr>
              <w:lastRenderedPageBreak/>
              <w:t>Yammer Enterprise</w:t>
            </w:r>
          </w:p>
        </w:tc>
      </w:tr>
    </w:tbl>
    <w:p w:rsidR="00A12176" w:rsidRPr="00653421" w:rsidRDefault="00456002" w:rsidP="001E7C5F">
      <w:pPr>
        <w:tabs>
          <w:tab w:val="left" w:pos="360"/>
        </w:tabs>
        <w:ind w:left="720"/>
      </w:pPr>
      <w:r w:rsidRPr="00653421">
        <w:rPr>
          <w:rFonts w:cs="Tahoma"/>
          <w:i/>
          <w:sz w:val="16"/>
          <w:szCs w:val="20"/>
        </w:rPr>
        <w:lastRenderedPageBreak/>
        <w:t>* Produto Adicional</w:t>
      </w:r>
      <w:bookmarkStart w:id="687" w:name="_Toc336338196"/>
    </w:p>
    <w:p w:rsidR="00A12176" w:rsidRPr="00653421" w:rsidRDefault="00A12176" w:rsidP="00366502">
      <w:pPr>
        <w:pStyle w:val="Heading2"/>
        <w:ind w:left="0"/>
      </w:pPr>
    </w:p>
    <w:p w:rsidR="00456002" w:rsidRPr="00734B50" w:rsidRDefault="00456002" w:rsidP="00366502">
      <w:pPr>
        <w:pStyle w:val="Heading2"/>
        <w:ind w:left="0"/>
        <w:rPr>
          <w:lang w:val="pt-BR"/>
        </w:rPr>
      </w:pPr>
      <w:bookmarkStart w:id="688" w:name="_Toc353470844"/>
      <w:r w:rsidRPr="00734B50">
        <w:rPr>
          <w:rFonts w:ascii="Tahoma" w:hAnsi="Tahoma" w:cs="Tahoma"/>
          <w:lang w:val="pt-BR"/>
        </w:rPr>
        <w:t>Continuidade do Serviço por meio de Prazo Estendido</w:t>
      </w:r>
      <w:bookmarkEnd w:id="687"/>
      <w:bookmarkEnd w:id="688"/>
      <w:r w:rsidRPr="00734B50">
        <w:rPr>
          <w:rFonts w:ascii="Tahoma" w:eastAsia="Times New Roman" w:hAnsi="Tahoma" w:cs="Tahoma"/>
          <w:sz w:val="20"/>
          <w:lang w:val="pt-BR"/>
        </w:rPr>
        <w:t xml:space="preserve"> </w:t>
      </w:r>
    </w:p>
    <w:p w:rsidR="00456002" w:rsidRPr="00734B50" w:rsidRDefault="00456002" w:rsidP="00366502">
      <w:pPr>
        <w:tabs>
          <w:tab w:val="left" w:pos="360"/>
        </w:tabs>
        <w:rPr>
          <w:lang w:val="pt-BR"/>
        </w:rPr>
      </w:pPr>
    </w:p>
    <w:p w:rsidR="00456002" w:rsidRPr="00734B50" w:rsidRDefault="00456002" w:rsidP="00366502">
      <w:pPr>
        <w:tabs>
          <w:tab w:val="left" w:pos="360"/>
        </w:tabs>
        <w:rPr>
          <w:lang w:val="pt-BR"/>
        </w:rPr>
      </w:pPr>
      <w:r w:rsidRPr="00734B50">
        <w:rPr>
          <w:rFonts w:cs="Tahoma"/>
          <w:b/>
          <w:szCs w:val="20"/>
          <w:lang w:val="pt-BR"/>
        </w:rPr>
        <w:t>Observação:</w:t>
      </w:r>
      <w:r w:rsidRPr="00734B50">
        <w:rPr>
          <w:rFonts w:cs="Tahoma"/>
          <w:szCs w:val="20"/>
          <w:lang w:val="pt-BR"/>
        </w:rPr>
        <w:t xml:space="preserve"> O seguinte se aplica aos clientes do Registro Enterprise e Enterprise Subscription qualificados para continuidade do serviço por meio de Prazo Estendido.</w:t>
      </w:r>
      <w:r w:rsidR="00DD7735" w:rsidRPr="00734B50">
        <w:rPr>
          <w:rFonts w:cs="Tahoma"/>
          <w:szCs w:val="20"/>
          <w:lang w:val="pt-BR"/>
        </w:rPr>
        <w:t xml:space="preserve"> </w:t>
      </w:r>
      <w:r w:rsidRPr="00734B50">
        <w:rPr>
          <w:rFonts w:cs="Tahoma"/>
          <w:szCs w:val="20"/>
          <w:lang w:val="pt-BR"/>
        </w:rPr>
        <w:t>Os clientes que tiverem dúvidas sobre sua qualificação para continuidade do serviço por meio do Prazo Estendido devem entrar em contato com o Consultor de Software, Revendedor ou Gerente de Conta Microsoft para obter mais informações.</w:t>
      </w:r>
      <w:r w:rsidR="00DD7735" w:rsidRPr="00734B50">
        <w:rPr>
          <w:rFonts w:cs="Tahoma"/>
          <w:szCs w:val="20"/>
          <w:lang w:val="pt-BR"/>
        </w:rPr>
        <w:t xml:space="preserve"> </w:t>
      </w:r>
    </w:p>
    <w:p w:rsidR="00456002" w:rsidRPr="00734B50" w:rsidRDefault="00456002" w:rsidP="00366502">
      <w:pPr>
        <w:tabs>
          <w:tab w:val="left" w:pos="360"/>
        </w:tabs>
        <w:rPr>
          <w:lang w:val="pt-BR"/>
        </w:rPr>
      </w:pPr>
    </w:p>
    <w:p w:rsidR="00456002" w:rsidRPr="00734B50" w:rsidRDefault="00456002" w:rsidP="00366502">
      <w:pPr>
        <w:tabs>
          <w:tab w:val="left" w:pos="360"/>
        </w:tabs>
        <w:rPr>
          <w:lang w:val="pt-BR"/>
        </w:rPr>
      </w:pPr>
      <w:r w:rsidRPr="00734B50">
        <w:rPr>
          <w:rFonts w:cs="Tahoma"/>
          <w:szCs w:val="20"/>
          <w:lang w:val="pt-BR"/>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(“coextensiva”) para obter a qualificação para a Continuidade do</w:t>
      </w:r>
      <w:r w:rsidR="00391231" w:rsidRPr="00734B50">
        <w:rPr>
          <w:rFonts w:cs="Tahoma"/>
          <w:szCs w:val="20"/>
          <w:lang w:val="pt-BR"/>
        </w:rPr>
        <w:t> </w:t>
      </w:r>
      <w:r w:rsidRPr="00734B50">
        <w:rPr>
          <w:rFonts w:cs="Tahoma"/>
          <w:szCs w:val="20"/>
          <w:lang w:val="pt-BR"/>
        </w:rPr>
        <w:t>Serviço por meio do Prazo Estendido:</w:t>
      </w:r>
    </w:p>
    <w:p w:rsidR="00456002" w:rsidRPr="00734B50" w:rsidRDefault="00456002" w:rsidP="0014632E">
      <w:pPr>
        <w:ind w:left="720"/>
        <w:rPr>
          <w:lang w:val="pt-BR"/>
        </w:rPr>
      </w:pPr>
    </w:p>
    <w:tbl>
      <w:tblPr>
        <w:tblW w:w="451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4283"/>
      </w:tblGrid>
      <w:tr w:rsidR="00456002" w:rsidRPr="00653421" w:rsidTr="00391231">
        <w:trPr>
          <w:trHeight w:val="80"/>
          <w:tblHeader/>
        </w:trPr>
        <w:tc>
          <w:tcPr>
            <w:tcW w:w="5000" w:type="pct"/>
            <w:gridSpan w:val="2"/>
            <w:shd w:val="clear" w:color="auto" w:fill="FABF8F"/>
          </w:tcPr>
          <w:p w:rsidR="00456002" w:rsidRPr="00653421" w:rsidRDefault="00456002" w:rsidP="005C647E">
            <w:pPr>
              <w:jc w:val="center"/>
              <w:rPr>
                <w:rFonts w:cs="Tahoma"/>
                <w:b/>
                <w:sz w:val="20"/>
              </w:rPr>
            </w:pPr>
            <w:r w:rsidRPr="00653421">
              <w:rPr>
                <w:rFonts w:cs="Tahoma"/>
                <w:b/>
                <w:sz w:val="20"/>
              </w:rPr>
              <w:t>Serviços Online</w:t>
            </w:r>
          </w:p>
        </w:tc>
      </w:tr>
      <w:tr w:rsidR="00456002" w:rsidRPr="00653421" w:rsidTr="00391231">
        <w:trPr>
          <w:trHeight w:val="219"/>
        </w:trPr>
        <w:tc>
          <w:tcPr>
            <w:tcW w:w="2465" w:type="pct"/>
          </w:tcPr>
          <w:p w:rsidR="00456002" w:rsidRPr="00653421" w:rsidRDefault="00456002" w:rsidP="007E466C">
            <w:pPr>
              <w:keepNext/>
              <w:numPr>
                <w:ilvl w:val="0"/>
                <w:numId w:val="50"/>
              </w:numPr>
              <w:spacing w:before="80"/>
              <w:ind w:left="905" w:hanging="540"/>
              <w:jc w:val="both"/>
            </w:pPr>
            <w:r w:rsidRPr="00653421">
              <w:rPr>
                <w:rFonts w:cs="Tahoma"/>
              </w:rPr>
              <w:t>Quiosque do Exchange Online*</w:t>
            </w:r>
          </w:p>
          <w:p w:rsidR="00456002" w:rsidRPr="00653421" w:rsidRDefault="00456002" w:rsidP="007E466C">
            <w:pPr>
              <w:keepNext/>
              <w:numPr>
                <w:ilvl w:val="0"/>
                <w:numId w:val="50"/>
              </w:numPr>
              <w:spacing w:before="80"/>
              <w:ind w:left="905" w:hanging="540"/>
              <w:jc w:val="both"/>
            </w:pPr>
            <w:r w:rsidRPr="00653421">
              <w:rPr>
                <w:rFonts w:cs="Tahoma"/>
              </w:rPr>
              <w:t>Exchange Online Plano 1*</w:t>
            </w:r>
          </w:p>
          <w:p w:rsidR="00456002" w:rsidRPr="00653421" w:rsidRDefault="00456002" w:rsidP="007E466C">
            <w:pPr>
              <w:keepNext/>
              <w:numPr>
                <w:ilvl w:val="0"/>
                <w:numId w:val="50"/>
              </w:numPr>
              <w:spacing w:before="80"/>
              <w:ind w:left="905" w:hanging="540"/>
              <w:jc w:val="both"/>
            </w:pPr>
            <w:r w:rsidRPr="00653421">
              <w:rPr>
                <w:rFonts w:cs="Tahoma"/>
              </w:rPr>
              <w:t>Exchange Online Plano 2*</w:t>
            </w:r>
          </w:p>
          <w:p w:rsidR="00456002" w:rsidRPr="00653421" w:rsidRDefault="00456002" w:rsidP="007E466C">
            <w:pPr>
              <w:keepNext/>
              <w:numPr>
                <w:ilvl w:val="0"/>
                <w:numId w:val="50"/>
              </w:numPr>
              <w:spacing w:before="80"/>
              <w:ind w:left="905" w:hanging="540"/>
              <w:jc w:val="both"/>
            </w:pPr>
            <w:r w:rsidRPr="00653421">
              <w:rPr>
                <w:rFonts w:cs="Tahoma"/>
              </w:rPr>
              <w:t>Lync Online Plano 1*</w:t>
            </w:r>
          </w:p>
          <w:p w:rsidR="00456002" w:rsidRPr="00653421" w:rsidRDefault="00456002" w:rsidP="007E466C">
            <w:pPr>
              <w:keepNext/>
              <w:numPr>
                <w:ilvl w:val="0"/>
                <w:numId w:val="50"/>
              </w:numPr>
              <w:spacing w:before="80"/>
              <w:ind w:left="905" w:hanging="540"/>
              <w:jc w:val="both"/>
            </w:pPr>
            <w:r w:rsidRPr="00653421">
              <w:rPr>
                <w:rFonts w:cs="Tahoma"/>
              </w:rPr>
              <w:t>Lync Online Plano 2*</w:t>
            </w:r>
          </w:p>
          <w:p w:rsidR="00E77288" w:rsidRPr="00653421" w:rsidRDefault="00E77288" w:rsidP="007E466C">
            <w:pPr>
              <w:keepNext/>
              <w:numPr>
                <w:ilvl w:val="0"/>
                <w:numId w:val="50"/>
              </w:numPr>
              <w:spacing w:before="80"/>
              <w:ind w:left="905" w:hanging="540"/>
              <w:jc w:val="both"/>
            </w:pPr>
            <w:r w:rsidRPr="00653421">
              <w:rPr>
                <w:rFonts w:cs="Tahoma"/>
              </w:rPr>
              <w:t>Lync Online Plano 3*</w:t>
            </w:r>
          </w:p>
          <w:p w:rsidR="00456002" w:rsidRPr="00653421" w:rsidRDefault="00456002" w:rsidP="007E466C">
            <w:pPr>
              <w:keepNext/>
              <w:numPr>
                <w:ilvl w:val="0"/>
                <w:numId w:val="50"/>
              </w:numPr>
              <w:spacing w:before="80"/>
              <w:ind w:left="905" w:hanging="540"/>
              <w:jc w:val="both"/>
            </w:pPr>
            <w:r w:rsidRPr="00653421">
              <w:rPr>
                <w:rFonts w:cs="Tahoma"/>
              </w:rPr>
              <w:t>Office 365 (Enterprise K1)*</w:t>
            </w:r>
          </w:p>
          <w:p w:rsidR="00456002" w:rsidRPr="00653421" w:rsidRDefault="00456002" w:rsidP="007E466C">
            <w:pPr>
              <w:keepNext/>
              <w:numPr>
                <w:ilvl w:val="0"/>
                <w:numId w:val="50"/>
              </w:numPr>
              <w:spacing w:before="80"/>
              <w:ind w:left="905" w:hanging="540"/>
              <w:jc w:val="both"/>
            </w:pPr>
            <w:r w:rsidRPr="00653421">
              <w:rPr>
                <w:rFonts w:cs="Tahoma"/>
              </w:rPr>
              <w:t>Office 365 (Enterprise K2)*</w:t>
            </w:r>
          </w:p>
          <w:p w:rsidR="00456002" w:rsidRPr="00653421" w:rsidRDefault="00456002" w:rsidP="007E466C">
            <w:pPr>
              <w:keepNext/>
              <w:numPr>
                <w:ilvl w:val="0"/>
                <w:numId w:val="50"/>
              </w:numPr>
              <w:spacing w:before="80"/>
              <w:ind w:left="905" w:hanging="540"/>
              <w:jc w:val="both"/>
            </w:pPr>
            <w:r w:rsidRPr="00653421">
              <w:rPr>
                <w:rFonts w:cs="Tahoma"/>
              </w:rPr>
              <w:t>Office 365 (Enterprise E1)</w:t>
            </w:r>
          </w:p>
          <w:p w:rsidR="00456002" w:rsidRPr="00653421" w:rsidRDefault="00456002" w:rsidP="007E466C">
            <w:pPr>
              <w:keepNext/>
              <w:numPr>
                <w:ilvl w:val="0"/>
                <w:numId w:val="50"/>
              </w:numPr>
              <w:spacing w:before="80"/>
              <w:ind w:left="905" w:hanging="540"/>
              <w:jc w:val="both"/>
            </w:pPr>
            <w:r w:rsidRPr="00653421">
              <w:rPr>
                <w:rFonts w:cs="Tahoma"/>
              </w:rPr>
              <w:t>Office 365 (Enterprise E2)</w:t>
            </w:r>
          </w:p>
          <w:p w:rsidR="00456002" w:rsidRPr="00653421" w:rsidRDefault="00456002" w:rsidP="007E466C">
            <w:pPr>
              <w:keepNext/>
              <w:numPr>
                <w:ilvl w:val="0"/>
                <w:numId w:val="50"/>
              </w:numPr>
              <w:spacing w:before="80"/>
              <w:ind w:left="895" w:hanging="530"/>
              <w:jc w:val="both"/>
            </w:pPr>
            <w:r w:rsidRPr="00653421">
              <w:rPr>
                <w:rFonts w:cs="Tahoma"/>
              </w:rPr>
              <w:t>Office 365 (Enterprise E3)</w:t>
            </w:r>
          </w:p>
          <w:p w:rsidR="00456002" w:rsidRPr="00653421" w:rsidRDefault="00456002" w:rsidP="007E466C">
            <w:pPr>
              <w:keepNext/>
              <w:numPr>
                <w:ilvl w:val="0"/>
                <w:numId w:val="50"/>
              </w:numPr>
              <w:spacing w:before="80"/>
              <w:ind w:left="895" w:hanging="530"/>
              <w:jc w:val="both"/>
              <w:rPr>
                <w:rFonts w:cs="Tahoma"/>
              </w:rPr>
            </w:pPr>
            <w:r w:rsidRPr="00653421">
              <w:rPr>
                <w:rFonts w:cs="Tahoma"/>
              </w:rPr>
              <w:t>Office 365 (Enterprise E4)</w:t>
            </w:r>
          </w:p>
        </w:tc>
        <w:tc>
          <w:tcPr>
            <w:tcW w:w="2535" w:type="pct"/>
          </w:tcPr>
          <w:p w:rsidR="00C177EF" w:rsidRPr="00653421" w:rsidRDefault="00C177EF" w:rsidP="007E466C">
            <w:pPr>
              <w:keepNext/>
              <w:numPr>
                <w:ilvl w:val="0"/>
                <w:numId w:val="50"/>
              </w:numPr>
              <w:spacing w:before="80"/>
              <w:ind w:left="725"/>
              <w:jc w:val="both"/>
            </w:pPr>
            <w:r w:rsidRPr="00653421">
              <w:rPr>
                <w:rFonts w:cs="Tahoma"/>
              </w:rPr>
              <w:t>Microsoft Dynamics CRM Online*</w:t>
            </w:r>
          </w:p>
          <w:p w:rsidR="009E224B" w:rsidRPr="00653421" w:rsidRDefault="009E224B" w:rsidP="007E466C">
            <w:pPr>
              <w:keepNext/>
              <w:numPr>
                <w:ilvl w:val="0"/>
                <w:numId w:val="50"/>
              </w:numPr>
              <w:spacing w:before="80"/>
              <w:ind w:left="725"/>
              <w:jc w:val="both"/>
            </w:pPr>
            <w:r w:rsidRPr="00653421">
              <w:rPr>
                <w:rFonts w:cs="Tahoma"/>
              </w:rPr>
              <w:t>Office 365 (Government G1)</w:t>
            </w:r>
          </w:p>
          <w:p w:rsidR="009E224B" w:rsidRPr="00653421" w:rsidRDefault="009E224B" w:rsidP="007E466C">
            <w:pPr>
              <w:keepNext/>
              <w:numPr>
                <w:ilvl w:val="0"/>
                <w:numId w:val="50"/>
              </w:numPr>
              <w:spacing w:before="80"/>
              <w:ind w:left="725"/>
              <w:jc w:val="both"/>
            </w:pPr>
            <w:r w:rsidRPr="00653421">
              <w:rPr>
                <w:rFonts w:cs="Tahoma"/>
              </w:rPr>
              <w:t>Office 365 (Government G2)</w:t>
            </w:r>
          </w:p>
          <w:p w:rsidR="009E224B" w:rsidRPr="00653421" w:rsidRDefault="009E224B" w:rsidP="007E466C">
            <w:pPr>
              <w:keepNext/>
              <w:numPr>
                <w:ilvl w:val="0"/>
                <w:numId w:val="50"/>
              </w:numPr>
              <w:spacing w:before="80"/>
              <w:ind w:left="725"/>
              <w:jc w:val="both"/>
            </w:pPr>
            <w:r w:rsidRPr="00653421">
              <w:rPr>
                <w:rFonts w:cs="Tahoma"/>
              </w:rPr>
              <w:t>Office 365 (Government G3)</w:t>
            </w:r>
          </w:p>
          <w:p w:rsidR="009E224B" w:rsidRPr="00653421" w:rsidRDefault="009E224B" w:rsidP="007E466C">
            <w:pPr>
              <w:keepNext/>
              <w:numPr>
                <w:ilvl w:val="0"/>
                <w:numId w:val="50"/>
              </w:numPr>
              <w:spacing w:before="80"/>
              <w:ind w:left="725"/>
              <w:jc w:val="both"/>
            </w:pPr>
            <w:r w:rsidRPr="00653421">
              <w:rPr>
                <w:rFonts w:cs="Tahoma"/>
              </w:rPr>
              <w:t>Office 365 (Government G4)</w:t>
            </w:r>
          </w:p>
          <w:p w:rsidR="00456002" w:rsidRPr="00653421" w:rsidRDefault="00456002" w:rsidP="007E466C">
            <w:pPr>
              <w:keepNext/>
              <w:numPr>
                <w:ilvl w:val="0"/>
                <w:numId w:val="50"/>
              </w:numPr>
              <w:spacing w:before="80"/>
              <w:ind w:left="725"/>
              <w:jc w:val="both"/>
            </w:pPr>
            <w:r w:rsidRPr="00653421">
              <w:rPr>
                <w:rFonts w:cs="Tahoma"/>
              </w:rPr>
              <w:t>Office Web Applications*</w:t>
            </w:r>
          </w:p>
          <w:p w:rsidR="00C177EF" w:rsidRPr="00653421" w:rsidRDefault="00C177EF" w:rsidP="007E466C">
            <w:pPr>
              <w:keepNext/>
              <w:numPr>
                <w:ilvl w:val="0"/>
                <w:numId w:val="50"/>
              </w:numPr>
              <w:spacing w:before="80"/>
              <w:ind w:left="725"/>
              <w:jc w:val="both"/>
            </w:pPr>
            <w:r w:rsidRPr="00653421">
              <w:rPr>
                <w:rFonts w:cs="Tahoma"/>
              </w:rPr>
              <w:t>Project Online*</w:t>
            </w:r>
          </w:p>
          <w:p w:rsidR="00C177EF" w:rsidRPr="00653421" w:rsidRDefault="00C177EF" w:rsidP="007E466C">
            <w:pPr>
              <w:keepNext/>
              <w:numPr>
                <w:ilvl w:val="0"/>
                <w:numId w:val="50"/>
              </w:numPr>
              <w:spacing w:before="80"/>
              <w:ind w:left="725"/>
              <w:jc w:val="both"/>
            </w:pPr>
            <w:r w:rsidRPr="00653421">
              <w:rPr>
                <w:rFonts w:cs="Tahoma"/>
              </w:rPr>
              <w:t>Project Pro para Office 365*</w:t>
            </w:r>
          </w:p>
          <w:p w:rsidR="00456002" w:rsidRPr="00653421" w:rsidRDefault="00456002" w:rsidP="007E466C">
            <w:pPr>
              <w:keepNext/>
              <w:numPr>
                <w:ilvl w:val="0"/>
                <w:numId w:val="50"/>
              </w:numPr>
              <w:spacing w:before="80"/>
              <w:ind w:left="725"/>
              <w:jc w:val="both"/>
            </w:pPr>
            <w:r w:rsidRPr="00653421">
              <w:rPr>
                <w:rFonts w:cs="Tahoma"/>
              </w:rPr>
              <w:t>SharePoint Online Plano 1*</w:t>
            </w:r>
          </w:p>
          <w:p w:rsidR="00456002" w:rsidRPr="00653421" w:rsidRDefault="00456002" w:rsidP="007E466C">
            <w:pPr>
              <w:keepNext/>
              <w:numPr>
                <w:ilvl w:val="0"/>
                <w:numId w:val="50"/>
              </w:numPr>
              <w:spacing w:before="80"/>
              <w:ind w:left="725"/>
              <w:jc w:val="both"/>
            </w:pPr>
            <w:r w:rsidRPr="00653421">
              <w:rPr>
                <w:rFonts w:cs="Tahoma"/>
              </w:rPr>
              <w:t>SharePoint Online Plano 2*</w:t>
            </w:r>
          </w:p>
          <w:p w:rsidR="00456002" w:rsidRPr="00734B50" w:rsidRDefault="00456002" w:rsidP="007E466C">
            <w:pPr>
              <w:keepNext/>
              <w:numPr>
                <w:ilvl w:val="0"/>
                <w:numId w:val="50"/>
              </w:numPr>
              <w:spacing w:before="80"/>
              <w:ind w:left="725"/>
              <w:jc w:val="both"/>
              <w:rPr>
                <w:lang w:val="pt-BR"/>
              </w:rPr>
            </w:pPr>
            <w:r w:rsidRPr="00734B50">
              <w:rPr>
                <w:rFonts w:cs="Tahoma"/>
                <w:lang w:val="pt-BR"/>
              </w:rPr>
              <w:t>Acesso para Parceiros do SharePoint Online*</w:t>
            </w:r>
          </w:p>
          <w:p w:rsidR="00C177EF" w:rsidRPr="00653421" w:rsidRDefault="00C177EF" w:rsidP="007E466C">
            <w:pPr>
              <w:keepNext/>
              <w:numPr>
                <w:ilvl w:val="0"/>
                <w:numId w:val="50"/>
              </w:numPr>
              <w:spacing w:before="80"/>
              <w:ind w:left="725"/>
              <w:jc w:val="both"/>
            </w:pPr>
            <w:r w:rsidRPr="00653421">
              <w:rPr>
                <w:rFonts w:cs="Tahoma"/>
              </w:rPr>
              <w:t>Visio Pro para Office 365*</w:t>
            </w:r>
          </w:p>
          <w:p w:rsidR="00776E3B" w:rsidRPr="00653421" w:rsidRDefault="00776E3B" w:rsidP="007E466C">
            <w:pPr>
              <w:keepNext/>
              <w:numPr>
                <w:ilvl w:val="0"/>
                <w:numId w:val="50"/>
              </w:numPr>
              <w:spacing w:before="80"/>
              <w:ind w:left="725"/>
              <w:jc w:val="both"/>
            </w:pPr>
            <w:r w:rsidRPr="00653421">
              <w:rPr>
                <w:rFonts w:cs="Tahoma"/>
              </w:rPr>
              <w:t>Serviços do Windows Azure*</w:t>
            </w:r>
          </w:p>
          <w:p w:rsidR="00456002" w:rsidRPr="00653421" w:rsidRDefault="00456002" w:rsidP="007E466C">
            <w:pPr>
              <w:keepNext/>
              <w:numPr>
                <w:ilvl w:val="0"/>
                <w:numId w:val="50"/>
              </w:numPr>
              <w:spacing w:before="80"/>
              <w:ind w:left="720"/>
              <w:jc w:val="both"/>
            </w:pPr>
            <w:r w:rsidRPr="00653421">
              <w:rPr>
                <w:rFonts w:cs="Tahoma"/>
              </w:rPr>
              <w:t>Windows Intune</w:t>
            </w:r>
          </w:p>
          <w:p w:rsidR="00456002" w:rsidRPr="00653421" w:rsidRDefault="00456002" w:rsidP="007E466C">
            <w:pPr>
              <w:keepNext/>
              <w:numPr>
                <w:ilvl w:val="0"/>
                <w:numId w:val="50"/>
              </w:numPr>
              <w:spacing w:before="80"/>
              <w:ind w:left="725"/>
              <w:jc w:val="both"/>
            </w:pPr>
            <w:r w:rsidRPr="00653421">
              <w:rPr>
                <w:rFonts w:cs="Tahoma"/>
              </w:rPr>
              <w:t>Windows Intune Complementar*</w:t>
            </w:r>
          </w:p>
          <w:p w:rsidR="00F27B29" w:rsidRPr="00653421" w:rsidRDefault="00F27B29" w:rsidP="007E466C">
            <w:pPr>
              <w:keepNext/>
              <w:numPr>
                <w:ilvl w:val="0"/>
                <w:numId w:val="50"/>
              </w:numPr>
              <w:spacing w:before="80" w:after="120"/>
              <w:ind w:left="720"/>
              <w:jc w:val="both"/>
              <w:rPr>
                <w:rFonts w:cs="Tahoma"/>
              </w:rPr>
            </w:pPr>
            <w:r w:rsidRPr="00653421">
              <w:rPr>
                <w:rFonts w:cs="Tahoma"/>
              </w:rPr>
              <w:t>Yammer Enterprise*</w:t>
            </w:r>
          </w:p>
        </w:tc>
      </w:tr>
    </w:tbl>
    <w:p w:rsidR="00776E3B" w:rsidRPr="00653421" w:rsidRDefault="00776E3B" w:rsidP="00776E3B">
      <w:pPr>
        <w:tabs>
          <w:tab w:val="left" w:pos="360"/>
        </w:tabs>
        <w:ind w:left="720"/>
      </w:pPr>
      <w:r w:rsidRPr="00653421">
        <w:rPr>
          <w:rFonts w:cs="Tahoma"/>
          <w:i/>
          <w:sz w:val="16"/>
          <w:szCs w:val="20"/>
        </w:rPr>
        <w:t>* Produto Adicional</w:t>
      </w:r>
    </w:p>
    <w:p w:rsidR="00023FE7" w:rsidRPr="00653421" w:rsidRDefault="00023FE7" w:rsidP="00BA1576">
      <w:pPr>
        <w:pStyle w:val="Heading1"/>
        <w:rPr>
          <w:sz w:val="36"/>
          <w:szCs w:val="36"/>
          <w:lang w:val="x-none" w:eastAsia="x-none"/>
        </w:rPr>
      </w:pPr>
      <w:r w:rsidRPr="00734B50">
        <w:rPr>
          <w:lang w:val="pt-BR"/>
        </w:rPr>
        <w:br w:type="page"/>
      </w:r>
      <w:bookmarkStart w:id="689" w:name="_Toc336338197"/>
      <w:bookmarkStart w:id="690" w:name="_Toc353470845"/>
      <w:r w:rsidRPr="00653421">
        <w:rPr>
          <w:sz w:val="36"/>
          <w:szCs w:val="36"/>
          <w:lang w:val="x-none" w:eastAsia="x-none"/>
        </w:rPr>
        <w:lastRenderedPageBreak/>
        <w:t>seção 4 – tipos de licença e valores</w:t>
      </w:r>
      <w:bookmarkEnd w:id="689"/>
      <w:bookmarkEnd w:id="690"/>
      <w:r w:rsidRPr="00653421">
        <w:rPr>
          <w:sz w:val="36"/>
          <w:szCs w:val="36"/>
          <w:lang w:val="x-none" w:eastAsia="x-none"/>
        </w:rPr>
        <w:t xml:space="preserve"> </w:t>
      </w:r>
    </w:p>
    <w:p w:rsidR="00023FE7" w:rsidRPr="00734B50" w:rsidRDefault="00023FE7">
      <w:pPr>
        <w:pStyle w:val="Heading2"/>
        <w:ind w:left="0" w:right="720"/>
        <w:rPr>
          <w:lang w:val="pt-BR"/>
        </w:rPr>
      </w:pPr>
    </w:p>
    <w:p w:rsidR="00456002" w:rsidRPr="00734B50" w:rsidRDefault="00456002" w:rsidP="00456002">
      <w:pPr>
        <w:pStyle w:val="Heading2"/>
        <w:tabs>
          <w:tab w:val="left" w:pos="90"/>
        </w:tabs>
        <w:ind w:left="0" w:right="720"/>
        <w:rPr>
          <w:lang w:val="pt-BR"/>
        </w:rPr>
      </w:pPr>
      <w:bookmarkStart w:id="691" w:name="_Toc336338198"/>
      <w:bookmarkStart w:id="692" w:name="_Toc353470846"/>
      <w:r w:rsidRPr="00734B50">
        <w:rPr>
          <w:rFonts w:ascii="Tahoma" w:hAnsi="Tahoma" w:cs="Tahoma"/>
          <w:lang w:val="pt-BR"/>
        </w:rPr>
        <w:t>Valores</w:t>
      </w:r>
      <w:bookmarkEnd w:id="691"/>
      <w:bookmarkEnd w:id="692"/>
      <w:r w:rsidRPr="00734B50">
        <w:rPr>
          <w:rFonts w:ascii="Tahoma" w:hAnsi="Tahoma" w:cs="Tahoma"/>
          <w:lang w:val="pt-BR"/>
        </w:rPr>
        <w:t xml:space="preserve"> </w:t>
      </w:r>
    </w:p>
    <w:p w:rsidR="00456002" w:rsidRPr="00734B50" w:rsidRDefault="00456002" w:rsidP="00ED589D">
      <w:pPr>
        <w:ind w:right="720"/>
        <w:rPr>
          <w:lang w:val="pt-BR"/>
        </w:rPr>
      </w:pPr>
    </w:p>
    <w:p w:rsidR="00456002" w:rsidRPr="00734B50" w:rsidRDefault="00456002" w:rsidP="0014632E">
      <w:pPr>
        <w:pStyle w:val="AppendixBodyText"/>
        <w:spacing w:after="0"/>
        <w:ind w:right="720"/>
        <w:rPr>
          <w:lang w:val="pt-BR"/>
        </w:rPr>
      </w:pPr>
      <w:r w:rsidRPr="00734B50">
        <w:rPr>
          <w:rFonts w:ascii="Tahoma" w:hAnsi="Tahoma" w:cs="Tahoma"/>
          <w:sz w:val="18"/>
          <w:lang w:val="pt-BR"/>
        </w:rPr>
        <w:t>Este tipo de produto está disponível para alguns Serviços Online e produtos de software.</w:t>
      </w:r>
      <w:r w:rsidR="00DD7735" w:rsidRPr="00734B50">
        <w:rPr>
          <w:rFonts w:ascii="Tahoma" w:hAnsi="Tahoma" w:cs="Tahoma"/>
          <w:sz w:val="18"/>
          <w:lang w:val="pt-BR"/>
        </w:rPr>
        <w:t xml:space="preserve"> </w:t>
      </w:r>
      <w:r w:rsidRPr="00734B50">
        <w:rPr>
          <w:rFonts w:ascii="Tahoma" w:hAnsi="Tahoma" w:cs="Tahoma"/>
          <w:sz w:val="18"/>
          <w:lang w:val="pt-BR"/>
        </w:rPr>
        <w:t>Ele não é específico dessa versão.</w:t>
      </w:r>
      <w:r w:rsidR="00DD7735" w:rsidRPr="00734B50">
        <w:rPr>
          <w:rFonts w:ascii="Tahoma" w:hAnsi="Tahoma" w:cs="Tahoma"/>
          <w:sz w:val="18"/>
          <w:lang w:val="pt-BR"/>
        </w:rPr>
        <w:t xml:space="preserve"> </w:t>
      </w:r>
      <w:r w:rsidRPr="00734B50">
        <w:rPr>
          <w:rFonts w:ascii="Tahoma" w:hAnsi="Tahoma" w:cs="Tahoma"/>
          <w:sz w:val="18"/>
          <w:lang w:val="pt-BR"/>
        </w:rPr>
        <w:t>Pode estar associado a custos de instalação ou outras ofertas, como pacotes de ativação.</w:t>
      </w:r>
      <w:r w:rsidR="00DD7735" w:rsidRPr="00734B50">
        <w:rPr>
          <w:rFonts w:ascii="Tahoma" w:hAnsi="Tahoma" w:cs="Tahoma"/>
          <w:sz w:val="18"/>
          <w:lang w:val="pt-BR"/>
        </w:rPr>
        <w:t xml:space="preserve"> </w:t>
      </w:r>
      <w:r w:rsidRPr="00734B50">
        <w:rPr>
          <w:rFonts w:ascii="Tahoma" w:hAnsi="Tahoma" w:cs="Tahoma"/>
          <w:sz w:val="18"/>
          <w:lang w:val="pt-BR"/>
        </w:rPr>
        <w:t>Em geral, ele não confere direitos para usar um produto ou serviço online,</w:t>
      </w:r>
      <w:r w:rsidR="00DD7735" w:rsidRPr="00734B50">
        <w:rPr>
          <w:rFonts w:ascii="Tahoma" w:hAnsi="Tahoma" w:cs="Tahoma"/>
          <w:sz w:val="18"/>
          <w:lang w:val="pt-BR"/>
        </w:rPr>
        <w:t xml:space="preserve"> </w:t>
      </w:r>
      <w:r w:rsidRPr="00734B50">
        <w:rPr>
          <w:rFonts w:ascii="Tahoma" w:hAnsi="Tahoma" w:cs="Tahoma"/>
          <w:sz w:val="18"/>
          <w:lang w:val="pt-BR"/>
        </w:rPr>
        <w:t>como também não proporciona nenhum benefício nem cumpre nenhuma finalidade fora do serviço ou software ao qual corresponde.</w:t>
      </w:r>
      <w:r w:rsidR="00DD7735" w:rsidRPr="00734B50">
        <w:rPr>
          <w:rFonts w:ascii="Tahoma" w:hAnsi="Tahoma" w:cs="Tahoma"/>
          <w:sz w:val="18"/>
          <w:lang w:val="pt-BR"/>
        </w:rPr>
        <w:t xml:space="preserve"> </w:t>
      </w:r>
      <w:r w:rsidRPr="00734B50">
        <w:rPr>
          <w:rFonts w:ascii="Tahoma" w:hAnsi="Tahoma" w:cs="Tahoma"/>
          <w:sz w:val="18"/>
          <w:lang w:val="pt-BR"/>
        </w:rPr>
        <w:t>Estão disponíveis nos seguintes programas: Open, Open Value, Open Value Subscription, Select e Select Plus.</w:t>
      </w:r>
    </w:p>
    <w:p w:rsidR="00255158" w:rsidRPr="00734B50" w:rsidRDefault="00255158" w:rsidP="0014632E">
      <w:pPr>
        <w:ind w:right="720"/>
        <w:rPr>
          <w:lang w:val="pt-BR"/>
        </w:rPr>
      </w:pPr>
    </w:p>
    <w:p w:rsidR="00456002" w:rsidRPr="00734B50" w:rsidRDefault="00456002" w:rsidP="00456002">
      <w:pPr>
        <w:pStyle w:val="Heading2"/>
        <w:tabs>
          <w:tab w:val="left" w:pos="90"/>
        </w:tabs>
        <w:ind w:left="0" w:right="720"/>
        <w:rPr>
          <w:lang w:val="pt-BR"/>
        </w:rPr>
      </w:pPr>
      <w:bookmarkStart w:id="693" w:name="_Toc323819648"/>
      <w:bookmarkStart w:id="694" w:name="_Toc336338199"/>
      <w:bookmarkStart w:id="695" w:name="_Toc353470847"/>
      <w:r w:rsidRPr="00734B50">
        <w:rPr>
          <w:rFonts w:ascii="Tahoma" w:hAnsi="Tahoma" w:cs="Tahoma"/>
          <w:lang w:val="pt-BR"/>
        </w:rPr>
        <w:t>Licença</w:t>
      </w:r>
      <w:bookmarkEnd w:id="693"/>
      <w:bookmarkEnd w:id="694"/>
      <w:bookmarkEnd w:id="695"/>
    </w:p>
    <w:p w:rsidR="00456002" w:rsidRPr="00734B50" w:rsidRDefault="00456002" w:rsidP="00ED589D">
      <w:pPr>
        <w:pStyle w:val="AppendixIndent"/>
        <w:tabs>
          <w:tab w:val="left" w:pos="90"/>
        </w:tabs>
        <w:spacing w:before="0"/>
        <w:ind w:left="0" w:right="720"/>
        <w:rPr>
          <w:lang w:val="pt-BR"/>
        </w:rPr>
      </w:pPr>
    </w:p>
    <w:p w:rsidR="00456002" w:rsidRPr="00653421" w:rsidRDefault="00456002" w:rsidP="0014632E">
      <w:pPr>
        <w:pStyle w:val="AppendixBodyText"/>
        <w:spacing w:after="0"/>
        <w:ind w:right="720"/>
      </w:pPr>
      <w:r w:rsidRPr="00734B50">
        <w:rPr>
          <w:rFonts w:ascii="Tahoma" w:hAnsi="Tahoma" w:cs="Tahoma"/>
          <w:sz w:val="18"/>
          <w:lang w:val="pt-BR"/>
        </w:rPr>
        <w:t xml:space="preserve">Este tipo de produto é específico à versão e confere o direito de executar a versão do produto para a qual foi solicitado. </w:t>
      </w:r>
      <w:r w:rsidRPr="00653421">
        <w:rPr>
          <w:rFonts w:ascii="Tahoma" w:hAnsi="Tahoma" w:cs="Tahoma"/>
          <w:sz w:val="18"/>
        </w:rPr>
        <w:t xml:space="preserve">Estão disponíveis nos seguintes programas: </w:t>
      </w:r>
    </w:p>
    <w:p w:rsidR="00456002" w:rsidRPr="00653421" w:rsidRDefault="00456002" w:rsidP="0014632E">
      <w:pPr>
        <w:pStyle w:val="AppendixIndent"/>
        <w:tabs>
          <w:tab w:val="left" w:pos="90"/>
        </w:tabs>
        <w:spacing w:before="0"/>
        <w:ind w:left="0" w:right="720"/>
      </w:pPr>
    </w:p>
    <w:p w:rsidR="00456002" w:rsidRPr="00653421" w:rsidRDefault="00456002" w:rsidP="002C1048">
      <w:pPr>
        <w:pStyle w:val="AppendixBulletIndent"/>
        <w:numPr>
          <w:ilvl w:val="0"/>
          <w:numId w:val="77"/>
        </w:numPr>
        <w:tabs>
          <w:tab w:val="left" w:pos="90"/>
        </w:tabs>
        <w:spacing w:after="60"/>
        <w:ind w:left="1440" w:right="720"/>
      </w:pPr>
      <w:r w:rsidRPr="00653421">
        <w:rPr>
          <w:rFonts w:ascii="Tahoma" w:hAnsi="Tahoma" w:cs="Tahoma"/>
          <w:sz w:val="18"/>
          <w:szCs w:val="18"/>
        </w:rPr>
        <w:t>Licença Open</w:t>
      </w:r>
    </w:p>
    <w:p w:rsidR="00456002" w:rsidRPr="00734B50" w:rsidRDefault="00456002" w:rsidP="002C1048">
      <w:pPr>
        <w:pStyle w:val="AppendixBulletIndent"/>
        <w:numPr>
          <w:ilvl w:val="0"/>
          <w:numId w:val="77"/>
        </w:numPr>
        <w:tabs>
          <w:tab w:val="left" w:pos="90"/>
        </w:tabs>
        <w:spacing w:after="60"/>
        <w:ind w:left="1440" w:right="720"/>
        <w:rPr>
          <w:lang w:val="pt-BR"/>
        </w:rPr>
      </w:pPr>
      <w:r w:rsidRPr="00734B50">
        <w:rPr>
          <w:rFonts w:ascii="Tahoma" w:hAnsi="Tahoma" w:cs="Tahoma"/>
          <w:sz w:val="18"/>
          <w:szCs w:val="18"/>
          <w:lang w:val="pt-BR"/>
        </w:rPr>
        <w:t xml:space="preserve">Open Value Subscription [somente para pedidos com opção de compra (“buy-out”)] </w:t>
      </w:r>
    </w:p>
    <w:p w:rsidR="00456002" w:rsidRPr="00653421" w:rsidRDefault="00456002" w:rsidP="002C1048">
      <w:pPr>
        <w:pStyle w:val="AppendixBulletIndent"/>
        <w:numPr>
          <w:ilvl w:val="0"/>
          <w:numId w:val="77"/>
        </w:numPr>
        <w:tabs>
          <w:tab w:val="left" w:pos="90"/>
        </w:tabs>
        <w:spacing w:after="60"/>
        <w:ind w:left="1440" w:right="720"/>
      </w:pPr>
      <w:r w:rsidRPr="00653421">
        <w:rPr>
          <w:rFonts w:ascii="Tahoma" w:hAnsi="Tahoma" w:cs="Tahoma"/>
          <w:sz w:val="18"/>
          <w:szCs w:val="18"/>
        </w:rPr>
        <w:t xml:space="preserve">Select </w:t>
      </w:r>
    </w:p>
    <w:p w:rsidR="00456002" w:rsidRPr="00653421" w:rsidRDefault="00456002" w:rsidP="002C1048">
      <w:pPr>
        <w:pStyle w:val="AppendixBulletIndent"/>
        <w:numPr>
          <w:ilvl w:val="0"/>
          <w:numId w:val="77"/>
        </w:numPr>
        <w:tabs>
          <w:tab w:val="left" w:pos="90"/>
        </w:tabs>
        <w:spacing w:after="60"/>
        <w:ind w:left="1440" w:right="720"/>
      </w:pPr>
      <w:r w:rsidRPr="00653421">
        <w:rPr>
          <w:rFonts w:ascii="Tahoma" w:hAnsi="Tahoma" w:cs="Tahoma"/>
          <w:sz w:val="18"/>
          <w:szCs w:val="18"/>
        </w:rPr>
        <w:t>Select Plus</w:t>
      </w:r>
    </w:p>
    <w:p w:rsidR="00456002" w:rsidRPr="00734B50" w:rsidRDefault="00456002" w:rsidP="002C1048">
      <w:pPr>
        <w:pStyle w:val="AppendixBulletIndent"/>
        <w:numPr>
          <w:ilvl w:val="0"/>
          <w:numId w:val="77"/>
        </w:numPr>
        <w:tabs>
          <w:tab w:val="left" w:pos="90"/>
        </w:tabs>
        <w:spacing w:after="60"/>
        <w:ind w:left="1440" w:right="720"/>
        <w:rPr>
          <w:lang w:val="pt-BR"/>
        </w:rPr>
      </w:pPr>
      <w:r w:rsidRPr="00734B50">
        <w:rPr>
          <w:rFonts w:ascii="Tahoma" w:hAnsi="Tahoma" w:cs="Tahoma"/>
          <w:sz w:val="18"/>
          <w:szCs w:val="18"/>
          <w:lang w:val="pt-BR"/>
        </w:rPr>
        <w:t>Contrato School (somente para pedidos com opção de compra (“buy-out”))</w:t>
      </w:r>
    </w:p>
    <w:p w:rsidR="00456002" w:rsidRPr="00734B50" w:rsidRDefault="00456002" w:rsidP="002C1048">
      <w:pPr>
        <w:pStyle w:val="AppendixBulletIndent"/>
        <w:numPr>
          <w:ilvl w:val="0"/>
          <w:numId w:val="77"/>
        </w:numPr>
        <w:tabs>
          <w:tab w:val="left" w:pos="90"/>
        </w:tabs>
        <w:spacing w:after="60"/>
        <w:ind w:left="1440" w:right="720"/>
        <w:rPr>
          <w:lang w:val="pt-BR"/>
        </w:rPr>
      </w:pPr>
      <w:r w:rsidRPr="00734B50">
        <w:rPr>
          <w:rFonts w:ascii="Tahoma" w:hAnsi="Tahoma" w:cs="Tahoma"/>
          <w:sz w:val="18"/>
          <w:szCs w:val="18"/>
          <w:lang w:val="pt-BR"/>
        </w:rPr>
        <w:t>EES (somente para pedidos com opção de compra (“buy-out”))</w:t>
      </w:r>
    </w:p>
    <w:p w:rsidR="00456002" w:rsidRPr="00734B50" w:rsidRDefault="00456002" w:rsidP="001A4C1E">
      <w:pPr>
        <w:pStyle w:val="AppendixBulletIndent"/>
        <w:numPr>
          <w:ilvl w:val="0"/>
          <w:numId w:val="77"/>
        </w:numPr>
        <w:tabs>
          <w:tab w:val="left" w:pos="90"/>
        </w:tabs>
        <w:ind w:left="1440" w:right="540"/>
        <w:rPr>
          <w:lang w:val="pt-BR"/>
        </w:rPr>
      </w:pPr>
      <w:r w:rsidRPr="00734B50">
        <w:rPr>
          <w:rFonts w:ascii="Tahoma" w:hAnsi="Tahoma" w:cs="Tahoma"/>
          <w:sz w:val="18"/>
          <w:szCs w:val="18"/>
          <w:lang w:val="pt-BR"/>
        </w:rPr>
        <w:t>Contrato Enterprise Subscription (somente para pedidos com opção de compra (“buy-out”))</w:t>
      </w:r>
    </w:p>
    <w:p w:rsidR="00456002" w:rsidRPr="00734B50" w:rsidRDefault="00456002" w:rsidP="0014632E">
      <w:pPr>
        <w:pStyle w:val="AppendixIndent"/>
        <w:tabs>
          <w:tab w:val="left" w:pos="90"/>
        </w:tabs>
        <w:spacing w:before="0"/>
        <w:ind w:left="0" w:right="720"/>
        <w:rPr>
          <w:lang w:val="pt-BR"/>
        </w:rPr>
      </w:pPr>
    </w:p>
    <w:p w:rsidR="00456002" w:rsidRPr="00734B50" w:rsidRDefault="00456002" w:rsidP="0014632E">
      <w:pPr>
        <w:pStyle w:val="AppendixBodyText"/>
        <w:spacing w:after="0"/>
        <w:ind w:right="720"/>
        <w:rPr>
          <w:lang w:val="pt-BR"/>
        </w:rPr>
      </w:pPr>
      <w:r w:rsidRPr="00734B50">
        <w:rPr>
          <w:rFonts w:ascii="Tahoma" w:hAnsi="Tahoma" w:cs="Tahoma"/>
          <w:sz w:val="18"/>
          <w:lang w:val="pt-BR"/>
        </w:rPr>
        <w:t>Não há pré-requisitos para um cliente adquirir uma Licença nos programas Licença Open, Licença Select e Select Plus.</w:t>
      </w:r>
      <w:r w:rsidR="00DD7735" w:rsidRPr="00734B50">
        <w:rPr>
          <w:rFonts w:ascii="Tahoma" w:hAnsi="Tahoma" w:cs="Tahoma"/>
          <w:sz w:val="18"/>
          <w:lang w:val="pt-BR"/>
        </w:rPr>
        <w:t xml:space="preserve"> </w:t>
      </w:r>
      <w:r w:rsidRPr="00734B50">
        <w:rPr>
          <w:rFonts w:ascii="Tahoma" w:hAnsi="Tahoma" w:cs="Tahoma"/>
          <w:sz w:val="18"/>
          <w:lang w:val="pt-BR"/>
        </w:rPr>
        <w:t>Consulte o contrato específico do programa para saber as regras de qualificação que regem o pedido de uma licença perpétua através de pedidos com opção de compra (“buy-out”).</w:t>
      </w:r>
    </w:p>
    <w:p w:rsidR="00255158" w:rsidRPr="00734B50" w:rsidRDefault="00255158" w:rsidP="0014632E">
      <w:pPr>
        <w:pStyle w:val="AppendixIndent"/>
        <w:tabs>
          <w:tab w:val="left" w:pos="90"/>
        </w:tabs>
        <w:spacing w:before="0"/>
        <w:ind w:left="0" w:right="720"/>
        <w:rPr>
          <w:lang w:val="pt-BR"/>
        </w:rPr>
      </w:pPr>
    </w:p>
    <w:p w:rsidR="00456002" w:rsidRPr="00734B50" w:rsidRDefault="00456002" w:rsidP="00456002">
      <w:pPr>
        <w:pStyle w:val="Heading2"/>
        <w:tabs>
          <w:tab w:val="left" w:pos="90"/>
        </w:tabs>
        <w:ind w:left="0" w:right="720"/>
        <w:rPr>
          <w:lang w:val="pt-BR"/>
        </w:rPr>
      </w:pPr>
      <w:bookmarkStart w:id="696" w:name="_Toc323819649"/>
      <w:bookmarkStart w:id="697" w:name="_Toc336338200"/>
      <w:bookmarkStart w:id="698" w:name="_Toc353470848"/>
      <w:r w:rsidRPr="00734B50">
        <w:rPr>
          <w:rFonts w:ascii="Tahoma" w:hAnsi="Tahoma" w:cs="Tahoma"/>
          <w:lang w:val="pt-BR"/>
        </w:rPr>
        <w:t>Licença e Software Assurance</w:t>
      </w:r>
      <w:bookmarkEnd w:id="696"/>
      <w:bookmarkEnd w:id="697"/>
      <w:bookmarkEnd w:id="698"/>
      <w:r w:rsidRPr="00734B50">
        <w:rPr>
          <w:rFonts w:ascii="Tahoma" w:hAnsi="Tahoma" w:cs="Tahoma"/>
          <w:lang w:val="pt-BR"/>
        </w:rPr>
        <w:t xml:space="preserve"> </w:t>
      </w:r>
    </w:p>
    <w:p w:rsidR="00456002" w:rsidRPr="00734B50" w:rsidRDefault="00456002" w:rsidP="00ED589D">
      <w:pPr>
        <w:pStyle w:val="AppendixIndent"/>
        <w:tabs>
          <w:tab w:val="left" w:pos="90"/>
        </w:tabs>
        <w:spacing w:before="0"/>
        <w:ind w:left="0" w:right="720"/>
        <w:rPr>
          <w:lang w:val="pt-BR"/>
        </w:rPr>
      </w:pPr>
    </w:p>
    <w:p w:rsidR="00456002" w:rsidRPr="00653421" w:rsidRDefault="00456002" w:rsidP="0014632E">
      <w:pPr>
        <w:pStyle w:val="AppendixBodyText"/>
        <w:spacing w:after="0"/>
        <w:ind w:right="720"/>
      </w:pPr>
      <w:r w:rsidRPr="00734B50">
        <w:rPr>
          <w:rFonts w:ascii="Tahoma" w:hAnsi="Tahoma" w:cs="Tahoma"/>
          <w:sz w:val="18"/>
          <w:lang w:val="pt-BR"/>
        </w:rPr>
        <w:t xml:space="preserve">Este tipo de produto não é específico à versão. Ele permite que os clientes adquiram a Licença e o Software Assurance ao mesmo tempo. </w:t>
      </w:r>
      <w:r w:rsidRPr="00653421">
        <w:rPr>
          <w:rFonts w:ascii="Tahoma" w:hAnsi="Tahoma" w:cs="Tahoma"/>
          <w:sz w:val="18"/>
        </w:rPr>
        <w:t>Estão disponíveis nos seguintes programas:</w:t>
      </w:r>
    </w:p>
    <w:p w:rsidR="00456002" w:rsidRPr="00653421" w:rsidRDefault="00456002" w:rsidP="0014632E">
      <w:pPr>
        <w:pStyle w:val="AppendixIndent"/>
        <w:tabs>
          <w:tab w:val="left" w:pos="90"/>
        </w:tabs>
        <w:spacing w:before="0"/>
        <w:ind w:left="0" w:right="720"/>
      </w:pPr>
    </w:p>
    <w:p w:rsidR="00456002" w:rsidRPr="00653421" w:rsidRDefault="00456002" w:rsidP="002C1048">
      <w:pPr>
        <w:pStyle w:val="AppendixBulletIndent"/>
        <w:numPr>
          <w:ilvl w:val="0"/>
          <w:numId w:val="81"/>
        </w:numPr>
        <w:tabs>
          <w:tab w:val="left" w:pos="1440"/>
        </w:tabs>
        <w:spacing w:after="60"/>
        <w:ind w:left="1440" w:right="720"/>
      </w:pPr>
      <w:r w:rsidRPr="00653421">
        <w:rPr>
          <w:rFonts w:ascii="Tahoma" w:hAnsi="Tahoma" w:cs="Tahoma"/>
          <w:sz w:val="18"/>
        </w:rPr>
        <w:t xml:space="preserve">Open License </w:t>
      </w:r>
    </w:p>
    <w:p w:rsidR="00456002" w:rsidRPr="00653421" w:rsidRDefault="00456002" w:rsidP="002C1048">
      <w:pPr>
        <w:pStyle w:val="AppendixBulletIndent"/>
        <w:numPr>
          <w:ilvl w:val="0"/>
          <w:numId w:val="81"/>
        </w:numPr>
        <w:tabs>
          <w:tab w:val="left" w:pos="1440"/>
        </w:tabs>
        <w:spacing w:after="60"/>
        <w:ind w:left="1440" w:right="720"/>
      </w:pPr>
      <w:r w:rsidRPr="00653421">
        <w:rPr>
          <w:rFonts w:ascii="Tahoma" w:hAnsi="Tahoma" w:cs="Tahoma"/>
          <w:sz w:val="18"/>
        </w:rPr>
        <w:t>Open Value</w:t>
      </w:r>
    </w:p>
    <w:p w:rsidR="00456002" w:rsidRPr="00653421" w:rsidRDefault="00385C82" w:rsidP="002C1048">
      <w:pPr>
        <w:pStyle w:val="AppendixBulletIndent"/>
        <w:numPr>
          <w:ilvl w:val="0"/>
          <w:numId w:val="81"/>
        </w:numPr>
        <w:tabs>
          <w:tab w:val="left" w:pos="1440"/>
        </w:tabs>
        <w:spacing w:after="60"/>
        <w:ind w:left="1440" w:right="720"/>
      </w:pPr>
      <w:r w:rsidRPr="00653421">
        <w:rPr>
          <w:rFonts w:ascii="Tahoma" w:hAnsi="Tahoma" w:cs="Tahoma"/>
          <w:sz w:val="18"/>
        </w:rPr>
        <w:t>Open Value Subscription</w:t>
      </w:r>
    </w:p>
    <w:p w:rsidR="00456002" w:rsidRPr="00653421" w:rsidRDefault="00456002" w:rsidP="002C1048">
      <w:pPr>
        <w:pStyle w:val="AppendixBulletIndent"/>
        <w:numPr>
          <w:ilvl w:val="0"/>
          <w:numId w:val="81"/>
        </w:numPr>
        <w:tabs>
          <w:tab w:val="left" w:pos="1440"/>
        </w:tabs>
        <w:spacing w:after="60"/>
        <w:ind w:left="1440" w:right="720"/>
      </w:pPr>
      <w:r w:rsidRPr="00653421">
        <w:rPr>
          <w:rFonts w:ascii="Tahoma" w:hAnsi="Tahoma" w:cs="Tahoma"/>
          <w:sz w:val="18"/>
        </w:rPr>
        <w:t xml:space="preserve">Select </w:t>
      </w:r>
    </w:p>
    <w:p w:rsidR="00456002" w:rsidRPr="00653421" w:rsidRDefault="00456002" w:rsidP="002C1048">
      <w:pPr>
        <w:pStyle w:val="AppendixBulletIndent"/>
        <w:numPr>
          <w:ilvl w:val="0"/>
          <w:numId w:val="81"/>
        </w:numPr>
        <w:tabs>
          <w:tab w:val="left" w:pos="1440"/>
        </w:tabs>
        <w:spacing w:after="60"/>
        <w:ind w:left="1440" w:right="720"/>
      </w:pPr>
      <w:r w:rsidRPr="00653421">
        <w:rPr>
          <w:rFonts w:ascii="Tahoma" w:hAnsi="Tahoma" w:cs="Tahoma"/>
          <w:sz w:val="18"/>
        </w:rPr>
        <w:t>Select Plus</w:t>
      </w:r>
    </w:p>
    <w:p w:rsidR="00456002" w:rsidRPr="00653421" w:rsidRDefault="00456002" w:rsidP="002C1048">
      <w:pPr>
        <w:pStyle w:val="AppendixBulletIndent"/>
        <w:numPr>
          <w:ilvl w:val="0"/>
          <w:numId w:val="81"/>
        </w:numPr>
        <w:tabs>
          <w:tab w:val="left" w:pos="1440"/>
        </w:tabs>
        <w:spacing w:after="60"/>
        <w:ind w:left="1440" w:right="720"/>
      </w:pPr>
      <w:r w:rsidRPr="00653421">
        <w:rPr>
          <w:rFonts w:ascii="Tahoma" w:hAnsi="Tahoma" w:cs="Tahoma"/>
          <w:sz w:val="18"/>
        </w:rPr>
        <w:t>Contrato Enterprise</w:t>
      </w:r>
    </w:p>
    <w:p w:rsidR="00456002" w:rsidRPr="00653421" w:rsidRDefault="00456002" w:rsidP="0014632E">
      <w:pPr>
        <w:pStyle w:val="AppendixBulletIndent"/>
        <w:numPr>
          <w:ilvl w:val="0"/>
          <w:numId w:val="81"/>
        </w:numPr>
        <w:tabs>
          <w:tab w:val="left" w:pos="1440"/>
        </w:tabs>
        <w:ind w:left="1440" w:right="720"/>
      </w:pPr>
      <w:r w:rsidRPr="00653421">
        <w:rPr>
          <w:rFonts w:ascii="Tahoma" w:hAnsi="Tahoma" w:cs="Tahoma"/>
          <w:sz w:val="18"/>
        </w:rPr>
        <w:t>Contrato Enterprise Subscription</w:t>
      </w:r>
    </w:p>
    <w:p w:rsidR="00456002" w:rsidRPr="00653421" w:rsidRDefault="00456002" w:rsidP="00EF6A68">
      <w:pPr>
        <w:pStyle w:val="AppendixIndent"/>
        <w:tabs>
          <w:tab w:val="left" w:pos="90"/>
        </w:tabs>
        <w:spacing w:before="0"/>
        <w:ind w:left="0" w:right="720"/>
      </w:pPr>
    </w:p>
    <w:p w:rsidR="00456002" w:rsidRPr="00734B50" w:rsidRDefault="00456002" w:rsidP="00EF6A68">
      <w:pPr>
        <w:pStyle w:val="AppendixBodyText"/>
        <w:spacing w:after="0"/>
        <w:ind w:right="720"/>
        <w:rPr>
          <w:lang w:val="pt-BR"/>
        </w:rPr>
      </w:pPr>
      <w:r w:rsidRPr="00734B50">
        <w:rPr>
          <w:rFonts w:ascii="Tahoma" w:hAnsi="Tahoma" w:cs="Tahoma"/>
          <w:sz w:val="18"/>
          <w:lang w:val="pt-BR"/>
        </w:rPr>
        <w:t>Não há pré-requisitos para adquirir a Licença O Software Assurance deverá ser adquirido por ocasião da aquisição da Licença correspondente ou na renovação do prazo de um Software Assurance existente.</w:t>
      </w:r>
      <w:r w:rsidR="00DD7735" w:rsidRPr="00734B50">
        <w:rPr>
          <w:rFonts w:ascii="Tahoma" w:hAnsi="Tahoma" w:cs="Tahoma"/>
          <w:sz w:val="18"/>
          <w:lang w:val="pt-BR"/>
        </w:rPr>
        <w:t xml:space="preserve"> </w:t>
      </w:r>
      <w:r w:rsidRPr="00734B50">
        <w:rPr>
          <w:rFonts w:ascii="Tahoma" w:hAnsi="Tahoma" w:cs="Tahoma"/>
          <w:sz w:val="18"/>
          <w:lang w:val="pt-BR"/>
        </w:rPr>
        <w:t>Em todos os programas de licenciamento por volume, quando o cliente não cumprir os critérios de qualificação do Software Assurance e quiser adquiri-lo, ele deverá adquirir a oferta Licença e Software Assurance.</w:t>
      </w:r>
    </w:p>
    <w:p w:rsidR="00255158" w:rsidRPr="00734B50" w:rsidRDefault="00255158" w:rsidP="00EF6A68">
      <w:pPr>
        <w:rPr>
          <w:lang w:val="pt-BR"/>
        </w:rPr>
      </w:pPr>
    </w:p>
    <w:p w:rsidR="001A4C1E" w:rsidRPr="00734B50" w:rsidRDefault="001A4C1E" w:rsidP="00EF6A68">
      <w:pPr>
        <w:rPr>
          <w:lang w:val="pt-BR"/>
        </w:rPr>
      </w:pPr>
    </w:p>
    <w:p w:rsidR="001A4C1E" w:rsidRPr="00734B50" w:rsidRDefault="001A4C1E" w:rsidP="00EF6A68">
      <w:pPr>
        <w:rPr>
          <w:lang w:val="pt-BR"/>
        </w:rPr>
      </w:pPr>
    </w:p>
    <w:p w:rsidR="001A4C1E" w:rsidRPr="00734B50" w:rsidRDefault="001A4C1E" w:rsidP="00EF6A68">
      <w:pPr>
        <w:rPr>
          <w:lang w:val="pt-BR"/>
        </w:rPr>
      </w:pPr>
    </w:p>
    <w:p w:rsidR="001A4C1E" w:rsidRPr="00734B50" w:rsidRDefault="001A4C1E" w:rsidP="00EF6A68">
      <w:pPr>
        <w:rPr>
          <w:lang w:val="pt-BR"/>
        </w:rPr>
      </w:pPr>
    </w:p>
    <w:p w:rsidR="001A4C1E" w:rsidRPr="00734B50" w:rsidRDefault="001A4C1E" w:rsidP="00EF6A68">
      <w:pPr>
        <w:rPr>
          <w:lang w:val="pt-BR"/>
        </w:rPr>
      </w:pPr>
    </w:p>
    <w:p w:rsidR="00456002" w:rsidRPr="00734B50" w:rsidRDefault="00456002" w:rsidP="00456002">
      <w:pPr>
        <w:pStyle w:val="Heading2"/>
        <w:tabs>
          <w:tab w:val="left" w:pos="90"/>
        </w:tabs>
        <w:ind w:left="0" w:right="720"/>
        <w:rPr>
          <w:lang w:val="pt-BR"/>
        </w:rPr>
      </w:pPr>
      <w:bookmarkStart w:id="699" w:name="_Toc323819650"/>
      <w:bookmarkStart w:id="700" w:name="_Toc336338201"/>
      <w:bookmarkStart w:id="701" w:name="_Toc353470849"/>
      <w:r w:rsidRPr="00734B50">
        <w:rPr>
          <w:rFonts w:ascii="Tahoma" w:hAnsi="Tahoma" w:cs="Tahoma"/>
          <w:lang w:val="pt-BR"/>
        </w:rPr>
        <w:lastRenderedPageBreak/>
        <w:t>Software Assurance</w:t>
      </w:r>
      <w:bookmarkEnd w:id="699"/>
      <w:bookmarkEnd w:id="700"/>
      <w:bookmarkEnd w:id="701"/>
    </w:p>
    <w:p w:rsidR="00456002" w:rsidRPr="00734B50" w:rsidRDefault="00456002" w:rsidP="00EF6A68">
      <w:pPr>
        <w:pStyle w:val="AppendixBodyText"/>
        <w:tabs>
          <w:tab w:val="left" w:pos="90"/>
        </w:tabs>
        <w:spacing w:after="0"/>
        <w:ind w:right="720"/>
        <w:rPr>
          <w:lang w:val="pt-BR"/>
        </w:rPr>
      </w:pPr>
    </w:p>
    <w:p w:rsidR="00456002" w:rsidRPr="00734B50" w:rsidRDefault="00456002" w:rsidP="00EF6A68">
      <w:pPr>
        <w:pStyle w:val="AppendixBodyText"/>
        <w:spacing w:after="0"/>
        <w:ind w:right="720"/>
        <w:rPr>
          <w:lang w:val="pt-BR"/>
        </w:rPr>
      </w:pPr>
      <w:r w:rsidRPr="00734B50">
        <w:rPr>
          <w:rFonts w:ascii="Tahoma" w:hAnsi="Tahoma" w:cs="Tahoma"/>
          <w:sz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w:t>
      </w:r>
      <w:r w:rsidR="001A4C1E" w:rsidRPr="00734B50">
        <w:rPr>
          <w:rFonts w:ascii="Tahoma" w:hAnsi="Tahoma" w:cs="Tahoma"/>
          <w:sz w:val="18"/>
          <w:lang w:val="pt-BR"/>
        </w:rPr>
        <w:t> </w:t>
      </w:r>
      <w:r w:rsidRPr="00734B50">
        <w:rPr>
          <w:rFonts w:ascii="Tahoma" w:hAnsi="Tahoma" w:cs="Tahoma"/>
          <w:sz w:val="18"/>
          <w:lang w:val="pt-BR"/>
        </w:rPr>
        <w:t>obter detalhes sobre cada benefício e política, consulte a Seção de Benefícios do Software Assurance (SA) deste documento.</w:t>
      </w:r>
    </w:p>
    <w:p w:rsidR="00456002" w:rsidRPr="00734B50" w:rsidRDefault="00456002" w:rsidP="00EF6A68">
      <w:pPr>
        <w:pStyle w:val="AppendixIndent"/>
        <w:tabs>
          <w:tab w:val="left" w:pos="90"/>
        </w:tabs>
        <w:spacing w:before="0"/>
        <w:ind w:left="0" w:right="720"/>
        <w:rPr>
          <w:lang w:val="pt-BR"/>
        </w:rPr>
      </w:pPr>
    </w:p>
    <w:p w:rsidR="00456002" w:rsidRPr="00653421" w:rsidRDefault="00456002" w:rsidP="001A4C1E">
      <w:pPr>
        <w:pStyle w:val="AppendixBodyText"/>
        <w:spacing w:after="0"/>
        <w:ind w:right="360"/>
      </w:pPr>
      <w:r w:rsidRPr="00734B50">
        <w:rPr>
          <w:rFonts w:ascii="Tahoma" w:hAnsi="Tahoma" w:cs="Tahoma"/>
          <w:sz w:val="18"/>
          <w:lang w:val="pt-BR"/>
        </w:rPr>
        <w:t xml:space="preserve">Para obter detalhes sobre os direitos de uso relacionados a benefícios, consulte os Direitos de Uso de Produto para o Licenciamento por Volume. </w:t>
      </w:r>
      <w:r w:rsidRPr="00653421">
        <w:rPr>
          <w:rFonts w:ascii="Tahoma" w:hAnsi="Tahoma" w:cs="Tahoma"/>
          <w:sz w:val="18"/>
        </w:rPr>
        <w:t>O Software Assurance encontra-se disponível nos seguintes programas:</w:t>
      </w:r>
    </w:p>
    <w:p w:rsidR="00456002" w:rsidRPr="00653421" w:rsidRDefault="00456002" w:rsidP="00EF6A68">
      <w:pPr>
        <w:pStyle w:val="AppendixIndent"/>
        <w:tabs>
          <w:tab w:val="left" w:pos="90"/>
        </w:tabs>
        <w:spacing w:before="0"/>
        <w:ind w:left="0" w:right="720"/>
      </w:pPr>
    </w:p>
    <w:p w:rsidR="00456002" w:rsidRPr="00653421" w:rsidRDefault="00456002" w:rsidP="002C1048">
      <w:pPr>
        <w:pStyle w:val="AppendixBulletIndent"/>
        <w:numPr>
          <w:ilvl w:val="0"/>
          <w:numId w:val="82"/>
        </w:numPr>
        <w:tabs>
          <w:tab w:val="left" w:pos="1440"/>
        </w:tabs>
        <w:spacing w:after="60"/>
        <w:ind w:left="1440" w:right="720"/>
      </w:pPr>
      <w:r w:rsidRPr="00653421">
        <w:rPr>
          <w:rFonts w:ascii="Tahoma" w:hAnsi="Tahoma" w:cs="Tahoma"/>
          <w:sz w:val="18"/>
        </w:rPr>
        <w:t xml:space="preserve">Open License </w:t>
      </w:r>
    </w:p>
    <w:p w:rsidR="00456002" w:rsidRPr="00653421" w:rsidRDefault="00456002" w:rsidP="002C1048">
      <w:pPr>
        <w:pStyle w:val="AppendixBulletIndent"/>
        <w:numPr>
          <w:ilvl w:val="0"/>
          <w:numId w:val="82"/>
        </w:numPr>
        <w:tabs>
          <w:tab w:val="left" w:pos="1440"/>
        </w:tabs>
        <w:spacing w:after="60"/>
        <w:ind w:left="1440" w:right="720"/>
      </w:pPr>
      <w:r w:rsidRPr="00653421">
        <w:rPr>
          <w:rFonts w:ascii="Tahoma" w:hAnsi="Tahoma" w:cs="Tahoma"/>
          <w:sz w:val="18"/>
        </w:rPr>
        <w:t xml:space="preserve">Open Value </w:t>
      </w:r>
    </w:p>
    <w:p w:rsidR="00456002" w:rsidRPr="00653421" w:rsidRDefault="00456002" w:rsidP="002C1048">
      <w:pPr>
        <w:pStyle w:val="AppendixBulletIndent"/>
        <w:numPr>
          <w:ilvl w:val="0"/>
          <w:numId w:val="82"/>
        </w:numPr>
        <w:tabs>
          <w:tab w:val="left" w:pos="1440"/>
        </w:tabs>
        <w:spacing w:after="60"/>
        <w:ind w:left="1440" w:right="720"/>
      </w:pPr>
      <w:r w:rsidRPr="00653421">
        <w:rPr>
          <w:rFonts w:ascii="Tahoma" w:hAnsi="Tahoma" w:cs="Tahoma"/>
          <w:sz w:val="18"/>
        </w:rPr>
        <w:t xml:space="preserve">Select </w:t>
      </w:r>
    </w:p>
    <w:p w:rsidR="00456002" w:rsidRPr="00653421" w:rsidRDefault="00456002" w:rsidP="002C1048">
      <w:pPr>
        <w:pStyle w:val="AppendixBulletIndent"/>
        <w:numPr>
          <w:ilvl w:val="0"/>
          <w:numId w:val="82"/>
        </w:numPr>
        <w:tabs>
          <w:tab w:val="left" w:pos="1440"/>
        </w:tabs>
        <w:spacing w:after="60"/>
        <w:ind w:left="1440" w:right="720"/>
      </w:pPr>
      <w:r w:rsidRPr="00653421">
        <w:rPr>
          <w:rFonts w:ascii="Tahoma" w:hAnsi="Tahoma" w:cs="Tahoma"/>
          <w:sz w:val="18"/>
        </w:rPr>
        <w:t>Select Plus</w:t>
      </w:r>
    </w:p>
    <w:p w:rsidR="00456002" w:rsidRPr="00653421" w:rsidRDefault="00456002" w:rsidP="00EF6A68">
      <w:pPr>
        <w:pStyle w:val="AppendixBulletIndent"/>
        <w:numPr>
          <w:ilvl w:val="0"/>
          <w:numId w:val="82"/>
        </w:numPr>
        <w:tabs>
          <w:tab w:val="left" w:pos="1440"/>
        </w:tabs>
        <w:ind w:left="1440" w:right="720"/>
      </w:pPr>
      <w:r w:rsidRPr="00653421">
        <w:rPr>
          <w:rFonts w:ascii="Tahoma" w:hAnsi="Tahoma" w:cs="Tahoma"/>
          <w:sz w:val="18"/>
        </w:rPr>
        <w:t>Contrato Enterprise</w:t>
      </w:r>
    </w:p>
    <w:p w:rsidR="00456002" w:rsidRPr="00653421" w:rsidRDefault="00456002" w:rsidP="00B147AB">
      <w:pPr>
        <w:pStyle w:val="AppendixIndent"/>
        <w:spacing w:before="0"/>
        <w:ind w:left="0" w:right="720"/>
      </w:pPr>
    </w:p>
    <w:p w:rsidR="00456002" w:rsidRPr="00653421" w:rsidRDefault="00456002" w:rsidP="00B147AB">
      <w:pPr>
        <w:pStyle w:val="AppendixIndent"/>
        <w:spacing w:before="0"/>
        <w:ind w:left="0" w:right="720"/>
      </w:pPr>
      <w:r w:rsidRPr="00734B50">
        <w:rPr>
          <w:rFonts w:ascii="Tahoma" w:hAnsi="Tahoma" w:cs="Tahoma"/>
          <w:sz w:val="18"/>
          <w:lang w:val="pt-BR"/>
        </w:rPr>
        <w:t>Existem três categorias diferentes de compromisso que um cliente pode selecionar para o Software Assurance.</w:t>
      </w:r>
      <w:r w:rsidR="00DD7735" w:rsidRPr="00734B50">
        <w:rPr>
          <w:rFonts w:ascii="Tahoma" w:hAnsi="Tahoma" w:cs="Tahoma"/>
          <w:sz w:val="18"/>
          <w:lang w:val="pt-BR"/>
        </w:rPr>
        <w:t xml:space="preserve"> </w:t>
      </w:r>
      <w:r w:rsidRPr="00734B50">
        <w:rPr>
          <w:rFonts w:ascii="Tahoma" w:hAnsi="Tahoma" w:cs="Tahoma"/>
          <w:sz w:val="18"/>
          <w:lang w:val="pt-BR"/>
        </w:rPr>
        <w:t>As categorias disponíveis variam de acordo com o programa.</w:t>
      </w:r>
      <w:r w:rsidR="00DD7735" w:rsidRPr="00734B50">
        <w:rPr>
          <w:rFonts w:ascii="Tahoma" w:hAnsi="Tahoma" w:cs="Tahoma"/>
          <w:sz w:val="18"/>
          <w:lang w:val="pt-BR"/>
        </w:rPr>
        <w:t xml:space="preserve"> </w:t>
      </w:r>
      <w:r w:rsidRPr="00734B50">
        <w:rPr>
          <w:rFonts w:ascii="Tahoma" w:hAnsi="Tahoma" w:cs="Tahoma"/>
          <w:sz w:val="18"/>
          <w:lang w:val="pt-BR"/>
        </w:rPr>
        <w:t>A categoria de compromisso do</w:t>
      </w:r>
      <w:r w:rsidR="007C4AA7" w:rsidRPr="00734B50">
        <w:rPr>
          <w:rFonts w:ascii="Tahoma" w:hAnsi="Tahoma" w:cs="Tahoma"/>
          <w:sz w:val="18"/>
          <w:lang w:val="pt-BR"/>
        </w:rPr>
        <w:t> </w:t>
      </w:r>
      <w:r w:rsidRPr="00734B50">
        <w:rPr>
          <w:rFonts w:ascii="Tahoma" w:hAnsi="Tahoma" w:cs="Tahoma"/>
          <w:sz w:val="18"/>
          <w:lang w:val="pt-BR"/>
        </w:rPr>
        <w:t>Software Assurance do cliente é um dos vários fatores que podem determinar o direito dele receber benefícios.</w:t>
      </w:r>
      <w:r w:rsidR="00DD7735" w:rsidRPr="00734B50">
        <w:rPr>
          <w:rFonts w:ascii="Tahoma" w:hAnsi="Tahoma" w:cs="Tahoma"/>
          <w:sz w:val="18"/>
          <w:lang w:val="pt-BR"/>
        </w:rPr>
        <w:t xml:space="preserve"> </w:t>
      </w:r>
      <w:r w:rsidRPr="00653421">
        <w:rPr>
          <w:rFonts w:ascii="Tahoma" w:hAnsi="Tahoma" w:cs="Tahoma"/>
          <w:sz w:val="18"/>
        </w:rPr>
        <w:t>Um cliente pode:</w:t>
      </w:r>
    </w:p>
    <w:p w:rsidR="004C08A3" w:rsidRPr="00653421" w:rsidRDefault="004C08A3" w:rsidP="00B147AB">
      <w:pPr>
        <w:pStyle w:val="AppendixIndent"/>
        <w:spacing w:before="0"/>
        <w:ind w:left="0" w:right="720"/>
      </w:pPr>
    </w:p>
    <w:p w:rsidR="00456002" w:rsidRPr="00734B50" w:rsidRDefault="00456002" w:rsidP="002C1048">
      <w:pPr>
        <w:pStyle w:val="AppendixIndent"/>
        <w:numPr>
          <w:ilvl w:val="0"/>
          <w:numId w:val="83"/>
        </w:numPr>
        <w:ind w:left="1440" w:right="720"/>
        <w:rPr>
          <w:lang w:val="pt-BR"/>
        </w:rPr>
      </w:pPr>
      <w:r w:rsidRPr="00734B50">
        <w:rPr>
          <w:rFonts w:ascii="Tahoma" w:hAnsi="Tahoma" w:cs="Tahoma"/>
          <w:sz w:val="18"/>
          <w:lang w:val="pt-BR"/>
        </w:rPr>
        <w:t>Comprometer-se a anexar o Software Assurance a todos os seus produtos da plataforma de desktop.</w:t>
      </w:r>
      <w:r w:rsidR="00DD7735" w:rsidRPr="00734B50">
        <w:rPr>
          <w:rFonts w:ascii="Tahoma" w:hAnsi="Tahoma" w:cs="Tahoma"/>
          <w:sz w:val="18"/>
          <w:lang w:val="pt-BR"/>
        </w:rPr>
        <w:t xml:space="preserve"> </w:t>
      </w:r>
      <w:r w:rsidRPr="00734B50">
        <w:rPr>
          <w:rFonts w:ascii="Tahoma" w:hAnsi="Tahoma" w:cs="Tahoma"/>
          <w:sz w:val="18"/>
          <w:lang w:val="pt-BR"/>
        </w:rPr>
        <w:t>Em geral, isso está disponível no Contrato Enterprise e no Open Value.</w:t>
      </w:r>
    </w:p>
    <w:p w:rsidR="00456002" w:rsidRPr="00653421" w:rsidRDefault="00456002" w:rsidP="001A4C1E">
      <w:pPr>
        <w:pStyle w:val="AppendixIndent"/>
        <w:numPr>
          <w:ilvl w:val="0"/>
          <w:numId w:val="83"/>
        </w:numPr>
        <w:ind w:left="1440" w:right="450"/>
      </w:pPr>
      <w:r w:rsidRPr="00734B50">
        <w:rPr>
          <w:rFonts w:ascii="Tahoma" w:hAnsi="Tahoma" w:cs="Tahoma"/>
          <w:sz w:val="18"/>
          <w:lang w:val="pt-BR"/>
        </w:rPr>
        <w:t>Comprometer-se a anexar o Software Assurance a todas as suas compras em um pool de produtos específico (Aplicativos, Sistemas ou Servidores).</w:t>
      </w:r>
      <w:r w:rsidR="00DD7735" w:rsidRPr="00734B50">
        <w:rPr>
          <w:rFonts w:ascii="Tahoma" w:hAnsi="Tahoma" w:cs="Tahoma"/>
          <w:sz w:val="18"/>
          <w:lang w:val="pt-BR"/>
        </w:rPr>
        <w:t xml:space="preserve"> </w:t>
      </w:r>
      <w:r w:rsidRPr="00734B50">
        <w:rPr>
          <w:rFonts w:ascii="Tahoma" w:hAnsi="Tahoma" w:cs="Tahoma"/>
          <w:sz w:val="18"/>
          <w:lang w:val="pt-BR"/>
        </w:rPr>
        <w:t xml:space="preserve">Isso é conhecido como o Programa de Membros do Software Assurance (SAM). Não é necessário um compromisso de toda a empresa para com o Software Assurance. </w:t>
      </w:r>
      <w:r w:rsidRPr="00653421">
        <w:rPr>
          <w:rFonts w:ascii="Tahoma" w:hAnsi="Tahoma" w:cs="Tahoma"/>
          <w:sz w:val="18"/>
        </w:rPr>
        <w:t>Em geral, isso está disponível no Select.</w:t>
      </w:r>
    </w:p>
    <w:p w:rsidR="00456002" w:rsidRPr="00734B50" w:rsidRDefault="00456002" w:rsidP="002C1048">
      <w:pPr>
        <w:pStyle w:val="AppendixIndent"/>
        <w:numPr>
          <w:ilvl w:val="0"/>
          <w:numId w:val="83"/>
        </w:numPr>
        <w:ind w:left="1440" w:right="720"/>
        <w:rPr>
          <w:lang w:val="pt-BR"/>
        </w:rPr>
      </w:pPr>
      <w:r w:rsidRPr="00734B50">
        <w:rPr>
          <w:rFonts w:ascii="Tahoma" w:hAnsi="Tahoma" w:cs="Tahoma"/>
          <w:sz w:val="18"/>
          <w:lang w:val="pt-BR"/>
        </w:rPr>
        <w:t>Comprar o Software Assurance para produtos individuais sem assumir nenhum compromisso para expandir suas compras do Software Assurance a outros produtos.</w:t>
      </w:r>
    </w:p>
    <w:p w:rsidR="0053106B" w:rsidRPr="00734B50" w:rsidRDefault="0053106B" w:rsidP="00EF6A68">
      <w:pPr>
        <w:pStyle w:val="AppendixBodyText"/>
        <w:spacing w:after="0"/>
        <w:ind w:right="720"/>
        <w:rPr>
          <w:lang w:val="pt-BR"/>
        </w:rPr>
      </w:pPr>
    </w:p>
    <w:p w:rsidR="00456002" w:rsidRPr="00734B50" w:rsidRDefault="00456002" w:rsidP="00B147AB">
      <w:pPr>
        <w:pStyle w:val="AppendixBodyText"/>
        <w:spacing w:after="0"/>
        <w:ind w:right="720"/>
        <w:rPr>
          <w:lang w:val="pt-BR"/>
        </w:rPr>
      </w:pPr>
      <w:r w:rsidRPr="00734B50">
        <w:rPr>
          <w:rFonts w:ascii="Tahoma" w:hAnsi="Tahoma" w:cs="Tahoma"/>
          <w:sz w:val="18"/>
          <w:lang w:val="pt-BR"/>
        </w:rPr>
        <w:t>O Software Assurance deverá ser adquirido por ocasião da aquisição da Licença ou na renovação do prazo de um Software Assurance existente.</w:t>
      </w:r>
      <w:r w:rsidR="00DD7735" w:rsidRPr="00734B50">
        <w:rPr>
          <w:rFonts w:ascii="Tahoma" w:hAnsi="Tahoma" w:cs="Tahoma"/>
          <w:sz w:val="18"/>
          <w:lang w:val="pt-BR"/>
        </w:rPr>
        <w:t xml:space="preserve"> </w:t>
      </w:r>
      <w:r w:rsidRPr="00734B50">
        <w:rPr>
          <w:rFonts w:ascii="Tahoma" w:hAnsi="Tahoma" w:cs="Tahoma"/>
          <w:sz w:val="18"/>
          <w:lang w:val="pt-BR"/>
        </w:rPr>
        <w:t>Caso contrário, eles deverão adquirir uma nova Licença ou Licença e Software Assurance a fim de atualizar sua Licença posteriormente (no caso do Sistema Operacional Windows Desktop, as opções são Atualização e Software Assurance).</w:t>
      </w:r>
      <w:r w:rsidR="00DD7735" w:rsidRPr="00734B50">
        <w:rPr>
          <w:rFonts w:ascii="Tahoma" w:hAnsi="Tahoma" w:cs="Tahoma"/>
          <w:sz w:val="18"/>
          <w:lang w:val="pt-BR"/>
        </w:rPr>
        <w:t xml:space="preserve"> </w:t>
      </w:r>
      <w:r w:rsidRPr="00734B50">
        <w:rPr>
          <w:rFonts w:ascii="Tahoma" w:hAnsi="Tahoma" w:cs="Tahoma"/>
          <w:sz w:val="18"/>
          <w:lang w:val="pt-BR"/>
        </w:rPr>
        <w:t>Consulte a seção sobre regras de renovação e o contrato do programa específico para saber as regras de qualificação que regem a aquisição do Software Assurance.</w:t>
      </w:r>
    </w:p>
    <w:p w:rsidR="004C08A3" w:rsidRPr="00734B50" w:rsidRDefault="004C08A3" w:rsidP="00B147AB">
      <w:pPr>
        <w:pStyle w:val="AppendixBodyText"/>
        <w:spacing w:after="0"/>
        <w:ind w:right="720"/>
        <w:rPr>
          <w:lang w:val="pt-BR"/>
        </w:rPr>
      </w:pPr>
    </w:p>
    <w:p w:rsidR="00456002" w:rsidRPr="00734B50" w:rsidRDefault="00456002" w:rsidP="00B147AB">
      <w:pPr>
        <w:pStyle w:val="AppendixBodyText"/>
        <w:spacing w:after="0"/>
        <w:ind w:right="720"/>
        <w:rPr>
          <w:lang w:val="pt-BR"/>
        </w:rPr>
      </w:pPr>
      <w:r w:rsidRPr="00734B50">
        <w:rPr>
          <w:rFonts w:ascii="Tahoma" w:hAnsi="Tahoma" w:cs="Tahoma"/>
          <w:sz w:val="18"/>
          <w:lang w:val="pt-BR"/>
        </w:rPr>
        <w:t xml:space="preserve">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 </w:t>
      </w:r>
    </w:p>
    <w:p w:rsidR="004C08A3" w:rsidRPr="00734B50" w:rsidRDefault="004C08A3" w:rsidP="00B147AB">
      <w:pPr>
        <w:pStyle w:val="AppendixBodyText"/>
        <w:spacing w:after="0"/>
        <w:ind w:right="720"/>
        <w:rPr>
          <w:lang w:val="pt-BR"/>
        </w:rPr>
      </w:pPr>
    </w:p>
    <w:p w:rsidR="00456002" w:rsidRPr="00734B50" w:rsidRDefault="00456002" w:rsidP="00B147AB">
      <w:pPr>
        <w:pStyle w:val="AppendixBodyText"/>
        <w:spacing w:after="0"/>
        <w:ind w:right="720"/>
        <w:rPr>
          <w:lang w:val="pt-BR"/>
        </w:rPr>
      </w:pPr>
      <w:r w:rsidRPr="00734B50">
        <w:rPr>
          <w:rFonts w:ascii="Tahoma" w:hAnsi="Tahoma" w:cs="Tahoma"/>
          <w:sz w:val="18"/>
          <w:lang w:val="pt-BR"/>
        </w:rPr>
        <w:t>Os clientes poderão ter a opção de adquirir o Software Assurance para determinadas licenças compradas no</w:t>
      </w:r>
      <w:r w:rsidR="001A4C1E" w:rsidRPr="00734B50">
        <w:rPr>
          <w:rFonts w:ascii="Tahoma" w:hAnsi="Tahoma" w:cs="Tahoma"/>
          <w:sz w:val="18"/>
          <w:lang w:val="pt-BR"/>
        </w:rPr>
        <w:t> </w:t>
      </w:r>
      <w:r w:rsidRPr="00734B50">
        <w:rPr>
          <w:rFonts w:ascii="Tahoma" w:hAnsi="Tahoma" w:cs="Tahoma"/>
          <w:sz w:val="18"/>
          <w:lang w:val="pt-BR"/>
        </w:rPr>
        <w:t>canal de Distribuição (produto em caixa) ou com um OEM (Fabricante de Equipamento Original). A</w:t>
      </w:r>
      <w:r w:rsidR="001A4C1E" w:rsidRPr="00734B50">
        <w:rPr>
          <w:rFonts w:ascii="Tahoma" w:hAnsi="Tahoma" w:cs="Tahoma"/>
          <w:sz w:val="18"/>
          <w:lang w:val="pt-BR"/>
        </w:rPr>
        <w:t> </w:t>
      </w:r>
      <w:r w:rsidRPr="00734B50">
        <w:rPr>
          <w:rFonts w:ascii="Tahoma" w:hAnsi="Tahoma" w:cs="Tahoma"/>
          <w:sz w:val="18"/>
          <w:lang w:val="pt-BR"/>
        </w:rPr>
        <w:t>qualificação varia de acordo com o programa, o pool de produtos e a fonte da licença (veja abaixo).</w:t>
      </w:r>
      <w:r w:rsidR="00DD7735" w:rsidRPr="00734B50">
        <w:rPr>
          <w:rFonts w:ascii="Tahoma" w:hAnsi="Tahoma" w:cs="Tahoma"/>
          <w:sz w:val="18"/>
          <w:lang w:val="pt-BR"/>
        </w:rPr>
        <w:t xml:space="preserve"> </w:t>
      </w:r>
      <w:r w:rsidRPr="00734B50">
        <w:rPr>
          <w:rFonts w:ascii="Tahoma" w:hAnsi="Tahoma" w:cs="Tahoma"/>
          <w:sz w:val="18"/>
          <w:lang w:val="pt-BR"/>
        </w:rPr>
        <w:t>Em</w:t>
      </w:r>
      <w:r w:rsidR="001A4C1E" w:rsidRPr="00734B50">
        <w:rPr>
          <w:rFonts w:ascii="Tahoma" w:hAnsi="Tahoma" w:cs="Tahoma"/>
          <w:sz w:val="18"/>
          <w:lang w:val="pt-BR"/>
        </w:rPr>
        <w:t> </w:t>
      </w:r>
      <w:r w:rsidRPr="00734B50">
        <w:rPr>
          <w:rFonts w:ascii="Tahoma" w:hAnsi="Tahoma" w:cs="Tahoma"/>
          <w:sz w:val="18"/>
          <w:lang w:val="pt-BR"/>
        </w:rPr>
        <w:t>todos os casos, a menos que seja indicado ao contrário, somente as licenças da versão mais recente de um produto estarão qualificadas, e o Software Assurance deverá ser adquirido no prazo de 90 dias a partir da data de aquisição das licenças.</w:t>
      </w:r>
      <w:r w:rsidR="00DD7735" w:rsidRPr="00734B50">
        <w:rPr>
          <w:rFonts w:ascii="Tahoma" w:hAnsi="Tahoma" w:cs="Tahoma"/>
          <w:sz w:val="18"/>
          <w:lang w:val="pt-BR"/>
        </w:rPr>
        <w:t xml:space="preserve"> </w:t>
      </w:r>
      <w:r w:rsidRPr="00734B50">
        <w:rPr>
          <w:rFonts w:ascii="Tahoma" w:hAnsi="Tahoma" w:cs="Tahoma"/>
          <w:sz w:val="18"/>
          <w:lang w:val="pt-BR"/>
        </w:rPr>
        <w:t>No Open Value, essa opção aplica-se apenas a produtos com licença não extensiva a toda a Organização/Empresa.</w:t>
      </w:r>
      <w:r w:rsidR="00DD7735" w:rsidRPr="00734B50">
        <w:rPr>
          <w:rFonts w:ascii="Tahoma" w:hAnsi="Tahoma" w:cs="Tahoma"/>
          <w:sz w:val="18"/>
          <w:lang w:val="pt-BR"/>
        </w:rPr>
        <w:t xml:space="preserve"> </w:t>
      </w:r>
      <w:r w:rsidRPr="00734B50">
        <w:rPr>
          <w:rFonts w:ascii="Tahoma" w:hAnsi="Tahoma" w:cs="Tahoma"/>
          <w:sz w:val="18"/>
          <w:lang w:val="pt-BR"/>
        </w:rPr>
        <w:t>Nos Contratos Enterprise, aplica-se apenas a Produtos Adicionais no prazo de 90 dias.</w:t>
      </w:r>
      <w:r w:rsidR="00DD7735" w:rsidRPr="00734B50">
        <w:rPr>
          <w:rFonts w:ascii="Tahoma" w:hAnsi="Tahoma" w:cs="Tahoma"/>
          <w:sz w:val="18"/>
          <w:lang w:val="pt-BR"/>
        </w:rPr>
        <w:t xml:space="preserve"> </w:t>
      </w:r>
      <w:r w:rsidRPr="00734B50">
        <w:rPr>
          <w:rFonts w:ascii="Tahoma" w:hAnsi="Tahoma" w:cs="Tahoma"/>
          <w:sz w:val="18"/>
          <w:lang w:val="pt-BR"/>
        </w:rPr>
        <w:t>Os clientes que adquirirem o Software Assurance para licenças OEM ou licenças para o</w:t>
      </w:r>
      <w:r w:rsidR="001A4C1E" w:rsidRPr="00734B50">
        <w:rPr>
          <w:rFonts w:ascii="Tahoma" w:hAnsi="Tahoma" w:cs="Tahoma"/>
          <w:sz w:val="18"/>
          <w:lang w:val="pt-BR"/>
        </w:rPr>
        <w:t> </w:t>
      </w:r>
      <w:r w:rsidRPr="00734B50">
        <w:rPr>
          <w:rFonts w:ascii="Tahoma" w:hAnsi="Tahoma" w:cs="Tahoma"/>
          <w:sz w:val="18"/>
          <w:lang w:val="pt-BR"/>
        </w:rPr>
        <w:t>varejo têm a opção de instalar e usar o software do Licenciamento por Volume para a versão atual a qualquer momento.</w:t>
      </w:r>
      <w:r w:rsidR="00DD7735" w:rsidRPr="00734B50">
        <w:rPr>
          <w:rFonts w:ascii="Tahoma" w:hAnsi="Tahoma" w:cs="Tahoma"/>
          <w:sz w:val="18"/>
          <w:lang w:val="pt-BR"/>
        </w:rPr>
        <w:t xml:space="preserve"> </w:t>
      </w:r>
      <w:r w:rsidRPr="00734B50">
        <w:rPr>
          <w:rFonts w:ascii="Tahoma" w:hAnsi="Tahoma" w:cs="Tahoma"/>
          <w:sz w:val="18"/>
          <w:lang w:val="pt-BR"/>
        </w:rPr>
        <w:t>Nesse caso, o uso do software estará sujeito aos Direitos de Uso desse produto e aos termos e condições do Contrato de Licença por Volume do cliente.</w:t>
      </w:r>
    </w:p>
    <w:p w:rsidR="00456002" w:rsidRPr="00734B50" w:rsidRDefault="00456002" w:rsidP="00B147AB">
      <w:pPr>
        <w:pStyle w:val="AppendixIndent"/>
        <w:spacing w:before="0"/>
        <w:ind w:left="0" w:right="720"/>
        <w:rPr>
          <w:lang w:val="pt-BR"/>
        </w:rPr>
      </w:pPr>
    </w:p>
    <w:p w:rsidR="001A4C1E" w:rsidRPr="00734B50" w:rsidRDefault="001A4C1E" w:rsidP="00B147AB">
      <w:pPr>
        <w:pStyle w:val="AppendixIndent"/>
        <w:spacing w:before="0"/>
        <w:ind w:left="0" w:right="720"/>
        <w:rPr>
          <w:lang w:val="pt-BR"/>
        </w:rPr>
      </w:pPr>
    </w:p>
    <w:p w:rsidR="001A4C1E" w:rsidRPr="00734B50" w:rsidRDefault="001A4C1E" w:rsidP="00B147AB">
      <w:pPr>
        <w:pStyle w:val="AppendixIndent"/>
        <w:spacing w:before="0"/>
        <w:ind w:left="0" w:right="720"/>
        <w:rPr>
          <w:lang w:val="pt-B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653421"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734B50" w:rsidRDefault="00456002" w:rsidP="005C647E">
            <w:pPr>
              <w:pStyle w:val="AppendixTableHeadings"/>
              <w:rPr>
                <w:rFonts w:ascii="Tahoma" w:hAnsi="Tahoma" w:cs="Tahoma"/>
                <w:sz w:val="20"/>
                <w:szCs w:val="20"/>
                <w:lang w:val="pt-BR"/>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53421" w:rsidRDefault="00456002" w:rsidP="001A4C1E">
            <w:pPr>
              <w:pStyle w:val="AppendixTableHeadings"/>
              <w:rPr>
                <w:rFonts w:ascii="Tahoma" w:hAnsi="Tahoma" w:cs="Tahoma"/>
                <w:sz w:val="20"/>
              </w:rPr>
            </w:pPr>
            <w:r w:rsidRPr="00653421">
              <w:rPr>
                <w:rFonts w:ascii="Tahoma" w:hAnsi="Tahoma" w:cs="Tahoma"/>
                <w:sz w:val="20"/>
              </w:rPr>
              <w:t>Produtos em</w:t>
            </w:r>
            <w:r w:rsidR="001A4C1E" w:rsidRPr="00653421">
              <w:rPr>
                <w:rFonts w:ascii="Tahoma" w:hAnsi="Tahoma" w:cs="Tahoma"/>
                <w:sz w:val="20"/>
              </w:rPr>
              <w:t> </w:t>
            </w:r>
            <w:r w:rsidRPr="00653421">
              <w:rPr>
                <w:rFonts w:ascii="Tahoma" w:hAnsi="Tahoma" w:cs="Tahoma"/>
                <w:sz w:val="20"/>
              </w:rPr>
              <w:t>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53421" w:rsidRDefault="00456002" w:rsidP="005C647E">
            <w:pPr>
              <w:pStyle w:val="AppendixTableHeadings"/>
              <w:rPr>
                <w:rFonts w:ascii="Tahoma" w:hAnsi="Tahoma" w:cs="Tahoma"/>
                <w:sz w:val="20"/>
              </w:rPr>
            </w:pPr>
            <w:r w:rsidRPr="00653421">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653421" w:rsidRDefault="00456002" w:rsidP="005C647E">
            <w:pPr>
              <w:pStyle w:val="AppendixTableHeadings"/>
              <w:rPr>
                <w:rFonts w:ascii="Tahoma" w:hAnsi="Tahoma" w:cs="Tahoma"/>
                <w:sz w:val="20"/>
              </w:rPr>
            </w:pPr>
            <w:r w:rsidRPr="00653421">
              <w:rPr>
                <w:rFonts w:ascii="Tahoma" w:hAnsi="Tahoma" w:cs="Tahoma"/>
                <w:sz w:val="20"/>
              </w:rPr>
              <w:t>Programas</w:t>
            </w:r>
          </w:p>
        </w:tc>
      </w:tr>
      <w:tr w:rsidR="00456002" w:rsidRPr="00E04628"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pStyle w:val="AppendixTableText"/>
              <w:rPr>
                <w:rFonts w:ascii="Tahoma" w:hAnsi="Tahoma" w:cs="Tahoma"/>
                <w:b/>
                <w:color w:val="000000"/>
                <w:sz w:val="20"/>
                <w:szCs w:val="20"/>
              </w:rPr>
            </w:pPr>
            <w:r w:rsidRPr="00653421">
              <w:rPr>
                <w:rFonts w:ascii="Tahoma" w:hAnsi="Tahoma" w:cs="Tahoma"/>
                <w:b/>
                <w:color w:val="000000"/>
                <w:sz w:val="20"/>
                <w:szCs w:val="20"/>
              </w:rPr>
              <w:t xml:space="preserve">Pool de aplicativos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pStyle w:val="AppendixTableText"/>
              <w:rPr>
                <w:rFonts w:ascii="Tahoma" w:hAnsi="Tahoma" w:cs="Tahoma"/>
                <w:color w:val="000000"/>
              </w:rPr>
            </w:pPr>
            <w:r w:rsidRPr="00653421">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734B50" w:rsidRDefault="00456002" w:rsidP="005C647E">
            <w:pPr>
              <w:pStyle w:val="AppendixTableText"/>
              <w:rPr>
                <w:rFonts w:ascii="Tahoma" w:hAnsi="Tahoma" w:cs="Tahoma"/>
                <w:color w:val="000000"/>
                <w:lang w:val="pt-BR"/>
              </w:rPr>
            </w:pPr>
            <w:r w:rsidRPr="00734B50">
              <w:rPr>
                <w:rFonts w:ascii="Tahoma" w:hAnsi="Tahoma" w:cs="Tahoma"/>
                <w:color w:val="000000"/>
                <w:lang w:val="pt-BR"/>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734B50" w:rsidRDefault="00456002" w:rsidP="005C647E">
            <w:pPr>
              <w:pStyle w:val="AppendixTableText"/>
              <w:jc w:val="left"/>
              <w:rPr>
                <w:rFonts w:ascii="Tahoma" w:hAnsi="Tahoma" w:cs="Tahoma"/>
                <w:color w:val="000000"/>
                <w:lang w:val="pt-BR"/>
              </w:rPr>
            </w:pPr>
            <w:r w:rsidRPr="00734B50">
              <w:rPr>
                <w:rFonts w:ascii="Tahoma" w:hAnsi="Tahoma" w:cs="Tahoma"/>
                <w:color w:val="000000"/>
                <w:lang w:val="pt-BR"/>
              </w:rPr>
              <w:t xml:space="preserve">Aplica-se a Licença Open, Select, Select Plus e Licença não </w:t>
            </w:r>
            <w:r w:rsidRPr="00734B50">
              <w:rPr>
                <w:rFonts w:ascii="Tahoma" w:hAnsi="Tahoma" w:cs="Tahoma"/>
                <w:lang w:val="pt-BR"/>
              </w:rPr>
              <w:t>extensiva a toda a Organização/Empresa</w:t>
            </w:r>
            <w:r w:rsidRPr="00734B50">
              <w:rPr>
                <w:rFonts w:ascii="Tahoma" w:hAnsi="Tahoma" w:cs="Tahoma"/>
                <w:color w:val="000000"/>
                <w:lang w:val="pt-BR"/>
              </w:rPr>
              <w:t xml:space="preserve"> sob Open Value e Produtos Adicionais sob Contratos Enterprise. Não se aplica a Produtos Enterprise sob Open Value e Contratos Enterprise</w:t>
            </w:r>
          </w:p>
        </w:tc>
      </w:tr>
      <w:tr w:rsidR="00456002" w:rsidRPr="00653421"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pStyle w:val="AppendixTableText"/>
              <w:rPr>
                <w:rFonts w:ascii="Tahoma" w:hAnsi="Tahoma" w:cs="Tahoma"/>
                <w:b/>
                <w:color w:val="000000"/>
                <w:sz w:val="20"/>
                <w:szCs w:val="20"/>
              </w:rPr>
            </w:pPr>
            <w:r w:rsidRPr="00653421">
              <w:rPr>
                <w:rFonts w:ascii="Tahoma" w:hAnsi="Tahoma" w:cs="Tahoma"/>
                <w:b/>
                <w:color w:val="000000"/>
                <w:sz w:val="20"/>
                <w:szCs w:val="20"/>
              </w:rPr>
              <w:t xml:space="preserve">Pool de sistemas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pStyle w:val="AppendixTableText"/>
              <w:rPr>
                <w:rFonts w:ascii="Tahoma" w:hAnsi="Tahoma" w:cs="Tahoma"/>
                <w:color w:val="000000"/>
              </w:rPr>
            </w:pPr>
            <w:r w:rsidRPr="00653421">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pStyle w:val="AppendixTableText"/>
              <w:rPr>
                <w:rFonts w:ascii="Tahoma" w:hAnsi="Tahoma" w:cs="Tahoma"/>
                <w:color w:val="000000"/>
              </w:rPr>
            </w:pPr>
            <w:r w:rsidRPr="00653421">
              <w:rPr>
                <w:rFonts w:ascii="Tahoma" w:hAnsi="Tahoma" w:cs="Tahoma"/>
                <w:color w:val="000000"/>
              </w:rPr>
              <w:t xml:space="preserve">SA disponível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rPr>
                <w:rFonts w:cs="Tahoma"/>
                <w:color w:val="000000"/>
                <w:szCs w:val="18"/>
              </w:rPr>
            </w:pPr>
          </w:p>
        </w:tc>
      </w:tr>
      <w:tr w:rsidR="00456002" w:rsidRPr="00653421"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pStyle w:val="AppendixTableText"/>
              <w:rPr>
                <w:rFonts w:ascii="Tahoma" w:hAnsi="Tahoma" w:cs="Tahoma"/>
                <w:b/>
                <w:color w:val="000000"/>
                <w:sz w:val="20"/>
                <w:szCs w:val="20"/>
              </w:rPr>
            </w:pPr>
            <w:r w:rsidRPr="00653421">
              <w:rPr>
                <w:rFonts w:ascii="Tahoma" w:hAnsi="Tahoma" w:cs="Tahoma"/>
                <w:b/>
                <w:color w:val="000000"/>
                <w:sz w:val="20"/>
                <w:szCs w:val="20"/>
              </w:rPr>
              <w:t>Pool de Servidores</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pStyle w:val="AppendixTableText"/>
              <w:rPr>
                <w:rFonts w:ascii="Tahoma" w:hAnsi="Tahoma" w:cs="Tahoma"/>
                <w:color w:val="000000"/>
              </w:rPr>
            </w:pPr>
            <w:r w:rsidRPr="00653421">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pStyle w:val="AppendixTableText"/>
              <w:rPr>
                <w:rFonts w:ascii="Tahoma" w:hAnsi="Tahoma" w:cs="Tahoma"/>
                <w:color w:val="000000"/>
              </w:rPr>
            </w:pPr>
            <w:r w:rsidRPr="00653421">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653421" w:rsidRDefault="00456002" w:rsidP="005C647E">
            <w:pPr>
              <w:rPr>
                <w:rFonts w:cs="Tahoma"/>
                <w:color w:val="000000"/>
                <w:szCs w:val="18"/>
              </w:rPr>
            </w:pPr>
          </w:p>
        </w:tc>
      </w:tr>
    </w:tbl>
    <w:p w:rsidR="00456002" w:rsidRPr="00653421" w:rsidRDefault="00456002" w:rsidP="00456002">
      <w:pPr>
        <w:ind w:right="720"/>
      </w:pPr>
    </w:p>
    <w:p w:rsidR="00456002" w:rsidRPr="00734B50" w:rsidRDefault="00456002" w:rsidP="00B147AB">
      <w:pPr>
        <w:pStyle w:val="AppendixBodyText"/>
        <w:spacing w:after="0"/>
        <w:ind w:right="720"/>
        <w:rPr>
          <w:lang w:val="pt-BR"/>
        </w:rPr>
      </w:pPr>
      <w:r w:rsidRPr="00734B50">
        <w:rPr>
          <w:rFonts w:ascii="Tahoma" w:hAnsi="Tahoma" w:cs="Tahoma"/>
          <w:sz w:val="18"/>
          <w:szCs w:val="18"/>
          <w:lang w:val="pt-BR"/>
        </w:rPr>
        <w:t>Os clientes que adquirirem o Microsoft Office Professional 2010 com um OEM poderão adquirir o Software Assurance para Microsoft Office Standard 2010 nos programas Licença Open, nos programas Select e Select Plus, e na Licença não extensiva a toda a empresa sob Open Value no prazo de 90 dias a partir da data da compra com o OEM. Os Cartões de Chave de Produto (PKC) do Office são considerados uma oferta de Produto em Caixa (Varejo) e não são qualificados para a opção de adquirir o Software Assurance.</w:t>
      </w:r>
    </w:p>
    <w:p w:rsidR="00255158" w:rsidRPr="00734B50" w:rsidRDefault="00255158" w:rsidP="00B147AB">
      <w:pPr>
        <w:pStyle w:val="AppendixBodyText"/>
        <w:spacing w:after="0"/>
        <w:ind w:right="720"/>
        <w:rPr>
          <w:lang w:val="pt-BR"/>
        </w:rPr>
      </w:pPr>
    </w:p>
    <w:p w:rsidR="00456002" w:rsidRPr="00734B50" w:rsidRDefault="00456002" w:rsidP="00456002">
      <w:pPr>
        <w:pStyle w:val="Heading2"/>
        <w:ind w:left="0" w:right="720"/>
        <w:rPr>
          <w:lang w:val="pt-BR"/>
        </w:rPr>
      </w:pPr>
      <w:bookmarkStart w:id="702" w:name="_Toc323819651"/>
      <w:bookmarkStart w:id="703" w:name="_Toc336338202"/>
      <w:bookmarkStart w:id="704" w:name="_Toc353470850"/>
      <w:r w:rsidRPr="00734B50">
        <w:rPr>
          <w:rFonts w:ascii="Tahoma" w:hAnsi="Tahoma" w:cs="Tahoma"/>
          <w:lang w:val="pt-BR"/>
        </w:rPr>
        <w:t>Licenças Step-up</w:t>
      </w:r>
      <w:bookmarkEnd w:id="702"/>
      <w:bookmarkEnd w:id="703"/>
      <w:bookmarkEnd w:id="704"/>
    </w:p>
    <w:p w:rsidR="00456002" w:rsidRPr="00734B50" w:rsidRDefault="00456002" w:rsidP="00B147AB">
      <w:pPr>
        <w:ind w:right="720"/>
        <w:rPr>
          <w:lang w:val="pt-BR"/>
        </w:rPr>
      </w:pPr>
    </w:p>
    <w:p w:rsidR="00456002" w:rsidRPr="00734B50" w:rsidRDefault="00456002" w:rsidP="00B147AB">
      <w:pPr>
        <w:pStyle w:val="AppendixIndent"/>
        <w:ind w:left="0" w:right="720"/>
        <w:rPr>
          <w:lang w:val="pt-BR"/>
        </w:rPr>
      </w:pPr>
      <w:r w:rsidRPr="00734B50">
        <w:rPr>
          <w:rFonts w:ascii="Tahoma" w:hAnsi="Tahoma" w:cs="Tahoma"/>
          <w:sz w:val="18"/>
          <w:lang w:val="pt-BR"/>
        </w:rPr>
        <w:t>Os clientes podem migrar da edição padrão para uma edição premium de determinados produtos com uma</w:t>
      </w:r>
      <w:r w:rsidR="009C2B16" w:rsidRPr="00734B50">
        <w:rPr>
          <w:rFonts w:ascii="Tahoma" w:hAnsi="Tahoma" w:cs="Tahoma"/>
          <w:sz w:val="18"/>
          <w:lang w:val="pt-BR"/>
        </w:rPr>
        <w:t> </w:t>
      </w:r>
      <w:r w:rsidRPr="00734B50">
        <w:rPr>
          <w:rFonts w:ascii="Tahoma" w:hAnsi="Tahoma" w:cs="Tahoma"/>
          <w:sz w:val="18"/>
          <w:lang w:val="pt-BR"/>
        </w:rPr>
        <w:t xml:space="preserve">Licença Step-up. Os clientes devem ter uma licença </w:t>
      </w:r>
      <w:r w:rsidRPr="00734B50">
        <w:rPr>
          <w:rFonts w:ascii="Tahoma" w:hAnsi="Tahoma" w:cs="Tahoma"/>
          <w:sz w:val="18"/>
          <w:szCs w:val="18"/>
          <w:lang w:val="pt-BR"/>
        </w:rPr>
        <w:t xml:space="preserve">com Software </w:t>
      </w:r>
      <w:r w:rsidRPr="00734B50">
        <w:rPr>
          <w:rFonts w:ascii="Tahoma" w:hAnsi="Tahoma" w:cs="Tahoma"/>
          <w:color w:val="000000"/>
          <w:sz w:val="18"/>
          <w:szCs w:val="18"/>
          <w:lang w:val="pt-BR"/>
        </w:rPr>
        <w:t>Assurance ativo para o produto qualificado para adquirir essa Licença Step-up.</w:t>
      </w:r>
      <w:r w:rsidR="00DD7735"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A Licença Step-up deve ser adquirida, e é válida apenas quando adquirida, sob os mesmos contrato e registro do Programa de Licenciamento por Volume (se</w:t>
      </w:r>
      <w:r w:rsidR="009C2B16" w:rsidRPr="00734B50">
        <w:rPr>
          <w:rFonts w:ascii="Tahoma" w:hAnsi="Tahoma" w:cs="Tahoma"/>
          <w:color w:val="000000"/>
          <w:sz w:val="18"/>
          <w:szCs w:val="18"/>
          <w:lang w:val="pt-BR"/>
        </w:rPr>
        <w:t> </w:t>
      </w:r>
      <w:r w:rsidRPr="00734B50">
        <w:rPr>
          <w:rFonts w:ascii="Tahoma" w:hAnsi="Tahoma" w:cs="Tahoma"/>
          <w:color w:val="000000"/>
          <w:sz w:val="18"/>
          <w:szCs w:val="18"/>
          <w:lang w:val="pt-BR"/>
        </w:rPr>
        <w:t xml:space="preserve">houver), sob o qual a cobertura de proteção de atualização do produto qualificado foi originalmente adquirida. </w:t>
      </w:r>
      <w:r w:rsidRPr="00734B50">
        <w:rPr>
          <w:rFonts w:ascii="Tahoma" w:hAnsi="Tahoma" w:cs="Tahoma"/>
          <w:color w:val="000000"/>
          <w:sz w:val="18"/>
          <w:lang w:val="pt-BR"/>
        </w:rPr>
        <w:t>O direito de uso de software do cliente sob uma licença Step-up está condicionado à posse e</w:t>
      </w:r>
      <w:r w:rsidR="009C2B16" w:rsidRPr="00734B50">
        <w:rPr>
          <w:rFonts w:ascii="Tahoma" w:hAnsi="Tahoma" w:cs="Tahoma"/>
          <w:color w:val="000000"/>
          <w:sz w:val="18"/>
          <w:lang w:val="pt-BR"/>
        </w:rPr>
        <w:t> </w:t>
      </w:r>
      <w:r w:rsidRPr="00734B50">
        <w:rPr>
          <w:rFonts w:ascii="Tahoma" w:hAnsi="Tahoma" w:cs="Tahoma"/>
          <w:color w:val="000000"/>
          <w:sz w:val="18"/>
          <w:lang w:val="pt-BR"/>
        </w:rPr>
        <w:t xml:space="preserve">manutenção de uma Licença do </w:t>
      </w:r>
      <w:r w:rsidRPr="00734B50">
        <w:rPr>
          <w:rFonts w:ascii="Tahoma" w:hAnsi="Tahoma" w:cs="Tahoma"/>
          <w:sz w:val="18"/>
          <w:lang w:val="pt-BR"/>
        </w:rPr>
        <w:t>produto qualificado.</w:t>
      </w:r>
      <w:r w:rsidR="00DD7735" w:rsidRPr="00734B50">
        <w:rPr>
          <w:rFonts w:ascii="Tahoma" w:hAnsi="Tahoma" w:cs="Tahoma"/>
          <w:sz w:val="18"/>
          <w:lang w:val="pt-BR"/>
        </w:rPr>
        <w:t xml:space="preserve"> </w:t>
      </w:r>
      <w:r w:rsidRPr="00734B50">
        <w:rPr>
          <w:rFonts w:ascii="Tahoma" w:hAnsi="Tahoma" w:cs="Tahoma"/>
          <w:sz w:val="18"/>
          <w:lang w:val="pt-BR"/>
        </w:rPr>
        <w:t xml:space="preserve">Os clientes não podem transferir a Licença do produto qualificado separadamente da licença </w:t>
      </w:r>
      <w:r w:rsidRPr="00734B50">
        <w:rPr>
          <w:rFonts w:ascii="Tahoma" w:hAnsi="Tahoma" w:cs="Tahoma"/>
          <w:sz w:val="18"/>
          <w:szCs w:val="18"/>
          <w:lang w:val="pt-BR"/>
        </w:rPr>
        <w:t>Step-up.</w:t>
      </w:r>
      <w:r w:rsidR="00DD7735" w:rsidRPr="00734B50">
        <w:rPr>
          <w:rFonts w:ascii="Tahoma" w:hAnsi="Tahoma" w:cs="Tahoma"/>
          <w:sz w:val="18"/>
          <w:szCs w:val="18"/>
          <w:lang w:val="pt-BR"/>
        </w:rPr>
        <w:t xml:space="preserve"> </w:t>
      </w:r>
      <w:r w:rsidRPr="00734B50">
        <w:rPr>
          <w:rFonts w:ascii="Tahoma" w:hAnsi="Tahoma" w:cs="Tahoma"/>
          <w:sz w:val="18"/>
          <w:szCs w:val="18"/>
          <w:lang w:val="pt-BR"/>
        </w:rPr>
        <w:t>Para obter mais detalhes e informações sobre a</w:t>
      </w:r>
      <w:r w:rsidR="009C2B16" w:rsidRPr="00734B50">
        <w:rPr>
          <w:rFonts w:ascii="Tahoma" w:hAnsi="Tahoma" w:cs="Tahoma"/>
          <w:sz w:val="18"/>
          <w:szCs w:val="18"/>
          <w:lang w:val="pt-BR"/>
        </w:rPr>
        <w:t> </w:t>
      </w:r>
      <w:r w:rsidRPr="00734B50">
        <w:rPr>
          <w:rFonts w:ascii="Tahoma" w:hAnsi="Tahoma" w:cs="Tahoma"/>
          <w:sz w:val="18"/>
          <w:szCs w:val="18"/>
          <w:lang w:val="pt-BR"/>
        </w:rPr>
        <w:t>disponibilidade da licença, consulte o Resumo de Licenciamento por Volume da Licença Step-up para Enterprise Edition no site: http://</w:t>
      </w:r>
      <w:hyperlink r:id="rId21" w:history="1">
        <w:r w:rsidRPr="00734B50">
          <w:rPr>
            <w:rStyle w:val="Hyperlink"/>
            <w:rFonts w:ascii="Tahoma" w:hAnsi="Tahoma" w:cs="Tahoma"/>
            <w:sz w:val="18"/>
            <w:szCs w:val="18"/>
            <w:lang w:val="pt-BR"/>
          </w:rPr>
          <w:t>www.microsoft.com/licensing</w:t>
        </w:r>
      </w:hyperlink>
      <w:r w:rsidRPr="00734B50">
        <w:rPr>
          <w:rFonts w:ascii="Tahoma" w:hAnsi="Tahoma" w:cs="Tahoma"/>
          <w:sz w:val="18"/>
          <w:szCs w:val="18"/>
          <w:lang w:val="pt-BR"/>
        </w:rPr>
        <w:t>.</w:t>
      </w:r>
    </w:p>
    <w:p w:rsidR="00ED589D" w:rsidRPr="00734B50" w:rsidRDefault="00ED589D" w:rsidP="00ED589D">
      <w:pPr>
        <w:rPr>
          <w:lang w:val="pt-BR"/>
        </w:rPr>
      </w:pPr>
    </w:p>
    <w:p w:rsidR="00456002" w:rsidRPr="00734B50" w:rsidRDefault="00456002" w:rsidP="00456002">
      <w:pPr>
        <w:pStyle w:val="Heading2"/>
        <w:ind w:left="0" w:right="720"/>
        <w:rPr>
          <w:lang w:val="pt-BR"/>
        </w:rPr>
      </w:pPr>
      <w:bookmarkStart w:id="705" w:name="_Toc323819652"/>
      <w:bookmarkStart w:id="706" w:name="_Toc336338203"/>
      <w:bookmarkStart w:id="707" w:name="_Toc353470851"/>
      <w:r w:rsidRPr="00734B50">
        <w:rPr>
          <w:rFonts w:ascii="Tahoma" w:hAnsi="Tahoma" w:cs="Tahoma"/>
          <w:lang w:val="pt-BR"/>
        </w:rPr>
        <w:t>Licenças de Assinatura</w:t>
      </w:r>
      <w:bookmarkEnd w:id="705"/>
      <w:bookmarkEnd w:id="706"/>
      <w:bookmarkEnd w:id="707"/>
      <w:r w:rsidRPr="00734B50">
        <w:rPr>
          <w:rFonts w:ascii="Tahoma" w:hAnsi="Tahoma" w:cs="Tahoma"/>
          <w:lang w:val="pt-BR"/>
        </w:rPr>
        <w:t xml:space="preserve"> </w:t>
      </w:r>
    </w:p>
    <w:p w:rsidR="00456002" w:rsidRPr="00734B50" w:rsidRDefault="00456002" w:rsidP="007C05C1">
      <w:pPr>
        <w:ind w:right="720"/>
        <w:rPr>
          <w:lang w:val="pt-BR"/>
        </w:rPr>
      </w:pPr>
    </w:p>
    <w:p w:rsidR="00456002" w:rsidRPr="00653421" w:rsidRDefault="00456002" w:rsidP="00B147AB">
      <w:pPr>
        <w:pStyle w:val="AppendixIndent"/>
        <w:spacing w:before="0"/>
        <w:ind w:left="0" w:right="720"/>
      </w:pPr>
      <w:r w:rsidRPr="00734B50">
        <w:rPr>
          <w:rFonts w:ascii="Tahoma" w:hAnsi="Tahoma" w:cs="Tahoma"/>
          <w:sz w:val="18"/>
          <w:lang w:val="pt-BR"/>
        </w:rPr>
        <w:t>Este tipo de produto está disponível para Serviços Online e alguns produtos de software, não é específico à</w:t>
      </w:r>
      <w:r w:rsidR="009C2B16" w:rsidRPr="00734B50">
        <w:rPr>
          <w:rFonts w:ascii="Tahoma" w:hAnsi="Tahoma" w:cs="Tahoma"/>
          <w:sz w:val="18"/>
          <w:lang w:val="pt-BR"/>
        </w:rPr>
        <w:t> </w:t>
      </w:r>
      <w:r w:rsidRPr="00734B50">
        <w:rPr>
          <w:rFonts w:ascii="Tahoma" w:hAnsi="Tahoma" w:cs="Tahoma"/>
          <w:sz w:val="18"/>
          <w:lang w:val="pt-BR"/>
        </w:rPr>
        <w:t>versão e permite que os clientes usem o software e, no caso de um Serviço Online, o serviço durante o</w:t>
      </w:r>
      <w:r w:rsidR="009C2B16" w:rsidRPr="00734B50">
        <w:rPr>
          <w:rFonts w:ascii="Tahoma" w:hAnsi="Tahoma" w:cs="Tahoma"/>
          <w:sz w:val="18"/>
          <w:lang w:val="pt-BR"/>
        </w:rPr>
        <w:t> </w:t>
      </w:r>
      <w:r w:rsidRPr="00734B50">
        <w:rPr>
          <w:rFonts w:ascii="Tahoma" w:hAnsi="Tahoma" w:cs="Tahoma"/>
          <w:sz w:val="18"/>
          <w:lang w:val="pt-BR"/>
        </w:rPr>
        <w:t>prazo do registro Select ou Enterprise ou do contrato Open sob o qual ele foi adquirido.</w:t>
      </w:r>
      <w:r w:rsidR="00DD7735" w:rsidRPr="00734B50">
        <w:rPr>
          <w:rFonts w:ascii="Tahoma" w:hAnsi="Tahoma" w:cs="Tahoma"/>
          <w:sz w:val="18"/>
          <w:lang w:val="pt-BR"/>
        </w:rPr>
        <w:t xml:space="preserve"> </w:t>
      </w:r>
      <w:r w:rsidRPr="00734B50">
        <w:rPr>
          <w:rFonts w:ascii="Tahoma" w:hAnsi="Tahoma" w:cs="Tahoma"/>
          <w:sz w:val="18"/>
          <w:lang w:val="pt-BR"/>
        </w:rPr>
        <w:t>As licenças de</w:t>
      </w:r>
      <w:r w:rsidR="009C2B16" w:rsidRPr="00734B50">
        <w:rPr>
          <w:rFonts w:ascii="Tahoma" w:hAnsi="Tahoma" w:cs="Tahoma"/>
          <w:sz w:val="18"/>
          <w:lang w:val="pt-BR"/>
        </w:rPr>
        <w:t> </w:t>
      </w:r>
      <w:r w:rsidRPr="00734B50">
        <w:rPr>
          <w:rFonts w:ascii="Tahoma" w:hAnsi="Tahoma" w:cs="Tahoma"/>
          <w:sz w:val="18"/>
          <w:lang w:val="pt-BR"/>
        </w:rPr>
        <w:t>assinatura adquiridas sob um Contrato Enterprise ou um Contrato Enterprise Subscription deverão ser</w:t>
      </w:r>
      <w:r w:rsidR="009C2B16" w:rsidRPr="00734B50">
        <w:rPr>
          <w:rFonts w:ascii="Tahoma" w:hAnsi="Tahoma" w:cs="Tahoma"/>
          <w:sz w:val="18"/>
          <w:lang w:val="pt-BR"/>
        </w:rPr>
        <w:t> </w:t>
      </w:r>
      <w:r w:rsidRPr="00734B50">
        <w:rPr>
          <w:rFonts w:ascii="Tahoma" w:hAnsi="Tahoma" w:cs="Tahoma"/>
          <w:sz w:val="18"/>
          <w:lang w:val="pt-BR"/>
        </w:rPr>
        <w:t xml:space="preserve">adquiridas na ocasião do primeiro acesso ao serviço e são rateadas com base no número de meses restantes no prazo do registro ou contrato. </w:t>
      </w:r>
      <w:r w:rsidRPr="00653421">
        <w:rPr>
          <w:rFonts w:ascii="Tahoma" w:hAnsi="Tahoma" w:cs="Tahoma"/>
          <w:sz w:val="18"/>
        </w:rPr>
        <w:t xml:space="preserve">Estão disponíveis nos seguintes programas: </w:t>
      </w:r>
    </w:p>
    <w:p w:rsidR="00456002" w:rsidRPr="00653421" w:rsidRDefault="00456002" w:rsidP="00B147AB">
      <w:pPr>
        <w:pStyle w:val="AppendixIndent"/>
        <w:spacing w:before="0"/>
        <w:ind w:left="0" w:right="720"/>
      </w:pPr>
    </w:p>
    <w:p w:rsidR="00456002" w:rsidRPr="00653421" w:rsidRDefault="00456002" w:rsidP="002C1048">
      <w:pPr>
        <w:pStyle w:val="AppendixBulletIndent"/>
        <w:numPr>
          <w:ilvl w:val="0"/>
          <w:numId w:val="84"/>
        </w:numPr>
        <w:tabs>
          <w:tab w:val="left" w:pos="1440"/>
        </w:tabs>
        <w:spacing w:after="60"/>
        <w:ind w:left="1440" w:right="720"/>
      </w:pPr>
      <w:r w:rsidRPr="00653421">
        <w:rPr>
          <w:rFonts w:ascii="Tahoma" w:hAnsi="Tahoma" w:cs="Tahoma"/>
          <w:sz w:val="18"/>
        </w:rPr>
        <w:t>Open Value</w:t>
      </w:r>
    </w:p>
    <w:p w:rsidR="00456002" w:rsidRPr="00653421" w:rsidRDefault="00456002" w:rsidP="002C1048">
      <w:pPr>
        <w:pStyle w:val="AppendixBulletIndent"/>
        <w:numPr>
          <w:ilvl w:val="0"/>
          <w:numId w:val="84"/>
        </w:numPr>
        <w:tabs>
          <w:tab w:val="left" w:pos="1440"/>
        </w:tabs>
        <w:spacing w:after="60"/>
        <w:ind w:left="1440" w:right="720"/>
      </w:pPr>
      <w:r w:rsidRPr="00653421">
        <w:rPr>
          <w:rFonts w:ascii="Tahoma" w:hAnsi="Tahoma" w:cs="Tahoma"/>
          <w:sz w:val="18"/>
        </w:rPr>
        <w:t xml:space="preserve">Open Value Subscription </w:t>
      </w:r>
    </w:p>
    <w:p w:rsidR="00456002" w:rsidRPr="00653421" w:rsidRDefault="00456002" w:rsidP="002C1048">
      <w:pPr>
        <w:pStyle w:val="AppendixBulletIndent"/>
        <w:numPr>
          <w:ilvl w:val="0"/>
          <w:numId w:val="84"/>
        </w:numPr>
        <w:tabs>
          <w:tab w:val="left" w:pos="1440"/>
        </w:tabs>
        <w:spacing w:after="60"/>
        <w:ind w:left="1440" w:right="720"/>
      </w:pPr>
      <w:r w:rsidRPr="00653421">
        <w:rPr>
          <w:rFonts w:ascii="Tahoma" w:hAnsi="Tahoma" w:cs="Tahoma"/>
          <w:sz w:val="18"/>
        </w:rPr>
        <w:t xml:space="preserve">Select </w:t>
      </w:r>
    </w:p>
    <w:p w:rsidR="00456002" w:rsidRPr="00653421" w:rsidRDefault="00456002" w:rsidP="002C1048">
      <w:pPr>
        <w:pStyle w:val="AppendixBulletIndent"/>
        <w:numPr>
          <w:ilvl w:val="0"/>
          <w:numId w:val="84"/>
        </w:numPr>
        <w:tabs>
          <w:tab w:val="left" w:pos="1440"/>
        </w:tabs>
        <w:spacing w:after="60"/>
        <w:ind w:left="1440" w:right="720"/>
      </w:pPr>
      <w:r w:rsidRPr="00653421">
        <w:rPr>
          <w:rFonts w:ascii="Tahoma" w:hAnsi="Tahoma" w:cs="Tahoma"/>
          <w:sz w:val="18"/>
        </w:rPr>
        <w:t>Select Plus</w:t>
      </w:r>
    </w:p>
    <w:p w:rsidR="00456002" w:rsidRPr="00653421" w:rsidRDefault="00456002" w:rsidP="002C1048">
      <w:pPr>
        <w:pStyle w:val="AppendixBulletIndent"/>
        <w:numPr>
          <w:ilvl w:val="0"/>
          <w:numId w:val="84"/>
        </w:numPr>
        <w:tabs>
          <w:tab w:val="left" w:pos="1440"/>
        </w:tabs>
        <w:spacing w:after="60"/>
        <w:ind w:left="1440" w:right="720"/>
      </w:pPr>
      <w:r w:rsidRPr="00653421">
        <w:rPr>
          <w:rFonts w:ascii="Tahoma" w:hAnsi="Tahoma" w:cs="Tahoma"/>
          <w:sz w:val="18"/>
        </w:rPr>
        <w:t>Contrato School</w:t>
      </w:r>
    </w:p>
    <w:p w:rsidR="00456002" w:rsidRPr="00653421" w:rsidRDefault="00456002" w:rsidP="002C1048">
      <w:pPr>
        <w:pStyle w:val="AppendixBulletIndent"/>
        <w:numPr>
          <w:ilvl w:val="0"/>
          <w:numId w:val="84"/>
        </w:numPr>
        <w:tabs>
          <w:tab w:val="left" w:pos="1440"/>
        </w:tabs>
        <w:spacing w:after="60"/>
        <w:ind w:left="1440" w:right="720"/>
      </w:pPr>
      <w:r w:rsidRPr="00653421">
        <w:rPr>
          <w:rFonts w:ascii="Tahoma" w:hAnsi="Tahoma" w:cs="Tahoma"/>
          <w:sz w:val="18"/>
        </w:rPr>
        <w:t>EES</w:t>
      </w:r>
    </w:p>
    <w:p w:rsidR="00456002" w:rsidRPr="00653421" w:rsidRDefault="00456002" w:rsidP="002C1048">
      <w:pPr>
        <w:pStyle w:val="AppendixBulletIndent"/>
        <w:numPr>
          <w:ilvl w:val="0"/>
          <w:numId w:val="84"/>
        </w:numPr>
        <w:tabs>
          <w:tab w:val="left" w:pos="1440"/>
        </w:tabs>
        <w:spacing w:after="60"/>
        <w:ind w:left="1440" w:right="720"/>
      </w:pPr>
      <w:r w:rsidRPr="00653421">
        <w:rPr>
          <w:rFonts w:ascii="Tahoma" w:hAnsi="Tahoma" w:cs="Tahoma"/>
          <w:sz w:val="18"/>
        </w:rPr>
        <w:t>Contrato Enterprise</w:t>
      </w:r>
    </w:p>
    <w:p w:rsidR="00456002" w:rsidRPr="00653421" w:rsidRDefault="00456002" w:rsidP="00B147AB">
      <w:pPr>
        <w:pStyle w:val="AppendixIndent"/>
        <w:numPr>
          <w:ilvl w:val="0"/>
          <w:numId w:val="84"/>
        </w:numPr>
        <w:tabs>
          <w:tab w:val="left" w:pos="1440"/>
        </w:tabs>
        <w:spacing w:before="0"/>
        <w:ind w:left="1440" w:right="720"/>
      </w:pPr>
      <w:r w:rsidRPr="00653421">
        <w:rPr>
          <w:rFonts w:ascii="Tahoma" w:hAnsi="Tahoma" w:cs="Tahoma"/>
          <w:sz w:val="18"/>
        </w:rPr>
        <w:t>Contrato Enterprise Subscription</w:t>
      </w:r>
    </w:p>
    <w:p w:rsidR="00ED589D" w:rsidRPr="00653421" w:rsidRDefault="00ED589D" w:rsidP="00B147AB"/>
    <w:p w:rsidR="009C2B16" w:rsidRPr="00653421" w:rsidRDefault="009C2B16" w:rsidP="00B147AB"/>
    <w:p w:rsidR="009C2B16" w:rsidRPr="00653421" w:rsidRDefault="009C2B16" w:rsidP="00B147AB"/>
    <w:p w:rsidR="009C2B16" w:rsidRPr="00653421" w:rsidRDefault="009C2B16" w:rsidP="00B147AB"/>
    <w:p w:rsidR="009C2B16" w:rsidRPr="00653421" w:rsidRDefault="009C2B16" w:rsidP="00B147AB"/>
    <w:p w:rsidR="009C2B16" w:rsidRPr="00653421" w:rsidRDefault="009C2B16" w:rsidP="00B147AB"/>
    <w:p w:rsidR="009C2B16" w:rsidRPr="00653421" w:rsidRDefault="009C2B16" w:rsidP="00B147AB"/>
    <w:p w:rsidR="00456002" w:rsidRPr="00653421" w:rsidRDefault="00456002" w:rsidP="00456002">
      <w:pPr>
        <w:pStyle w:val="Heading2"/>
        <w:ind w:left="0" w:right="720"/>
      </w:pPr>
      <w:bookmarkStart w:id="708" w:name="_Toc323819653"/>
      <w:bookmarkStart w:id="709" w:name="_Toc336338204"/>
      <w:bookmarkStart w:id="710" w:name="_Toc353470852"/>
      <w:r w:rsidRPr="00653421">
        <w:rPr>
          <w:rFonts w:ascii="Tahoma" w:hAnsi="Tahoma" w:cs="Tahoma"/>
        </w:rPr>
        <w:lastRenderedPageBreak/>
        <w:t>Atualização</w:t>
      </w:r>
      <w:bookmarkEnd w:id="708"/>
      <w:bookmarkEnd w:id="709"/>
      <w:bookmarkEnd w:id="710"/>
    </w:p>
    <w:p w:rsidR="00456002" w:rsidRPr="00653421" w:rsidRDefault="00456002" w:rsidP="00B147AB">
      <w:pPr>
        <w:pStyle w:val="AppendixIndent"/>
        <w:spacing w:before="0"/>
        <w:ind w:left="0" w:right="720"/>
        <w:rPr>
          <w:rFonts w:ascii="Tahoma" w:hAnsi="Tahoma" w:cs="Tahoma"/>
          <w:sz w:val="18"/>
          <w:szCs w:val="18"/>
        </w:rPr>
      </w:pPr>
    </w:p>
    <w:p w:rsidR="00456002" w:rsidRPr="00653421" w:rsidRDefault="00456002" w:rsidP="00B147AB">
      <w:pPr>
        <w:pStyle w:val="AppendixIndent"/>
        <w:spacing w:before="0"/>
        <w:ind w:left="0" w:right="720"/>
      </w:pPr>
      <w:r w:rsidRPr="00734B50">
        <w:rPr>
          <w:rFonts w:ascii="Tahoma" w:hAnsi="Tahoma" w:cs="Tahoma"/>
          <w:sz w:val="18"/>
          <w:lang w:val="pt-BR"/>
        </w:rPr>
        <w:t xml:space="preserve">Este tipo de produto está disponível somente para o </w:t>
      </w:r>
      <w:r w:rsidRPr="00734B50">
        <w:rPr>
          <w:rFonts w:ascii="Tahoma" w:hAnsi="Tahoma" w:cs="Tahoma"/>
          <w:sz w:val="18"/>
          <w:u w:val="single"/>
          <w:lang w:val="pt-BR"/>
        </w:rPr>
        <w:t>Sistema Operacional Windows Desktop</w:t>
      </w:r>
      <w:r w:rsidRPr="00734B50">
        <w:rPr>
          <w:rFonts w:ascii="Tahoma" w:hAnsi="Tahoma" w:cs="Tahoma"/>
          <w:sz w:val="18"/>
          <w:lang w:val="pt-BR"/>
        </w:rPr>
        <w:t>, é específico à</w:t>
      </w:r>
      <w:r w:rsidR="00325658" w:rsidRPr="00734B50">
        <w:rPr>
          <w:rFonts w:ascii="Tahoma" w:hAnsi="Tahoma" w:cs="Tahoma"/>
          <w:sz w:val="18"/>
          <w:lang w:val="pt-BR"/>
        </w:rPr>
        <w:t> </w:t>
      </w:r>
      <w:r w:rsidRPr="00734B50">
        <w:rPr>
          <w:rFonts w:ascii="Tahoma" w:hAnsi="Tahoma" w:cs="Tahoma"/>
          <w:sz w:val="18"/>
          <w:lang w:val="pt-BR"/>
        </w:rPr>
        <w:t>versão e confere o direito de executar a versão do produto para a qual foi solicitado.</w:t>
      </w:r>
      <w:r w:rsidR="00DD7735" w:rsidRPr="00734B50">
        <w:rPr>
          <w:rFonts w:ascii="Tahoma" w:hAnsi="Tahoma" w:cs="Tahoma"/>
          <w:sz w:val="18"/>
          <w:lang w:val="pt-BR"/>
        </w:rPr>
        <w:t xml:space="preserve"> </w:t>
      </w:r>
      <w:r w:rsidRPr="00653421">
        <w:rPr>
          <w:rFonts w:ascii="Tahoma" w:hAnsi="Tahoma" w:cs="Tahoma"/>
          <w:sz w:val="18"/>
        </w:rPr>
        <w:t>Estão disponíveis nos</w:t>
      </w:r>
      <w:r w:rsidR="00325658" w:rsidRPr="00653421">
        <w:rPr>
          <w:rFonts w:ascii="Tahoma" w:hAnsi="Tahoma" w:cs="Tahoma"/>
          <w:sz w:val="18"/>
        </w:rPr>
        <w:t> </w:t>
      </w:r>
      <w:r w:rsidRPr="00653421">
        <w:rPr>
          <w:rFonts w:ascii="Tahoma" w:hAnsi="Tahoma" w:cs="Tahoma"/>
          <w:sz w:val="18"/>
        </w:rPr>
        <w:t>seguintes programas:</w:t>
      </w:r>
    </w:p>
    <w:p w:rsidR="00456002" w:rsidRPr="00653421" w:rsidRDefault="00456002" w:rsidP="00B147AB">
      <w:pPr>
        <w:pStyle w:val="AppendixIndent"/>
        <w:spacing w:before="0"/>
        <w:ind w:left="0" w:right="720"/>
        <w:rPr>
          <w:rFonts w:ascii="Tahoma" w:hAnsi="Tahoma" w:cs="Tahoma"/>
          <w:sz w:val="18"/>
          <w:szCs w:val="18"/>
        </w:rPr>
      </w:pPr>
    </w:p>
    <w:p w:rsidR="00385C82" w:rsidRPr="00653421" w:rsidRDefault="00385C82" w:rsidP="00B147AB">
      <w:pPr>
        <w:pStyle w:val="AppendixBulletIndent"/>
        <w:numPr>
          <w:ilvl w:val="0"/>
          <w:numId w:val="77"/>
        </w:numPr>
        <w:tabs>
          <w:tab w:val="left" w:pos="1440"/>
        </w:tabs>
        <w:spacing w:after="60"/>
        <w:ind w:left="1440" w:right="720"/>
      </w:pPr>
      <w:r w:rsidRPr="00653421">
        <w:rPr>
          <w:rFonts w:ascii="Tahoma" w:hAnsi="Tahoma" w:cs="Tahoma"/>
          <w:sz w:val="18"/>
          <w:szCs w:val="18"/>
        </w:rPr>
        <w:t>Licença Open</w:t>
      </w:r>
    </w:p>
    <w:p w:rsidR="00385C82" w:rsidRPr="00734B50" w:rsidRDefault="00385C82" w:rsidP="002C1048">
      <w:pPr>
        <w:pStyle w:val="AppendixBulletIndent"/>
        <w:numPr>
          <w:ilvl w:val="0"/>
          <w:numId w:val="77"/>
        </w:numPr>
        <w:tabs>
          <w:tab w:val="left" w:pos="1440"/>
        </w:tabs>
        <w:spacing w:after="60"/>
        <w:ind w:left="1440" w:right="720"/>
        <w:rPr>
          <w:lang w:val="pt-BR"/>
        </w:rPr>
      </w:pPr>
      <w:r w:rsidRPr="00734B50">
        <w:rPr>
          <w:rFonts w:ascii="Tahoma" w:hAnsi="Tahoma" w:cs="Tahoma"/>
          <w:sz w:val="18"/>
          <w:szCs w:val="18"/>
          <w:lang w:val="pt-BR"/>
        </w:rPr>
        <w:t xml:space="preserve">Open Value Subscription [somente para pedidos com opção de compra (“buy-out”)] </w:t>
      </w:r>
    </w:p>
    <w:p w:rsidR="00385C82" w:rsidRPr="00653421" w:rsidRDefault="00385C82" w:rsidP="002C1048">
      <w:pPr>
        <w:pStyle w:val="AppendixBulletIndent"/>
        <w:numPr>
          <w:ilvl w:val="0"/>
          <w:numId w:val="77"/>
        </w:numPr>
        <w:tabs>
          <w:tab w:val="left" w:pos="1440"/>
        </w:tabs>
        <w:spacing w:after="60"/>
        <w:ind w:left="1440" w:right="720"/>
      </w:pPr>
      <w:r w:rsidRPr="00653421">
        <w:rPr>
          <w:rFonts w:ascii="Tahoma" w:hAnsi="Tahoma" w:cs="Tahoma"/>
          <w:sz w:val="18"/>
          <w:szCs w:val="18"/>
        </w:rPr>
        <w:t xml:space="preserve">Select </w:t>
      </w:r>
    </w:p>
    <w:p w:rsidR="00385C82" w:rsidRPr="00653421" w:rsidRDefault="00385C82" w:rsidP="002C1048">
      <w:pPr>
        <w:pStyle w:val="AppendixBulletIndent"/>
        <w:numPr>
          <w:ilvl w:val="0"/>
          <w:numId w:val="77"/>
        </w:numPr>
        <w:tabs>
          <w:tab w:val="left" w:pos="1440"/>
        </w:tabs>
        <w:spacing w:after="60"/>
        <w:ind w:left="1440" w:right="720"/>
      </w:pPr>
      <w:r w:rsidRPr="00653421">
        <w:rPr>
          <w:rFonts w:ascii="Tahoma" w:hAnsi="Tahoma" w:cs="Tahoma"/>
          <w:sz w:val="18"/>
          <w:szCs w:val="18"/>
        </w:rPr>
        <w:t>Select Plus</w:t>
      </w:r>
    </w:p>
    <w:p w:rsidR="00385C82" w:rsidRPr="00734B50" w:rsidRDefault="00385C82" w:rsidP="002C1048">
      <w:pPr>
        <w:pStyle w:val="AppendixBulletIndent"/>
        <w:numPr>
          <w:ilvl w:val="0"/>
          <w:numId w:val="77"/>
        </w:numPr>
        <w:tabs>
          <w:tab w:val="left" w:pos="1440"/>
        </w:tabs>
        <w:spacing w:after="60"/>
        <w:ind w:left="1440" w:right="720"/>
        <w:rPr>
          <w:lang w:val="pt-BR"/>
        </w:rPr>
      </w:pPr>
      <w:r w:rsidRPr="00734B50">
        <w:rPr>
          <w:rFonts w:ascii="Tahoma" w:hAnsi="Tahoma" w:cs="Tahoma"/>
          <w:sz w:val="18"/>
          <w:szCs w:val="18"/>
          <w:lang w:val="pt-BR"/>
        </w:rPr>
        <w:t>Contrato School (somente para pedidos com opção de compra (“buy-out”))</w:t>
      </w:r>
    </w:p>
    <w:p w:rsidR="00385C82" w:rsidRPr="00734B50" w:rsidRDefault="00385C82" w:rsidP="002C1048">
      <w:pPr>
        <w:pStyle w:val="AppendixBulletIndent"/>
        <w:numPr>
          <w:ilvl w:val="0"/>
          <w:numId w:val="77"/>
        </w:numPr>
        <w:tabs>
          <w:tab w:val="left" w:pos="1440"/>
        </w:tabs>
        <w:spacing w:after="60"/>
        <w:ind w:left="1440" w:right="720"/>
        <w:rPr>
          <w:lang w:val="pt-BR"/>
        </w:rPr>
      </w:pPr>
      <w:r w:rsidRPr="00734B50">
        <w:rPr>
          <w:rFonts w:ascii="Tahoma" w:hAnsi="Tahoma" w:cs="Tahoma"/>
          <w:sz w:val="18"/>
          <w:szCs w:val="18"/>
          <w:lang w:val="pt-BR"/>
        </w:rPr>
        <w:t>EES (somente para pedidos com opção de compra (“buy-out”))</w:t>
      </w:r>
    </w:p>
    <w:p w:rsidR="00385C82" w:rsidRPr="00734B50" w:rsidRDefault="00385C82" w:rsidP="00325658">
      <w:pPr>
        <w:pStyle w:val="AppendixBulletIndent"/>
        <w:numPr>
          <w:ilvl w:val="0"/>
          <w:numId w:val="77"/>
        </w:numPr>
        <w:tabs>
          <w:tab w:val="left" w:pos="1440"/>
        </w:tabs>
        <w:ind w:left="1440" w:right="450"/>
        <w:rPr>
          <w:lang w:val="pt-BR"/>
        </w:rPr>
      </w:pPr>
      <w:r w:rsidRPr="00734B50">
        <w:rPr>
          <w:rFonts w:ascii="Tahoma" w:hAnsi="Tahoma" w:cs="Tahoma"/>
          <w:sz w:val="18"/>
          <w:szCs w:val="18"/>
          <w:lang w:val="pt-BR"/>
        </w:rPr>
        <w:t>Contrato Enterprise Subscription (somente para pedidos com opção de compra (“buy-out”))</w:t>
      </w:r>
    </w:p>
    <w:p w:rsidR="00456002" w:rsidRPr="00734B50" w:rsidRDefault="00456002" w:rsidP="00B147AB">
      <w:pPr>
        <w:pStyle w:val="AppendixIndent"/>
        <w:spacing w:before="0"/>
        <w:ind w:left="0" w:right="720"/>
        <w:rPr>
          <w:rFonts w:ascii="Tahoma" w:hAnsi="Tahoma" w:cs="Tahoma"/>
          <w:sz w:val="18"/>
          <w:szCs w:val="18"/>
          <w:lang w:val="pt-BR"/>
        </w:rPr>
      </w:pPr>
    </w:p>
    <w:p w:rsidR="00456002" w:rsidRPr="00734B50" w:rsidRDefault="00456002" w:rsidP="00B147AB">
      <w:pPr>
        <w:pStyle w:val="AppendixIndent"/>
        <w:spacing w:before="0"/>
        <w:ind w:left="0" w:right="720"/>
        <w:rPr>
          <w:lang w:val="pt-BR"/>
        </w:rPr>
      </w:pPr>
      <w:r w:rsidRPr="00734B50">
        <w:rPr>
          <w:rFonts w:ascii="Tahoma" w:hAnsi="Tahoma" w:cs="Tahoma"/>
          <w:sz w:val="18"/>
          <w:lang w:val="pt-BR"/>
        </w:rPr>
        <w:t>O cliente deverá ter uma licença básica de sistema operacional de desktop qualificada para poder adquirir a</w:t>
      </w:r>
      <w:r w:rsidR="00DB5435" w:rsidRPr="00734B50">
        <w:rPr>
          <w:rFonts w:ascii="Tahoma" w:hAnsi="Tahoma" w:cs="Tahoma"/>
          <w:sz w:val="18"/>
          <w:lang w:val="pt-BR"/>
        </w:rPr>
        <w:t> </w:t>
      </w:r>
      <w:r w:rsidRPr="00734B50">
        <w:rPr>
          <w:rFonts w:ascii="Tahoma" w:hAnsi="Tahoma" w:cs="Tahoma"/>
          <w:sz w:val="18"/>
          <w:lang w:val="pt-BR"/>
        </w:rPr>
        <w:t>licença de Atualização de Sistema Operacional Windows Desktop. Consulte a seção sobre produtos de sistema para obter uma lista dos sistemas operacionais de desktop qualificados. Essa lista varia conforme o</w:t>
      </w:r>
      <w:r w:rsidR="00DB5435" w:rsidRPr="00734B50">
        <w:rPr>
          <w:rFonts w:ascii="Tahoma" w:hAnsi="Tahoma" w:cs="Tahoma"/>
          <w:sz w:val="18"/>
          <w:lang w:val="pt-BR"/>
        </w:rPr>
        <w:t> </w:t>
      </w:r>
      <w:r w:rsidRPr="00734B50">
        <w:rPr>
          <w:rFonts w:ascii="Tahoma" w:hAnsi="Tahoma" w:cs="Tahoma"/>
          <w:sz w:val="18"/>
          <w:lang w:val="pt-BR"/>
        </w:rPr>
        <w:t>programa e as circunstâncias do pedido.</w:t>
      </w:r>
    </w:p>
    <w:p w:rsidR="00591D02" w:rsidRPr="00734B50" w:rsidRDefault="00591D02" w:rsidP="00B147AB">
      <w:pPr>
        <w:pStyle w:val="Heading2"/>
        <w:ind w:left="0" w:right="720"/>
        <w:rPr>
          <w:rFonts w:ascii="Tahoma" w:hAnsi="Tahoma" w:cs="Tahoma"/>
          <w:b w:val="0"/>
          <w:sz w:val="18"/>
          <w:szCs w:val="18"/>
          <w:lang w:val="pt-BR"/>
        </w:rPr>
      </w:pPr>
      <w:bookmarkStart w:id="711" w:name="_Toc323819654"/>
    </w:p>
    <w:p w:rsidR="00456002" w:rsidRPr="00734B50" w:rsidRDefault="00456002" w:rsidP="00456002">
      <w:pPr>
        <w:pStyle w:val="Heading2"/>
        <w:ind w:left="0" w:right="720"/>
        <w:rPr>
          <w:lang w:val="pt-BR"/>
        </w:rPr>
      </w:pPr>
      <w:bookmarkStart w:id="712" w:name="_Toc336338205"/>
      <w:bookmarkStart w:id="713" w:name="_Toc353470853"/>
      <w:r w:rsidRPr="00734B50">
        <w:rPr>
          <w:rFonts w:ascii="Tahoma" w:hAnsi="Tahoma" w:cs="Tahoma"/>
          <w:lang w:val="pt-BR"/>
        </w:rPr>
        <w:t>Atualização e Software Assurance</w:t>
      </w:r>
      <w:bookmarkEnd w:id="711"/>
      <w:bookmarkEnd w:id="712"/>
      <w:bookmarkEnd w:id="713"/>
      <w:r w:rsidRPr="00734B50">
        <w:rPr>
          <w:rFonts w:ascii="Tahoma" w:hAnsi="Tahoma" w:cs="Tahoma"/>
          <w:lang w:val="pt-BR"/>
        </w:rPr>
        <w:t xml:space="preserve"> </w:t>
      </w:r>
    </w:p>
    <w:p w:rsidR="00456002" w:rsidRPr="00734B50" w:rsidRDefault="00456002" w:rsidP="00B147AB">
      <w:pPr>
        <w:ind w:right="720"/>
        <w:rPr>
          <w:rFonts w:cs="Tahoma"/>
          <w:szCs w:val="18"/>
          <w:lang w:val="pt-BR"/>
        </w:rPr>
      </w:pPr>
    </w:p>
    <w:p w:rsidR="00456002" w:rsidRPr="00653421" w:rsidRDefault="00456002" w:rsidP="00B147AB">
      <w:pPr>
        <w:pStyle w:val="AppendixIndent"/>
        <w:spacing w:before="0"/>
        <w:ind w:left="0" w:right="720"/>
      </w:pPr>
      <w:r w:rsidRPr="00734B50">
        <w:rPr>
          <w:rFonts w:ascii="Tahoma" w:hAnsi="Tahoma" w:cs="Tahoma"/>
          <w:sz w:val="18"/>
          <w:lang w:val="pt-BR"/>
        </w:rPr>
        <w:t>Este tipo de produto está disponível somente para o Sistema Operacional Windows Desktop, não é</w:t>
      </w:r>
      <w:r w:rsidR="00DB5435" w:rsidRPr="00734B50">
        <w:rPr>
          <w:rFonts w:ascii="Tahoma" w:hAnsi="Tahoma" w:cs="Tahoma"/>
          <w:sz w:val="18"/>
          <w:lang w:val="pt-BR"/>
        </w:rPr>
        <w:t> </w:t>
      </w:r>
      <w:r w:rsidRPr="00734B50">
        <w:rPr>
          <w:rFonts w:ascii="Tahoma" w:hAnsi="Tahoma" w:cs="Tahoma"/>
          <w:sz w:val="18"/>
          <w:lang w:val="pt-BR"/>
        </w:rPr>
        <w:t>específico à versão e permite que os clientes adquiram a Atualização e o Software Assurance para o</w:t>
      </w:r>
      <w:r w:rsidR="00DB5435" w:rsidRPr="00734B50">
        <w:rPr>
          <w:rFonts w:ascii="Tahoma" w:hAnsi="Tahoma" w:cs="Tahoma"/>
          <w:sz w:val="18"/>
          <w:lang w:val="pt-BR"/>
        </w:rPr>
        <w:t> </w:t>
      </w:r>
      <w:r w:rsidRPr="00734B50">
        <w:rPr>
          <w:rFonts w:ascii="Tahoma" w:hAnsi="Tahoma" w:cs="Tahoma"/>
          <w:sz w:val="18"/>
          <w:lang w:val="pt-BR"/>
        </w:rPr>
        <w:t xml:space="preserve">sistema operacional de desktop ao mesmo tempo. </w:t>
      </w:r>
      <w:r w:rsidRPr="00653421">
        <w:rPr>
          <w:rFonts w:ascii="Tahoma" w:hAnsi="Tahoma" w:cs="Tahoma"/>
          <w:sz w:val="18"/>
        </w:rPr>
        <w:t>Estão disponíveis nos seguintes programas:</w:t>
      </w:r>
    </w:p>
    <w:p w:rsidR="00116EDC" w:rsidRPr="00653421" w:rsidRDefault="00116EDC" w:rsidP="00B147AB">
      <w:pPr>
        <w:pStyle w:val="AppendixIndent"/>
        <w:spacing w:before="0"/>
        <w:ind w:left="0" w:right="720"/>
        <w:rPr>
          <w:rFonts w:ascii="Tahoma" w:hAnsi="Tahoma" w:cs="Tahoma"/>
          <w:sz w:val="18"/>
          <w:szCs w:val="18"/>
        </w:rPr>
      </w:pPr>
    </w:p>
    <w:p w:rsidR="00456002" w:rsidRPr="00653421" w:rsidRDefault="00456002" w:rsidP="002C1048">
      <w:pPr>
        <w:pStyle w:val="AppendixBulletIndent"/>
        <w:numPr>
          <w:ilvl w:val="0"/>
          <w:numId w:val="78"/>
        </w:numPr>
        <w:tabs>
          <w:tab w:val="clear" w:pos="360"/>
          <w:tab w:val="num" w:pos="1440"/>
        </w:tabs>
        <w:spacing w:after="60"/>
        <w:ind w:left="1440" w:right="720"/>
      </w:pPr>
      <w:r w:rsidRPr="00653421">
        <w:rPr>
          <w:rFonts w:ascii="Tahoma" w:hAnsi="Tahoma" w:cs="Tahoma"/>
          <w:sz w:val="18"/>
        </w:rPr>
        <w:t>Licença Open</w:t>
      </w:r>
    </w:p>
    <w:p w:rsidR="00456002" w:rsidRPr="00653421" w:rsidRDefault="00456002" w:rsidP="002C1048">
      <w:pPr>
        <w:pStyle w:val="AppendixBulletIndent"/>
        <w:numPr>
          <w:ilvl w:val="0"/>
          <w:numId w:val="78"/>
        </w:numPr>
        <w:tabs>
          <w:tab w:val="clear" w:pos="360"/>
          <w:tab w:val="num" w:pos="1440"/>
        </w:tabs>
        <w:spacing w:after="60"/>
        <w:ind w:left="1440" w:right="720"/>
      </w:pPr>
      <w:r w:rsidRPr="00653421">
        <w:rPr>
          <w:rFonts w:ascii="Tahoma" w:hAnsi="Tahoma" w:cs="Tahoma"/>
          <w:sz w:val="18"/>
        </w:rPr>
        <w:t>Open Value</w:t>
      </w:r>
    </w:p>
    <w:p w:rsidR="00456002" w:rsidRPr="00653421" w:rsidRDefault="00456002" w:rsidP="002C1048">
      <w:pPr>
        <w:pStyle w:val="AppendixBulletIndent"/>
        <w:numPr>
          <w:ilvl w:val="0"/>
          <w:numId w:val="78"/>
        </w:numPr>
        <w:tabs>
          <w:tab w:val="clear" w:pos="360"/>
          <w:tab w:val="num" w:pos="1440"/>
        </w:tabs>
        <w:spacing w:after="60"/>
        <w:ind w:left="1440" w:right="720"/>
      </w:pPr>
      <w:r w:rsidRPr="00653421">
        <w:rPr>
          <w:rFonts w:ascii="Tahoma" w:hAnsi="Tahoma" w:cs="Tahoma"/>
          <w:sz w:val="18"/>
        </w:rPr>
        <w:t>Open Value Subscription</w:t>
      </w:r>
    </w:p>
    <w:p w:rsidR="00456002" w:rsidRPr="00653421" w:rsidRDefault="00456002" w:rsidP="002C1048">
      <w:pPr>
        <w:pStyle w:val="AppendixBulletIndent"/>
        <w:numPr>
          <w:ilvl w:val="0"/>
          <w:numId w:val="78"/>
        </w:numPr>
        <w:tabs>
          <w:tab w:val="clear" w:pos="360"/>
          <w:tab w:val="num" w:pos="1440"/>
        </w:tabs>
        <w:spacing w:after="60"/>
        <w:ind w:left="1440" w:right="720"/>
      </w:pPr>
      <w:r w:rsidRPr="00653421">
        <w:rPr>
          <w:rFonts w:ascii="Tahoma" w:hAnsi="Tahoma" w:cs="Tahoma"/>
          <w:sz w:val="18"/>
        </w:rPr>
        <w:t xml:space="preserve">Select </w:t>
      </w:r>
    </w:p>
    <w:p w:rsidR="00456002" w:rsidRPr="00653421" w:rsidRDefault="00456002" w:rsidP="002C1048">
      <w:pPr>
        <w:pStyle w:val="AppendixBulletIndent"/>
        <w:numPr>
          <w:ilvl w:val="0"/>
          <w:numId w:val="78"/>
        </w:numPr>
        <w:tabs>
          <w:tab w:val="clear" w:pos="360"/>
          <w:tab w:val="num" w:pos="1440"/>
        </w:tabs>
        <w:spacing w:after="60"/>
        <w:ind w:left="1440" w:right="720"/>
      </w:pPr>
      <w:r w:rsidRPr="00653421">
        <w:rPr>
          <w:rFonts w:ascii="Tahoma" w:hAnsi="Tahoma" w:cs="Tahoma"/>
          <w:sz w:val="18"/>
        </w:rPr>
        <w:t>Select Plus</w:t>
      </w:r>
    </w:p>
    <w:p w:rsidR="00456002" w:rsidRPr="00653421" w:rsidRDefault="00456002" w:rsidP="002C1048">
      <w:pPr>
        <w:pStyle w:val="AppendixBulletIndent"/>
        <w:numPr>
          <w:ilvl w:val="0"/>
          <w:numId w:val="78"/>
        </w:numPr>
        <w:tabs>
          <w:tab w:val="clear" w:pos="360"/>
          <w:tab w:val="num" w:pos="1440"/>
        </w:tabs>
        <w:spacing w:after="60"/>
        <w:ind w:left="1440" w:right="720"/>
      </w:pPr>
      <w:r w:rsidRPr="00653421">
        <w:rPr>
          <w:rFonts w:ascii="Tahoma" w:hAnsi="Tahoma" w:cs="Tahoma"/>
          <w:sz w:val="18"/>
        </w:rPr>
        <w:t>Contrato School</w:t>
      </w:r>
    </w:p>
    <w:p w:rsidR="00456002" w:rsidRPr="00653421" w:rsidRDefault="00456002" w:rsidP="002C1048">
      <w:pPr>
        <w:pStyle w:val="AppendixBulletIndent"/>
        <w:numPr>
          <w:ilvl w:val="0"/>
          <w:numId w:val="78"/>
        </w:numPr>
        <w:tabs>
          <w:tab w:val="clear" w:pos="360"/>
          <w:tab w:val="num" w:pos="1440"/>
        </w:tabs>
        <w:spacing w:after="60"/>
        <w:ind w:left="1440" w:right="720"/>
      </w:pPr>
      <w:r w:rsidRPr="00653421">
        <w:rPr>
          <w:rFonts w:ascii="Tahoma" w:hAnsi="Tahoma" w:cs="Tahoma"/>
          <w:sz w:val="18"/>
        </w:rPr>
        <w:t>ESS</w:t>
      </w:r>
    </w:p>
    <w:p w:rsidR="00456002" w:rsidRPr="00653421" w:rsidRDefault="00456002" w:rsidP="002C1048">
      <w:pPr>
        <w:pStyle w:val="AppendixBulletIndent"/>
        <w:numPr>
          <w:ilvl w:val="0"/>
          <w:numId w:val="78"/>
        </w:numPr>
        <w:tabs>
          <w:tab w:val="clear" w:pos="360"/>
          <w:tab w:val="num" w:pos="1440"/>
        </w:tabs>
        <w:spacing w:after="60"/>
        <w:ind w:left="1440" w:right="720"/>
      </w:pPr>
      <w:r w:rsidRPr="00653421">
        <w:rPr>
          <w:rFonts w:ascii="Tahoma" w:hAnsi="Tahoma" w:cs="Tahoma"/>
          <w:sz w:val="18"/>
        </w:rPr>
        <w:t>Contrato Enterprise</w:t>
      </w:r>
    </w:p>
    <w:p w:rsidR="00456002" w:rsidRPr="00653421" w:rsidRDefault="00456002" w:rsidP="00B147AB">
      <w:pPr>
        <w:pStyle w:val="AppendixBulletIndent"/>
        <w:numPr>
          <w:ilvl w:val="0"/>
          <w:numId w:val="78"/>
        </w:numPr>
        <w:tabs>
          <w:tab w:val="clear" w:pos="360"/>
          <w:tab w:val="num" w:pos="1440"/>
        </w:tabs>
        <w:ind w:left="1440" w:right="720"/>
      </w:pPr>
      <w:r w:rsidRPr="00653421">
        <w:rPr>
          <w:rFonts w:ascii="Tahoma" w:hAnsi="Tahoma" w:cs="Tahoma"/>
          <w:sz w:val="18"/>
        </w:rPr>
        <w:t>Contrato Enterprise Subscription</w:t>
      </w:r>
    </w:p>
    <w:p w:rsidR="00456002" w:rsidRPr="00653421" w:rsidRDefault="00456002" w:rsidP="00B147AB">
      <w:pPr>
        <w:pStyle w:val="AppendixIndent"/>
        <w:spacing w:before="0"/>
        <w:ind w:left="0" w:right="720"/>
        <w:rPr>
          <w:rFonts w:ascii="Tahoma" w:hAnsi="Tahoma" w:cs="Tahoma"/>
          <w:sz w:val="18"/>
          <w:szCs w:val="18"/>
        </w:rPr>
      </w:pPr>
    </w:p>
    <w:p w:rsidR="00456002" w:rsidRPr="00734B50" w:rsidRDefault="00456002" w:rsidP="00ED589D">
      <w:pPr>
        <w:pStyle w:val="AppendixIndent"/>
        <w:spacing w:before="0"/>
        <w:ind w:left="0" w:right="720"/>
        <w:rPr>
          <w:lang w:val="pt-BR"/>
        </w:rPr>
      </w:pPr>
      <w:r w:rsidRPr="00734B50">
        <w:rPr>
          <w:rFonts w:ascii="Tahoma" w:hAnsi="Tahoma" w:cs="Tahoma"/>
          <w:sz w:val="18"/>
          <w:lang w:val="pt-BR"/>
        </w:rPr>
        <w:t>O cliente deverá ter a licença básica do sistema operacional de desktop qualificada para poder adquirir a</w:t>
      </w:r>
      <w:r w:rsidR="00DB5435" w:rsidRPr="00734B50">
        <w:rPr>
          <w:rFonts w:ascii="Tahoma" w:hAnsi="Tahoma" w:cs="Tahoma"/>
          <w:sz w:val="18"/>
          <w:lang w:val="pt-BR"/>
        </w:rPr>
        <w:t> </w:t>
      </w:r>
      <w:r w:rsidRPr="00734B50">
        <w:rPr>
          <w:rFonts w:ascii="Tahoma" w:hAnsi="Tahoma" w:cs="Tahoma"/>
          <w:sz w:val="18"/>
          <w:lang w:val="pt-BR"/>
        </w:rPr>
        <w:t>Atualização. O Software Assurance deverá ser adquirido por ocasião da aquisição da Atualização correspondente, exceto no caso de programas de assinatura, quando a atualização deverá ser comprada na</w:t>
      </w:r>
      <w:r w:rsidR="00DB5435" w:rsidRPr="00734B50">
        <w:rPr>
          <w:rFonts w:ascii="Tahoma" w:hAnsi="Tahoma" w:cs="Tahoma"/>
          <w:sz w:val="18"/>
          <w:lang w:val="pt-BR"/>
        </w:rPr>
        <w:t> </w:t>
      </w:r>
      <w:r w:rsidRPr="00734B50">
        <w:rPr>
          <w:rFonts w:ascii="Tahoma" w:hAnsi="Tahoma" w:cs="Tahoma"/>
          <w:sz w:val="18"/>
          <w:lang w:val="pt-BR"/>
        </w:rPr>
        <w:t>renovação do prazo de um Software Assurance existente.</w:t>
      </w:r>
    </w:p>
    <w:p w:rsidR="00ED589D" w:rsidRPr="00734B50" w:rsidRDefault="00ED589D" w:rsidP="00B147AB">
      <w:pPr>
        <w:pStyle w:val="AppendixIndent"/>
        <w:spacing w:before="0"/>
        <w:ind w:left="0" w:right="720"/>
        <w:rPr>
          <w:rFonts w:ascii="Tahoma" w:hAnsi="Tahoma" w:cs="Tahoma"/>
          <w:sz w:val="18"/>
          <w:szCs w:val="18"/>
          <w:lang w:val="pt-BR"/>
        </w:rPr>
      </w:pPr>
    </w:p>
    <w:p w:rsidR="00456002" w:rsidRPr="00734B50" w:rsidRDefault="00456002" w:rsidP="00456002">
      <w:pPr>
        <w:pStyle w:val="Heading2"/>
        <w:ind w:left="0" w:right="720"/>
        <w:rPr>
          <w:lang w:val="pt-BR"/>
        </w:rPr>
      </w:pPr>
      <w:bookmarkStart w:id="714" w:name="_Toc323819656"/>
      <w:bookmarkStart w:id="715" w:name="_Toc336338206"/>
      <w:bookmarkStart w:id="716" w:name="_Toc353470854"/>
      <w:r w:rsidRPr="00734B50">
        <w:rPr>
          <w:rFonts w:ascii="Tahoma" w:hAnsi="Tahoma" w:cs="Tahoma"/>
          <w:lang w:val="pt-BR"/>
        </w:rPr>
        <w:t>Licenças Work-at-Home</w:t>
      </w:r>
      <w:bookmarkEnd w:id="714"/>
      <w:bookmarkEnd w:id="715"/>
      <w:bookmarkEnd w:id="716"/>
    </w:p>
    <w:p w:rsidR="00456002" w:rsidRPr="00734B50" w:rsidRDefault="00456002" w:rsidP="00B147AB">
      <w:pPr>
        <w:ind w:right="720"/>
        <w:rPr>
          <w:rFonts w:cs="Tahoma"/>
          <w:szCs w:val="18"/>
          <w:lang w:val="pt-BR"/>
        </w:rPr>
      </w:pPr>
    </w:p>
    <w:p w:rsidR="00456002" w:rsidRPr="00734B50" w:rsidRDefault="00456002" w:rsidP="00B147AB">
      <w:pPr>
        <w:pStyle w:val="AppendixIndent"/>
        <w:spacing w:before="0"/>
        <w:ind w:left="0" w:right="720"/>
        <w:rPr>
          <w:lang w:val="pt-BR"/>
        </w:rPr>
      </w:pPr>
      <w:r w:rsidRPr="00734B50">
        <w:rPr>
          <w:rFonts w:ascii="Tahoma" w:hAnsi="Tahoma" w:cs="Tahoma"/>
          <w:sz w:val="18"/>
          <w:lang w:val="pt-BR"/>
        </w:rPr>
        <w:t>Estão disponíveis nos seguintes programas:</w:t>
      </w:r>
    </w:p>
    <w:p w:rsidR="00456002" w:rsidRPr="00734B50" w:rsidRDefault="00456002" w:rsidP="00B147AB">
      <w:pPr>
        <w:pStyle w:val="AppendixBulletIndent"/>
        <w:ind w:left="0" w:right="720" w:firstLine="0"/>
        <w:rPr>
          <w:rFonts w:ascii="Tahoma" w:hAnsi="Tahoma" w:cs="Tahoma"/>
          <w:sz w:val="18"/>
          <w:szCs w:val="18"/>
          <w:lang w:val="pt-BR"/>
        </w:rPr>
      </w:pPr>
    </w:p>
    <w:p w:rsidR="00456002" w:rsidRPr="00653421" w:rsidRDefault="00456002" w:rsidP="002C1048">
      <w:pPr>
        <w:pStyle w:val="AppendixBulletIndent"/>
        <w:numPr>
          <w:ilvl w:val="0"/>
          <w:numId w:val="80"/>
        </w:numPr>
        <w:tabs>
          <w:tab w:val="clear" w:pos="360"/>
          <w:tab w:val="num" w:pos="1440"/>
        </w:tabs>
        <w:spacing w:after="60"/>
        <w:ind w:left="1440" w:right="720"/>
      </w:pPr>
      <w:r w:rsidRPr="00653421">
        <w:rPr>
          <w:rFonts w:ascii="Tahoma" w:hAnsi="Tahoma" w:cs="Tahoma"/>
          <w:sz w:val="18"/>
        </w:rPr>
        <w:t xml:space="preserve">Select </w:t>
      </w:r>
    </w:p>
    <w:p w:rsidR="00456002" w:rsidRPr="00653421" w:rsidRDefault="00456002" w:rsidP="002C1048">
      <w:pPr>
        <w:pStyle w:val="AppendixBulletIndent"/>
        <w:numPr>
          <w:ilvl w:val="0"/>
          <w:numId w:val="80"/>
        </w:numPr>
        <w:tabs>
          <w:tab w:val="clear" w:pos="360"/>
          <w:tab w:val="num" w:pos="1440"/>
        </w:tabs>
        <w:spacing w:after="60"/>
        <w:ind w:left="1440" w:right="720"/>
      </w:pPr>
      <w:r w:rsidRPr="00653421">
        <w:rPr>
          <w:rFonts w:ascii="Tahoma" w:hAnsi="Tahoma" w:cs="Tahoma"/>
          <w:sz w:val="18"/>
        </w:rPr>
        <w:t>Select Plus</w:t>
      </w:r>
    </w:p>
    <w:p w:rsidR="00456002" w:rsidRPr="00653421" w:rsidRDefault="00456002" w:rsidP="00B147AB">
      <w:pPr>
        <w:pStyle w:val="AppendixBulletIndent"/>
        <w:numPr>
          <w:ilvl w:val="0"/>
          <w:numId w:val="80"/>
        </w:numPr>
        <w:tabs>
          <w:tab w:val="clear" w:pos="360"/>
          <w:tab w:val="num" w:pos="1440"/>
        </w:tabs>
        <w:ind w:left="1440" w:right="720"/>
      </w:pPr>
      <w:r w:rsidRPr="00653421">
        <w:rPr>
          <w:rFonts w:ascii="Tahoma" w:hAnsi="Tahoma" w:cs="Tahoma"/>
          <w:sz w:val="18"/>
        </w:rPr>
        <w:t>Contrato Enterprise</w:t>
      </w:r>
    </w:p>
    <w:p w:rsidR="00456002" w:rsidRPr="00653421" w:rsidRDefault="00456002" w:rsidP="00B147AB">
      <w:pPr>
        <w:pStyle w:val="AppendixBulletIndent"/>
        <w:ind w:left="0" w:right="720" w:firstLine="0"/>
        <w:rPr>
          <w:rFonts w:ascii="Tahoma" w:hAnsi="Tahoma" w:cs="Tahoma"/>
          <w:sz w:val="18"/>
          <w:szCs w:val="18"/>
        </w:rPr>
      </w:pPr>
    </w:p>
    <w:p w:rsidR="00023FE7" w:rsidRPr="00734B50" w:rsidRDefault="00456002" w:rsidP="00A12176">
      <w:pPr>
        <w:rPr>
          <w:lang w:val="pt-BR"/>
        </w:rPr>
      </w:pPr>
      <w:r w:rsidRPr="00734B50">
        <w:rPr>
          <w:lang w:val="pt-BR"/>
        </w:rPr>
        <w:t>Uma licença Work-at-Home só poderá ser adquirida em conjunto com um produto que ela estiver licenciada para executar em um desktop At Work. A oferta Work-at-Home não é uma oferta de plano de compra para funcionários. O</w:t>
      </w:r>
      <w:r w:rsidR="00DB5435" w:rsidRPr="00734B50">
        <w:rPr>
          <w:lang w:val="pt-BR"/>
        </w:rPr>
        <w:t> </w:t>
      </w:r>
      <w:r w:rsidRPr="00734B50">
        <w:rPr>
          <w:lang w:val="pt-BR"/>
        </w:rPr>
        <w:t>cliente da Licença Select, do Select Plus ou do Contrato Enterprise (não o funcionário) detém os direitos da licença</w:t>
      </w:r>
      <w:r w:rsidR="00DB5435" w:rsidRPr="00734B50">
        <w:rPr>
          <w:lang w:val="pt-BR"/>
        </w:rPr>
        <w:t> </w:t>
      </w:r>
      <w:r w:rsidRPr="00734B50">
        <w:rPr>
          <w:lang w:val="pt-BR"/>
        </w:rPr>
        <w:t>Work-at-Home.</w:t>
      </w:r>
      <w:r w:rsidR="00DD7735" w:rsidRPr="00734B50">
        <w:rPr>
          <w:lang w:val="pt-BR"/>
        </w:rPr>
        <w:t xml:space="preserve"> </w:t>
      </w:r>
      <w:r w:rsidRPr="00734B50">
        <w:rPr>
          <w:lang w:val="pt-BR"/>
        </w:rPr>
        <w:t>Para os direitos da licença Work-at-Home disponíveis para clientes qualificados da instituição acadêmica, consulte o Contrato/Registro.</w:t>
      </w:r>
      <w:r w:rsidR="00DD7735" w:rsidRPr="00734B50">
        <w:rPr>
          <w:lang w:val="pt-BR"/>
        </w:rPr>
        <w:t xml:space="preserve"> </w:t>
      </w:r>
    </w:p>
    <w:p w:rsidR="00456002" w:rsidRPr="00653421" w:rsidRDefault="00023FE7" w:rsidP="0095190D">
      <w:pPr>
        <w:pStyle w:val="Heading1"/>
        <w:rPr>
          <w:sz w:val="36"/>
          <w:szCs w:val="36"/>
          <w:lang w:val="x-none" w:eastAsia="x-none"/>
        </w:rPr>
      </w:pPr>
      <w:bookmarkStart w:id="717" w:name="_Section_5_–"/>
      <w:bookmarkEnd w:id="717"/>
      <w:r w:rsidRPr="00734B50">
        <w:rPr>
          <w:lang w:val="pt-BR"/>
        </w:rPr>
        <w:br w:type="page"/>
      </w:r>
      <w:bookmarkStart w:id="718" w:name="_Toc336338207"/>
      <w:bookmarkStart w:id="719" w:name="_Toc353470855"/>
      <w:r w:rsidRPr="00653421">
        <w:rPr>
          <w:sz w:val="36"/>
          <w:szCs w:val="36"/>
          <w:lang w:val="x-none" w:eastAsia="x-none"/>
        </w:rPr>
        <w:lastRenderedPageBreak/>
        <w:t>Seção 5 –</w:t>
      </w:r>
      <w:bookmarkStart w:id="720" w:name="Sect5_OnlineServices"/>
      <w:r w:rsidRPr="00653421">
        <w:rPr>
          <w:sz w:val="36"/>
          <w:szCs w:val="36"/>
          <w:lang w:val="x-none" w:eastAsia="x-none"/>
        </w:rPr>
        <w:t xml:space="preserve"> TERMOS DE PAGAMENTO E PREÇOS DE</w:t>
      </w:r>
      <w:r w:rsidR="00DB5435" w:rsidRPr="00653421">
        <w:rPr>
          <w:sz w:val="36"/>
          <w:szCs w:val="36"/>
          <w:lang w:val="x-none" w:eastAsia="x-none"/>
        </w:rPr>
        <w:t> </w:t>
      </w:r>
      <w:r w:rsidRPr="00653421">
        <w:rPr>
          <w:sz w:val="36"/>
          <w:szCs w:val="36"/>
          <w:lang w:val="x-none" w:eastAsia="x-none"/>
        </w:rPr>
        <w:t>SERVIÇOS ONLINE</w:t>
      </w:r>
      <w:bookmarkEnd w:id="718"/>
      <w:bookmarkEnd w:id="719"/>
      <w:bookmarkEnd w:id="720"/>
    </w:p>
    <w:p w:rsidR="00456002" w:rsidRPr="00734B50" w:rsidRDefault="00456002" w:rsidP="00456002">
      <w:pPr>
        <w:outlineLvl w:val="2"/>
        <w:rPr>
          <w:lang w:val="pt-BR"/>
        </w:rPr>
      </w:pPr>
    </w:p>
    <w:p w:rsidR="00456002" w:rsidRPr="00653421" w:rsidRDefault="00456002" w:rsidP="00212CC6">
      <w:pPr>
        <w:outlineLvl w:val="2"/>
      </w:pPr>
      <w:r w:rsidRPr="00734B50">
        <w:rPr>
          <w:rFonts w:cs="Tahoma"/>
          <w:szCs w:val="18"/>
          <w:lang w:val="pt-BR"/>
        </w:rPr>
        <w:t>Os Serviços Online são produtos que incluem software com serviços disponíveis em uma assinatura baseada conforme descrito nos Direitos de Uso de Produto e fornecidos online.</w:t>
      </w:r>
      <w:r w:rsidR="00DD7735" w:rsidRPr="00734B50">
        <w:rPr>
          <w:rFonts w:cs="Tahoma"/>
          <w:szCs w:val="18"/>
          <w:lang w:val="pt-BR"/>
        </w:rPr>
        <w:t xml:space="preserve"> </w:t>
      </w:r>
      <w:r w:rsidRPr="00734B50">
        <w:rPr>
          <w:rFonts w:cs="Tahoma"/>
          <w:szCs w:val="18"/>
          <w:lang w:val="pt-BR"/>
        </w:rPr>
        <w:t xml:space="preserve">Alguns contratos de licença por volume direcionam os clientes para a Lista de Produtos para obter uma lista dos “Serviços Online” disponíveis. </w:t>
      </w:r>
      <w:r w:rsidRPr="00653421">
        <w:rPr>
          <w:rFonts w:cs="Tahoma"/>
          <w:szCs w:val="18"/>
        </w:rPr>
        <w:t>Para fins dessa referência, os Serviços Online incluem:</w:t>
      </w:r>
    </w:p>
    <w:p w:rsidR="002D25C8" w:rsidRPr="00653421" w:rsidRDefault="002D25C8" w:rsidP="00212CC6">
      <w:pPr>
        <w:outlineLvl w:val="2"/>
      </w:pPr>
    </w:p>
    <w:p w:rsidR="00456002" w:rsidRPr="00653421" w:rsidRDefault="00456002" w:rsidP="002C1048">
      <w:pPr>
        <w:numPr>
          <w:ilvl w:val="0"/>
          <w:numId w:val="85"/>
        </w:numPr>
        <w:spacing w:after="60"/>
      </w:pPr>
      <w:r w:rsidRPr="00653421">
        <w:rPr>
          <w:rFonts w:eastAsia="Calibri" w:cs="Tahoma"/>
          <w:color w:val="000000"/>
          <w:szCs w:val="18"/>
        </w:rPr>
        <w:t>Dynamics CRM Online</w:t>
      </w:r>
    </w:p>
    <w:p w:rsidR="00456002" w:rsidRPr="00734B50" w:rsidRDefault="00456002" w:rsidP="002C1048">
      <w:pPr>
        <w:numPr>
          <w:ilvl w:val="0"/>
          <w:numId w:val="85"/>
        </w:numPr>
        <w:spacing w:after="60"/>
        <w:rPr>
          <w:lang w:val="pt-BR"/>
        </w:rPr>
      </w:pPr>
      <w:r w:rsidRPr="00734B50">
        <w:rPr>
          <w:rFonts w:eastAsia="Calibri" w:cs="Tahoma"/>
          <w:color w:val="000000"/>
          <w:szCs w:val="18"/>
          <w:lang w:val="pt-BR"/>
        </w:rPr>
        <w:t>Arquivamento do Exchange Online para Exchange Server</w:t>
      </w:r>
    </w:p>
    <w:p w:rsidR="00456002" w:rsidRPr="00734B50" w:rsidRDefault="00456002" w:rsidP="002C1048">
      <w:pPr>
        <w:numPr>
          <w:ilvl w:val="0"/>
          <w:numId w:val="85"/>
        </w:numPr>
        <w:spacing w:after="60"/>
        <w:rPr>
          <w:lang w:val="pt-BR"/>
        </w:rPr>
      </w:pPr>
      <w:r w:rsidRPr="00734B50">
        <w:rPr>
          <w:rFonts w:eastAsia="Calibri" w:cs="Tahoma"/>
          <w:color w:val="000000"/>
          <w:szCs w:val="18"/>
          <w:lang w:val="pt-BR"/>
        </w:rPr>
        <w:t xml:space="preserve">Quiosque do Exchange Online, Plano 1 e Plano 2 </w:t>
      </w:r>
    </w:p>
    <w:p w:rsidR="00456002" w:rsidRPr="00653421" w:rsidRDefault="00456002" w:rsidP="002C1048">
      <w:pPr>
        <w:numPr>
          <w:ilvl w:val="0"/>
          <w:numId w:val="85"/>
        </w:numPr>
        <w:spacing w:after="60"/>
      </w:pPr>
      <w:r w:rsidRPr="00653421">
        <w:rPr>
          <w:rFonts w:eastAsia="Calibri" w:cs="Tahoma"/>
          <w:color w:val="000000"/>
          <w:szCs w:val="18"/>
        </w:rPr>
        <w:t>Lync Online Planos 1, 2 e 3</w:t>
      </w:r>
    </w:p>
    <w:p w:rsidR="00456002" w:rsidRPr="00653421" w:rsidRDefault="00456002" w:rsidP="002C1048">
      <w:pPr>
        <w:numPr>
          <w:ilvl w:val="0"/>
          <w:numId w:val="85"/>
        </w:numPr>
        <w:spacing w:after="60"/>
      </w:pPr>
      <w:r w:rsidRPr="00653421">
        <w:rPr>
          <w:rFonts w:eastAsia="Calibri" w:cs="Tahoma"/>
          <w:color w:val="000000"/>
          <w:szCs w:val="18"/>
        </w:rPr>
        <w:t>Microsoft Exchange Hosted Continuity</w:t>
      </w:r>
    </w:p>
    <w:p w:rsidR="00456002" w:rsidRPr="00653421" w:rsidRDefault="00456002" w:rsidP="002C1048">
      <w:pPr>
        <w:numPr>
          <w:ilvl w:val="0"/>
          <w:numId w:val="85"/>
        </w:numPr>
        <w:spacing w:after="60"/>
      </w:pPr>
      <w:r w:rsidRPr="00653421">
        <w:rPr>
          <w:rFonts w:eastAsia="Calibri" w:cs="Tahoma"/>
          <w:color w:val="000000"/>
          <w:szCs w:val="18"/>
        </w:rPr>
        <w:t>Microsoft Exchange Hosted Encryption</w:t>
      </w:r>
      <w:r w:rsidR="00DD7735" w:rsidRPr="00653421">
        <w:rPr>
          <w:rFonts w:eastAsia="Calibri" w:cs="Tahoma"/>
          <w:color w:val="000000"/>
          <w:szCs w:val="18"/>
        </w:rPr>
        <w:t xml:space="preserve"> </w:t>
      </w:r>
    </w:p>
    <w:p w:rsidR="00456002" w:rsidRPr="00653421" w:rsidRDefault="00456002" w:rsidP="002C1048">
      <w:pPr>
        <w:numPr>
          <w:ilvl w:val="0"/>
          <w:numId w:val="85"/>
        </w:numPr>
        <w:spacing w:after="60"/>
      </w:pPr>
      <w:r w:rsidRPr="00653421">
        <w:rPr>
          <w:rFonts w:eastAsia="Calibri" w:cs="Tahoma"/>
          <w:color w:val="000000"/>
          <w:szCs w:val="18"/>
        </w:rPr>
        <w:t>Office 365 Enterprise K1, E1, E2, E2, E3 e E4</w:t>
      </w:r>
    </w:p>
    <w:p w:rsidR="00456002" w:rsidRPr="00653421" w:rsidRDefault="00456002" w:rsidP="002C1048">
      <w:pPr>
        <w:numPr>
          <w:ilvl w:val="0"/>
          <w:numId w:val="85"/>
        </w:numPr>
        <w:spacing w:after="60"/>
      </w:pPr>
      <w:r w:rsidRPr="00653421">
        <w:rPr>
          <w:rFonts w:eastAsia="Calibri" w:cs="Tahoma"/>
          <w:color w:val="000000"/>
          <w:szCs w:val="18"/>
        </w:rPr>
        <w:t>O Lync Server Public Instant Messaging Connectivity com Serviço de Mensagens Instantâneas AOL (America Online) e Serviço Windows Live Messenger</w:t>
      </w:r>
    </w:p>
    <w:p w:rsidR="00456002" w:rsidRPr="00653421" w:rsidRDefault="00456002" w:rsidP="002C1048">
      <w:pPr>
        <w:numPr>
          <w:ilvl w:val="0"/>
          <w:numId w:val="85"/>
        </w:numPr>
        <w:spacing w:after="60"/>
      </w:pPr>
      <w:r w:rsidRPr="00653421">
        <w:rPr>
          <w:rFonts w:eastAsia="Calibri" w:cs="Tahoma"/>
          <w:color w:val="000000"/>
          <w:szCs w:val="18"/>
        </w:rPr>
        <w:t xml:space="preserve">Lync Server Public Instant Messaging Connectivity com Serviço de Mensagens Instantâneas Yahoo </w:t>
      </w:r>
    </w:p>
    <w:p w:rsidR="00456002" w:rsidRPr="00653421" w:rsidRDefault="00456002" w:rsidP="002C1048">
      <w:pPr>
        <w:numPr>
          <w:ilvl w:val="0"/>
          <w:numId w:val="85"/>
        </w:numPr>
        <w:spacing w:after="60"/>
      </w:pPr>
      <w:r w:rsidRPr="00653421">
        <w:rPr>
          <w:rFonts w:eastAsia="Calibri" w:cs="Tahoma"/>
          <w:color w:val="000000"/>
          <w:szCs w:val="18"/>
        </w:rPr>
        <w:t>Office Groove Enterprise Services</w:t>
      </w:r>
    </w:p>
    <w:p w:rsidR="00061A45" w:rsidRPr="00653421" w:rsidRDefault="008368B4" w:rsidP="002C1048">
      <w:pPr>
        <w:numPr>
          <w:ilvl w:val="0"/>
          <w:numId w:val="85"/>
        </w:numPr>
        <w:spacing w:after="60"/>
      </w:pPr>
      <w:r w:rsidRPr="00653421">
        <w:rPr>
          <w:rFonts w:eastAsia="Calibri" w:cs="Tahoma"/>
          <w:color w:val="000000"/>
          <w:szCs w:val="18"/>
        </w:rPr>
        <w:t>Office 365 ProPlus</w:t>
      </w:r>
    </w:p>
    <w:p w:rsidR="00456002" w:rsidRPr="00653421" w:rsidRDefault="00456002" w:rsidP="002C1048">
      <w:pPr>
        <w:numPr>
          <w:ilvl w:val="0"/>
          <w:numId w:val="85"/>
        </w:numPr>
        <w:spacing w:after="60"/>
      </w:pPr>
      <w:r w:rsidRPr="00653421">
        <w:rPr>
          <w:rFonts w:eastAsia="Calibri" w:cs="Tahoma"/>
          <w:color w:val="000000"/>
          <w:szCs w:val="18"/>
        </w:rPr>
        <w:t>Office Live Meeting Standard e Professional Editions</w:t>
      </w:r>
    </w:p>
    <w:p w:rsidR="008368B4" w:rsidRPr="00653421" w:rsidRDefault="008368B4" w:rsidP="002C1048">
      <w:pPr>
        <w:numPr>
          <w:ilvl w:val="0"/>
          <w:numId w:val="85"/>
        </w:numPr>
        <w:spacing w:after="60"/>
      </w:pPr>
      <w:r w:rsidRPr="00653421">
        <w:rPr>
          <w:rFonts w:eastAsia="Calibri" w:cs="Tahoma"/>
          <w:color w:val="000000"/>
          <w:szCs w:val="18"/>
        </w:rPr>
        <w:t>Project Online</w:t>
      </w:r>
    </w:p>
    <w:p w:rsidR="008368B4" w:rsidRPr="00653421" w:rsidRDefault="008368B4" w:rsidP="002C1048">
      <w:pPr>
        <w:numPr>
          <w:ilvl w:val="0"/>
          <w:numId w:val="85"/>
        </w:numPr>
        <w:spacing w:after="60"/>
      </w:pPr>
      <w:r w:rsidRPr="00653421">
        <w:rPr>
          <w:rFonts w:eastAsia="Calibri" w:cs="Tahoma"/>
          <w:color w:val="000000"/>
          <w:szCs w:val="18"/>
        </w:rPr>
        <w:t>Project Pro para Office 365</w:t>
      </w:r>
    </w:p>
    <w:p w:rsidR="00456002" w:rsidRPr="00653421" w:rsidRDefault="00456002" w:rsidP="002C1048">
      <w:pPr>
        <w:numPr>
          <w:ilvl w:val="0"/>
          <w:numId w:val="85"/>
        </w:numPr>
        <w:spacing w:after="60"/>
      </w:pPr>
      <w:r w:rsidRPr="00653421">
        <w:rPr>
          <w:rFonts w:eastAsia="Calibri" w:cs="Tahoma"/>
          <w:color w:val="000000"/>
          <w:szCs w:val="18"/>
        </w:rPr>
        <w:t xml:space="preserve">SharePoint Online Plan 1 e Plano 2 </w:t>
      </w:r>
    </w:p>
    <w:p w:rsidR="00456002" w:rsidRPr="00653421" w:rsidRDefault="00456002" w:rsidP="002C1048">
      <w:pPr>
        <w:numPr>
          <w:ilvl w:val="0"/>
          <w:numId w:val="85"/>
        </w:numPr>
        <w:spacing w:after="60"/>
      </w:pPr>
      <w:r w:rsidRPr="00653421">
        <w:rPr>
          <w:rFonts w:eastAsia="Calibri" w:cs="Tahoma"/>
          <w:color w:val="000000"/>
          <w:szCs w:val="18"/>
        </w:rPr>
        <w:t>System Center Advisor</w:t>
      </w:r>
    </w:p>
    <w:p w:rsidR="008368B4" w:rsidRPr="00653421" w:rsidRDefault="008368B4" w:rsidP="002C1048">
      <w:pPr>
        <w:numPr>
          <w:ilvl w:val="0"/>
          <w:numId w:val="85"/>
        </w:numPr>
        <w:spacing w:after="60"/>
      </w:pPr>
      <w:r w:rsidRPr="00653421">
        <w:rPr>
          <w:rFonts w:eastAsia="Calibri" w:cs="Tahoma"/>
          <w:color w:val="000000"/>
          <w:szCs w:val="18"/>
        </w:rPr>
        <w:t>Visio Pro para Office 365</w:t>
      </w:r>
    </w:p>
    <w:p w:rsidR="00456002" w:rsidRPr="00653421" w:rsidRDefault="00456002" w:rsidP="002C1048">
      <w:pPr>
        <w:numPr>
          <w:ilvl w:val="0"/>
          <w:numId w:val="85"/>
        </w:numPr>
        <w:spacing w:after="60"/>
      </w:pPr>
      <w:r w:rsidRPr="00653421">
        <w:rPr>
          <w:rFonts w:eastAsia="Calibri" w:cs="Tahoma"/>
          <w:color w:val="000000"/>
          <w:szCs w:val="18"/>
        </w:rPr>
        <w:t>Serviços do Windows Azure</w:t>
      </w:r>
    </w:p>
    <w:p w:rsidR="00456002" w:rsidRPr="00653421" w:rsidRDefault="00456002" w:rsidP="002C1048">
      <w:pPr>
        <w:numPr>
          <w:ilvl w:val="0"/>
          <w:numId w:val="85"/>
        </w:numPr>
        <w:spacing w:after="60"/>
      </w:pPr>
      <w:r w:rsidRPr="00653421">
        <w:rPr>
          <w:rFonts w:eastAsia="Calibri" w:cs="Tahoma"/>
          <w:color w:val="000000"/>
          <w:szCs w:val="18"/>
        </w:rPr>
        <w:t>Windows Intune e Complemento do Windows Intune para System Center Configuration Manager e</w:t>
      </w:r>
      <w:r w:rsidR="00913309" w:rsidRPr="00653421">
        <w:rPr>
          <w:rFonts w:eastAsia="Calibri" w:cs="Tahoma"/>
          <w:color w:val="000000"/>
          <w:szCs w:val="18"/>
        </w:rPr>
        <w:t> </w:t>
      </w:r>
      <w:r w:rsidRPr="00653421">
        <w:rPr>
          <w:rFonts w:eastAsia="Calibri" w:cs="Tahoma"/>
          <w:color w:val="000000"/>
          <w:szCs w:val="18"/>
        </w:rPr>
        <w:t>System Center Endpoint Protection</w:t>
      </w:r>
    </w:p>
    <w:p w:rsidR="002D25C8" w:rsidRPr="00653421" w:rsidRDefault="002D25C8" w:rsidP="00212CC6"/>
    <w:p w:rsidR="00456002" w:rsidRPr="00734B50" w:rsidRDefault="00456002" w:rsidP="00116EDC">
      <w:pPr>
        <w:outlineLvl w:val="2"/>
        <w:rPr>
          <w:lang w:val="pt-BR"/>
        </w:rPr>
      </w:pPr>
      <w:r w:rsidRPr="00734B50">
        <w:rPr>
          <w:rFonts w:cs="Tahoma"/>
          <w:szCs w:val="18"/>
          <w:lang w:val="pt-BR"/>
        </w:rPr>
        <w:t>Existem outras ofertas além daquelas identificadas na seção de Serviços Online dos Direitos de Uso de Produto.</w:t>
      </w:r>
      <w:r w:rsidR="00DD7735" w:rsidRPr="00734B50">
        <w:rPr>
          <w:rFonts w:cs="Tahoma"/>
          <w:szCs w:val="18"/>
          <w:lang w:val="pt-BR"/>
        </w:rPr>
        <w:t xml:space="preserve"> </w:t>
      </w:r>
      <w:r w:rsidRPr="00734B50">
        <w:rPr>
          <w:rFonts w:cs="Tahoma"/>
          <w:szCs w:val="18"/>
          <w:lang w:val="pt-BR"/>
        </w:rPr>
        <w:t>As</w:t>
      </w:r>
      <w:r w:rsidR="00913309" w:rsidRPr="00734B50">
        <w:rPr>
          <w:rFonts w:cs="Tahoma"/>
          <w:szCs w:val="18"/>
          <w:lang w:val="pt-BR"/>
        </w:rPr>
        <w:t> </w:t>
      </w:r>
      <w:r w:rsidRPr="00734B50">
        <w:rPr>
          <w:rFonts w:cs="Tahoma"/>
          <w:szCs w:val="18"/>
          <w:lang w:val="pt-BR"/>
        </w:rPr>
        <w:t>seções restantes desses “Termos de Preços e Pagamentos dos Serviços Online” se aplicam aos Serviços Online identificados por nome anteriormente e a essas outras ofertas.</w:t>
      </w:r>
    </w:p>
    <w:p w:rsidR="00116EDC" w:rsidRPr="00734B50" w:rsidRDefault="00116EDC" w:rsidP="00116EDC">
      <w:pPr>
        <w:outlineLvl w:val="2"/>
        <w:rPr>
          <w:lang w:val="pt-BR"/>
        </w:rPr>
      </w:pPr>
    </w:p>
    <w:p w:rsidR="00456002" w:rsidRPr="00734B50" w:rsidRDefault="00456002" w:rsidP="00456002">
      <w:pPr>
        <w:pStyle w:val="Heading2"/>
        <w:ind w:left="0"/>
        <w:rPr>
          <w:lang w:val="pt-BR"/>
        </w:rPr>
      </w:pPr>
      <w:bookmarkStart w:id="721" w:name="_Toc336338208"/>
      <w:bookmarkStart w:id="722" w:name="_Toc353470856"/>
      <w:r w:rsidRPr="00734B50">
        <w:rPr>
          <w:rFonts w:ascii="Tahoma" w:hAnsi="Tahoma" w:cs="Tahoma"/>
          <w:lang w:val="pt-BR"/>
        </w:rPr>
        <w:t>Prazo da assinatura de Serviços Online</w:t>
      </w:r>
      <w:bookmarkEnd w:id="721"/>
      <w:bookmarkEnd w:id="722"/>
    </w:p>
    <w:p w:rsidR="00456002" w:rsidRPr="00734B50" w:rsidRDefault="00456002" w:rsidP="00116EDC">
      <w:pPr>
        <w:outlineLvl w:val="2"/>
        <w:rPr>
          <w:lang w:val="pt-BR"/>
        </w:rPr>
      </w:pPr>
    </w:p>
    <w:p w:rsidR="006A5DAE" w:rsidRPr="00734B50" w:rsidRDefault="00456002" w:rsidP="006A5DAE">
      <w:pPr>
        <w:outlineLvl w:val="2"/>
        <w:rPr>
          <w:lang w:val="pt-BR"/>
        </w:rPr>
      </w:pPr>
      <w:r w:rsidRPr="00734B50">
        <w:rPr>
          <w:rFonts w:cs="Tahoma"/>
          <w:szCs w:val="18"/>
          <w:lang w:val="pt-BR"/>
        </w:rPr>
        <w:t>A compra inicial de uma nova assinatura de serviços online determinará a duração do prazo da assinatura.</w:t>
      </w:r>
      <w:r w:rsidR="00DD7735" w:rsidRPr="00734B50">
        <w:rPr>
          <w:rFonts w:cs="Tahoma"/>
          <w:szCs w:val="18"/>
          <w:lang w:val="pt-BR"/>
        </w:rPr>
        <w:t xml:space="preserve"> </w:t>
      </w:r>
      <w:r w:rsidRPr="00734B50">
        <w:rPr>
          <w:rFonts w:cs="Tahoma"/>
          <w:szCs w:val="18"/>
          <w:lang w:val="pt-BR"/>
        </w:rPr>
        <w:t>Alguns serviços permitem ao cliente optar entre um prazo de assinatura de um ano ou uma assinatura que acaba na data de</w:t>
      </w:r>
      <w:r w:rsidR="00913309" w:rsidRPr="00734B50">
        <w:rPr>
          <w:rFonts w:cs="Tahoma"/>
          <w:szCs w:val="18"/>
          <w:lang w:val="pt-BR"/>
        </w:rPr>
        <w:t> </w:t>
      </w:r>
      <w:r w:rsidRPr="00734B50">
        <w:rPr>
          <w:rFonts w:cs="Tahoma"/>
          <w:szCs w:val="18"/>
          <w:lang w:val="pt-BR"/>
        </w:rPr>
        <w:t>término do contrato ou registro do cliente (“coextensiva”) conforme indicado na tabela a seguir.</w:t>
      </w:r>
      <w:r w:rsidR="00DD7735" w:rsidRPr="00734B50">
        <w:rPr>
          <w:rFonts w:cs="Tahoma"/>
          <w:szCs w:val="18"/>
          <w:lang w:val="pt-BR"/>
        </w:rPr>
        <w:t xml:space="preserve"> </w:t>
      </w:r>
      <w:r w:rsidRPr="00734B50">
        <w:rPr>
          <w:rFonts w:cs="Tahoma"/>
          <w:szCs w:val="18"/>
          <w:lang w:val="pt-BR"/>
        </w:rPr>
        <w:t>O Select Plus não</w:t>
      </w:r>
      <w:r w:rsidR="00913309" w:rsidRPr="00734B50">
        <w:rPr>
          <w:rFonts w:cs="Tahoma"/>
          <w:szCs w:val="18"/>
          <w:lang w:val="pt-BR"/>
        </w:rPr>
        <w:t> </w:t>
      </w:r>
      <w:r w:rsidRPr="00734B50">
        <w:rPr>
          <w:rFonts w:cs="Tahoma"/>
          <w:szCs w:val="18"/>
          <w:lang w:val="pt-BR"/>
        </w:rPr>
        <w:t>oferece a opção coextensiva, mas permite ao cliente optar pelos termos de assinatura, incluindo 1 ano, 3 anos ou para alinhar o segundo aniversário a partir da data de início do prazo.</w:t>
      </w:r>
      <w:r w:rsidR="00DD7735" w:rsidRPr="00734B50">
        <w:rPr>
          <w:rFonts w:cs="Tahoma"/>
          <w:szCs w:val="18"/>
          <w:lang w:val="pt-BR"/>
        </w:rPr>
        <w:t xml:space="preserve"> </w:t>
      </w:r>
      <w:r w:rsidRPr="00734B50">
        <w:rPr>
          <w:rFonts w:cs="Tahoma"/>
          <w:szCs w:val="18"/>
          <w:lang w:val="pt-BR"/>
        </w:rPr>
        <w:t>O prazo de assinatura de um ano pode não</w:t>
      </w:r>
      <w:r w:rsidR="00913309" w:rsidRPr="00734B50">
        <w:rPr>
          <w:rFonts w:cs="Tahoma"/>
          <w:szCs w:val="18"/>
          <w:lang w:val="pt-BR"/>
        </w:rPr>
        <w:t> </w:t>
      </w:r>
      <w:r w:rsidRPr="00734B50">
        <w:rPr>
          <w:rFonts w:cs="Tahoma"/>
          <w:szCs w:val="18"/>
          <w:lang w:val="pt-BR"/>
        </w:rPr>
        <w:t>estar alinhado nem expirar na data de término do contrato do cliente.</w:t>
      </w:r>
      <w:r w:rsidR="00DD7735" w:rsidRPr="00734B50">
        <w:rPr>
          <w:rFonts w:cs="Tahoma"/>
          <w:szCs w:val="18"/>
          <w:lang w:val="pt-BR"/>
        </w:rPr>
        <w:t xml:space="preserve"> </w:t>
      </w:r>
      <w:r w:rsidRPr="00734B50">
        <w:rPr>
          <w:rFonts w:cs="Tahoma"/>
          <w:szCs w:val="18"/>
          <w:lang w:val="pt-BR"/>
        </w:rPr>
        <w:t>Se o prazo de assinatura de um ano se</w:t>
      </w:r>
      <w:r w:rsidR="00913309" w:rsidRPr="00734B50">
        <w:rPr>
          <w:rFonts w:cs="Tahoma"/>
          <w:szCs w:val="18"/>
          <w:lang w:val="pt-BR"/>
        </w:rPr>
        <w:t> </w:t>
      </w:r>
      <w:r w:rsidRPr="00734B50">
        <w:rPr>
          <w:rFonts w:cs="Tahoma"/>
          <w:szCs w:val="18"/>
          <w:lang w:val="pt-BR"/>
        </w:rPr>
        <w:t>encerrar após o contrato, o cliente deverá ter um contrato de licenciamento por volume ativo para solicitar licenças adicionais ou renovar o serviço.</w:t>
      </w:r>
      <w:r w:rsidR="00DD7735" w:rsidRPr="00734B50">
        <w:rPr>
          <w:rFonts w:cs="Tahoma"/>
          <w:szCs w:val="18"/>
          <w:lang w:val="pt-BR"/>
        </w:rPr>
        <w:t xml:space="preserve"> </w:t>
      </w:r>
      <w:r w:rsidRPr="00734B50">
        <w:rPr>
          <w:rFonts w:cs="Tahoma"/>
          <w:szCs w:val="18"/>
          <w:lang w:val="pt-BR"/>
        </w:rPr>
        <w:t>Se o cliente fizer compras adicionais de um serviço, o prazo da assinatura da</w:t>
      </w:r>
      <w:r w:rsidR="00913309" w:rsidRPr="00734B50">
        <w:rPr>
          <w:rFonts w:cs="Tahoma"/>
          <w:szCs w:val="18"/>
          <w:lang w:val="pt-BR"/>
        </w:rPr>
        <w:t> </w:t>
      </w:r>
      <w:r w:rsidRPr="00734B50">
        <w:rPr>
          <w:rFonts w:cs="Tahoma"/>
          <w:szCs w:val="18"/>
          <w:lang w:val="pt-BR"/>
        </w:rPr>
        <w:t>compra adicional deverá estar alinhado com o prazo da assinatura existente do cliente para o mesmo serviço.</w:t>
      </w:r>
      <w:r w:rsidR="00DD7735" w:rsidRPr="00734B50">
        <w:rPr>
          <w:rFonts w:cs="Tahoma"/>
          <w:szCs w:val="18"/>
          <w:lang w:val="pt-BR"/>
        </w:rPr>
        <w:t xml:space="preserve"> </w:t>
      </w:r>
      <w:r w:rsidRPr="00734B50">
        <w:rPr>
          <w:rFonts w:cs="Tahoma"/>
          <w:szCs w:val="18"/>
          <w:lang w:val="pt-BR"/>
        </w:rPr>
        <w:t>Se</w:t>
      </w:r>
      <w:r w:rsidR="00913309" w:rsidRPr="00734B50">
        <w:rPr>
          <w:rFonts w:cs="Tahoma"/>
          <w:szCs w:val="18"/>
          <w:lang w:val="pt-BR"/>
        </w:rPr>
        <w:t> </w:t>
      </w:r>
      <w:r w:rsidRPr="00734B50">
        <w:rPr>
          <w:rFonts w:cs="Tahoma"/>
          <w:szCs w:val="18"/>
          <w:lang w:val="pt-BR"/>
        </w:rPr>
        <w:t>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DD7735" w:rsidRPr="00734B50">
        <w:rPr>
          <w:rFonts w:cs="Tahoma"/>
          <w:szCs w:val="18"/>
          <w:lang w:val="pt-BR"/>
        </w:rPr>
        <w:t xml:space="preserve"> </w:t>
      </w:r>
      <w:r w:rsidRPr="00734B50">
        <w:rPr>
          <w:rFonts w:cs="Tahoma"/>
          <w:szCs w:val="18"/>
          <w:lang w:val="pt-BR"/>
        </w:rPr>
        <w:t xml:space="preserve">Para informações específicas dos Serviços do Windows Azure, consulte a seção Serviços do Windows Azure abaixo. </w:t>
      </w:r>
    </w:p>
    <w:p w:rsidR="00456002" w:rsidRPr="00734B50" w:rsidRDefault="00456002" w:rsidP="00212CC6">
      <w:pPr>
        <w:rPr>
          <w:lang w:val="pt-B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04628"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734B50" w:rsidRDefault="00456002" w:rsidP="005C647E">
            <w:pPr>
              <w:jc w:val="center"/>
              <w:rPr>
                <w:rFonts w:eastAsia="Calibri" w:cs="Tahoma"/>
                <w:b/>
                <w:bCs/>
                <w:sz w:val="20"/>
                <w:szCs w:val="18"/>
                <w:lang w:val="pt-BR"/>
              </w:rPr>
            </w:pPr>
            <w:r w:rsidRPr="00734B50">
              <w:rPr>
                <w:rFonts w:eastAsia="Calibri" w:cs="Tahoma"/>
                <w:b/>
                <w:bCs/>
                <w:sz w:val="20"/>
                <w:szCs w:val="18"/>
                <w:lang w:val="pt-BR"/>
              </w:rPr>
              <w:lastRenderedPageBreak/>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734B50" w:rsidRDefault="00456002" w:rsidP="005C647E">
            <w:pPr>
              <w:jc w:val="center"/>
              <w:rPr>
                <w:rFonts w:eastAsia="Calibri" w:cs="Tahoma"/>
                <w:b/>
                <w:bCs/>
                <w:sz w:val="20"/>
                <w:szCs w:val="18"/>
                <w:lang w:val="pt-BR"/>
              </w:rPr>
            </w:pPr>
            <w:r w:rsidRPr="00734B50">
              <w:rPr>
                <w:rFonts w:eastAsia="Calibri" w:cs="Tahoma"/>
                <w:b/>
                <w:bCs/>
                <w:sz w:val="20"/>
                <w:szCs w:val="18"/>
                <w:lang w:val="pt-BR"/>
              </w:rPr>
              <w:t>Serviços Online Disponíveis Apenas para Termo de Assinatura Coextensiva</w:t>
            </w:r>
          </w:p>
        </w:tc>
      </w:tr>
      <w:tr w:rsidR="00456002" w:rsidRPr="00653421"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653421" w:rsidRDefault="00456002" w:rsidP="002C1048">
            <w:pPr>
              <w:numPr>
                <w:ilvl w:val="0"/>
                <w:numId w:val="86"/>
              </w:numPr>
              <w:spacing w:after="60"/>
              <w:ind w:left="720" w:right="259"/>
            </w:pPr>
            <w:r w:rsidRPr="00653421">
              <w:rPr>
                <w:rFonts w:eastAsia="Calibri" w:cs="Tahoma"/>
                <w:color w:val="000000"/>
                <w:szCs w:val="18"/>
              </w:rPr>
              <w:t>Bing Maps Professional</w:t>
            </w:r>
          </w:p>
          <w:p w:rsidR="00456002" w:rsidRPr="00653421" w:rsidRDefault="00456002" w:rsidP="002C1048">
            <w:pPr>
              <w:numPr>
                <w:ilvl w:val="0"/>
                <w:numId w:val="86"/>
              </w:numPr>
              <w:spacing w:after="60"/>
              <w:ind w:left="720" w:right="259"/>
            </w:pPr>
            <w:r w:rsidRPr="00653421">
              <w:rPr>
                <w:rFonts w:eastAsia="Calibri" w:cs="Tahoma"/>
                <w:color w:val="000000"/>
                <w:szCs w:val="18"/>
              </w:rPr>
              <w:t>Exchange Online Protection</w:t>
            </w:r>
          </w:p>
          <w:p w:rsidR="00456002" w:rsidRPr="00653421" w:rsidRDefault="00456002" w:rsidP="002C1048">
            <w:pPr>
              <w:numPr>
                <w:ilvl w:val="0"/>
                <w:numId w:val="86"/>
              </w:numPr>
              <w:spacing w:after="60"/>
              <w:ind w:left="720" w:right="259"/>
            </w:pPr>
            <w:r w:rsidRPr="00653421">
              <w:rPr>
                <w:rFonts w:eastAsia="Calibri" w:cs="Tahoma"/>
                <w:color w:val="000000"/>
                <w:szCs w:val="18"/>
              </w:rPr>
              <w:t>Forefront Protection 2010 for Exchange Server</w:t>
            </w:r>
          </w:p>
          <w:p w:rsidR="00456002" w:rsidRPr="00653421" w:rsidRDefault="00456002" w:rsidP="002C1048">
            <w:pPr>
              <w:numPr>
                <w:ilvl w:val="0"/>
                <w:numId w:val="86"/>
              </w:numPr>
              <w:spacing w:after="60"/>
              <w:ind w:left="720" w:right="259"/>
            </w:pPr>
            <w:r w:rsidRPr="00653421">
              <w:rPr>
                <w:rFonts w:eastAsia="Calibri" w:cs="Tahoma"/>
                <w:color w:val="000000"/>
                <w:szCs w:val="18"/>
              </w:rPr>
              <w:t xml:space="preserve">Forefront Protection 2010 para SharePoint </w:t>
            </w:r>
          </w:p>
          <w:p w:rsidR="00456002" w:rsidRPr="00653421" w:rsidRDefault="00456002" w:rsidP="002C1048">
            <w:pPr>
              <w:numPr>
                <w:ilvl w:val="0"/>
                <w:numId w:val="86"/>
              </w:numPr>
              <w:spacing w:after="60"/>
              <w:ind w:left="720" w:right="259"/>
            </w:pPr>
            <w:r w:rsidRPr="00653421">
              <w:rPr>
                <w:rFonts w:eastAsia="Calibri" w:cs="Tahoma"/>
                <w:color w:val="000000"/>
                <w:szCs w:val="18"/>
              </w:rPr>
              <w:t>Forefront Protection Suite</w:t>
            </w:r>
          </w:p>
          <w:p w:rsidR="00456002" w:rsidRPr="00653421" w:rsidRDefault="00456002" w:rsidP="002C1048">
            <w:pPr>
              <w:numPr>
                <w:ilvl w:val="0"/>
                <w:numId w:val="86"/>
              </w:numPr>
              <w:spacing w:after="60"/>
              <w:ind w:left="720" w:right="259"/>
            </w:pPr>
            <w:r w:rsidRPr="00653421">
              <w:rPr>
                <w:rFonts w:eastAsia="Calibri" w:cs="Tahoma"/>
                <w:color w:val="000000"/>
                <w:szCs w:val="18"/>
              </w:rPr>
              <w:t>Forefront Security for Office Communications Server</w:t>
            </w:r>
          </w:p>
          <w:p w:rsidR="00456002" w:rsidRPr="00653421" w:rsidRDefault="00456002" w:rsidP="002C1048">
            <w:pPr>
              <w:numPr>
                <w:ilvl w:val="0"/>
                <w:numId w:val="86"/>
              </w:numPr>
              <w:spacing w:after="60"/>
              <w:ind w:left="720" w:right="259"/>
            </w:pPr>
            <w:r w:rsidRPr="00653421">
              <w:rPr>
                <w:rFonts w:eastAsia="Calibri" w:cs="Tahoma"/>
                <w:color w:val="000000"/>
                <w:szCs w:val="18"/>
              </w:rPr>
              <w:t>Forefront Threat Management Gateway Web Protection Service</w:t>
            </w:r>
          </w:p>
          <w:p w:rsidR="00456002" w:rsidRPr="00653421" w:rsidRDefault="00456002" w:rsidP="002C1048">
            <w:pPr>
              <w:numPr>
                <w:ilvl w:val="0"/>
                <w:numId w:val="86"/>
              </w:numPr>
              <w:spacing w:after="60"/>
              <w:ind w:left="720" w:right="259"/>
            </w:pPr>
            <w:r w:rsidRPr="00653421">
              <w:rPr>
                <w:rFonts w:eastAsia="Calibri" w:cs="Tahoma"/>
                <w:color w:val="000000"/>
                <w:szCs w:val="18"/>
              </w:rPr>
              <w:t>O Lync Server Public Instant Messaging Connectivity com Serviço de Mensagens Instantâneas AOL (America Online) e</w:t>
            </w:r>
            <w:r w:rsidR="00430597" w:rsidRPr="00653421">
              <w:rPr>
                <w:rFonts w:eastAsia="Calibri" w:cs="Tahoma"/>
                <w:color w:val="000000"/>
                <w:szCs w:val="18"/>
              </w:rPr>
              <w:t> </w:t>
            </w:r>
            <w:r w:rsidRPr="00653421">
              <w:rPr>
                <w:rFonts w:eastAsia="Calibri" w:cs="Tahoma"/>
                <w:color w:val="000000"/>
                <w:szCs w:val="18"/>
              </w:rPr>
              <w:t>Serviço Windows Live Messenger</w:t>
            </w:r>
          </w:p>
          <w:p w:rsidR="00456002" w:rsidRPr="00653421" w:rsidRDefault="00456002" w:rsidP="002C1048">
            <w:pPr>
              <w:numPr>
                <w:ilvl w:val="0"/>
                <w:numId w:val="86"/>
              </w:numPr>
              <w:spacing w:after="60"/>
              <w:ind w:left="720" w:right="259"/>
            </w:pPr>
            <w:r w:rsidRPr="00653421">
              <w:rPr>
                <w:rFonts w:eastAsia="Calibri" w:cs="Tahoma"/>
                <w:color w:val="000000"/>
                <w:szCs w:val="18"/>
              </w:rPr>
              <w:t xml:space="preserve">Lync Server Public Instant Messaging Connectivity com Serviço de Mensagens Instantâneas Yahoo </w:t>
            </w:r>
          </w:p>
          <w:p w:rsidR="00456002" w:rsidRPr="00653421" w:rsidRDefault="00456002" w:rsidP="002C1048">
            <w:pPr>
              <w:numPr>
                <w:ilvl w:val="0"/>
                <w:numId w:val="86"/>
              </w:numPr>
              <w:spacing w:after="60"/>
              <w:ind w:left="720" w:right="259"/>
            </w:pPr>
            <w:r w:rsidRPr="00653421">
              <w:rPr>
                <w:rFonts w:eastAsia="Calibri" w:cs="Tahoma"/>
                <w:color w:val="000000"/>
                <w:szCs w:val="18"/>
              </w:rPr>
              <w:t>Microsoft Exchange Hosted Encryption</w:t>
            </w:r>
            <w:r w:rsidR="00DD7735" w:rsidRPr="00653421">
              <w:rPr>
                <w:rFonts w:eastAsia="Calibri" w:cs="Tahoma"/>
                <w:color w:val="000000"/>
                <w:szCs w:val="18"/>
              </w:rPr>
              <w:t xml:space="preserve"> </w:t>
            </w:r>
          </w:p>
          <w:p w:rsidR="00456002" w:rsidRPr="00653421" w:rsidRDefault="00456002" w:rsidP="002C1048">
            <w:pPr>
              <w:numPr>
                <w:ilvl w:val="0"/>
                <w:numId w:val="86"/>
              </w:numPr>
              <w:spacing w:after="60"/>
              <w:ind w:left="720" w:right="259"/>
            </w:pPr>
            <w:r w:rsidRPr="00653421">
              <w:rPr>
                <w:rFonts w:eastAsia="Calibri" w:cs="Tahoma"/>
                <w:color w:val="000000"/>
                <w:szCs w:val="18"/>
              </w:rPr>
              <w:t>Microsoft Learning Solutions</w:t>
            </w:r>
          </w:p>
          <w:p w:rsidR="00456002" w:rsidRPr="00653421" w:rsidRDefault="00456002" w:rsidP="002C1048">
            <w:pPr>
              <w:numPr>
                <w:ilvl w:val="0"/>
                <w:numId w:val="86"/>
              </w:numPr>
              <w:spacing w:after="60"/>
              <w:ind w:left="720" w:right="259"/>
            </w:pPr>
            <w:r w:rsidRPr="00653421">
              <w:rPr>
                <w:rFonts w:eastAsia="Calibri" w:cs="Tahoma"/>
                <w:color w:val="000000"/>
                <w:szCs w:val="18"/>
              </w:rPr>
              <w:t>Office Groove Enterprise Services</w:t>
            </w:r>
          </w:p>
          <w:p w:rsidR="00456002" w:rsidRPr="00653421" w:rsidRDefault="00456002" w:rsidP="002C1048">
            <w:pPr>
              <w:numPr>
                <w:ilvl w:val="0"/>
                <w:numId w:val="86"/>
              </w:numPr>
              <w:spacing w:after="60"/>
              <w:ind w:left="720" w:right="259"/>
            </w:pPr>
            <w:r w:rsidRPr="00653421">
              <w:rPr>
                <w:rFonts w:eastAsia="Calibri" w:cs="Tahoma"/>
                <w:color w:val="000000"/>
                <w:szCs w:val="18"/>
              </w:rPr>
              <w:t>System Center 2012 Endpoint Protection</w:t>
            </w:r>
          </w:p>
          <w:p w:rsidR="00456002" w:rsidRPr="00653421" w:rsidRDefault="00456002" w:rsidP="002C1048">
            <w:pPr>
              <w:numPr>
                <w:ilvl w:val="0"/>
                <w:numId w:val="86"/>
              </w:numPr>
              <w:spacing w:after="60"/>
              <w:ind w:left="720" w:right="259"/>
            </w:pPr>
            <w:r w:rsidRPr="00653421">
              <w:rPr>
                <w:rFonts w:eastAsia="Calibri" w:cs="Tahoma"/>
                <w:color w:val="000000"/>
                <w:szCs w:val="18"/>
              </w:rPr>
              <w:t xml:space="preserve">Assinatura do Web Antimalware para Forefront Threat Management Gateway Medium Business Edition </w:t>
            </w:r>
          </w:p>
          <w:p w:rsidR="00456002" w:rsidRPr="00653421" w:rsidRDefault="00456002" w:rsidP="002C1048">
            <w:pPr>
              <w:numPr>
                <w:ilvl w:val="0"/>
                <w:numId w:val="86"/>
              </w:numPr>
              <w:spacing w:after="60"/>
              <w:ind w:left="720" w:right="259"/>
              <w:rPr>
                <w:rFonts w:eastAsia="Calibri" w:cs="Tahoma"/>
                <w:color w:val="000000"/>
                <w:szCs w:val="18"/>
              </w:rPr>
            </w:pPr>
            <w:r w:rsidRPr="00653421">
              <w:rPr>
                <w:rFonts w:eastAsia="Calibri" w:cs="Tahoma"/>
                <w:color w:val="000000"/>
                <w:szCs w:val="18"/>
              </w:rPr>
              <w:t>Serviços do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653421" w:rsidRDefault="00456002" w:rsidP="002C1048">
            <w:pPr>
              <w:numPr>
                <w:ilvl w:val="0"/>
                <w:numId w:val="87"/>
              </w:numPr>
              <w:spacing w:after="60"/>
              <w:ind w:left="576" w:right="187"/>
            </w:pPr>
            <w:r w:rsidRPr="00653421">
              <w:rPr>
                <w:rFonts w:eastAsia="Calibri" w:cs="Tahoma"/>
                <w:color w:val="000000"/>
                <w:szCs w:val="18"/>
              </w:rPr>
              <w:t xml:space="preserve">Dynamics CRM Online </w:t>
            </w:r>
          </w:p>
          <w:p w:rsidR="00456002" w:rsidRPr="00653421" w:rsidRDefault="00456002" w:rsidP="002C1048">
            <w:pPr>
              <w:numPr>
                <w:ilvl w:val="0"/>
                <w:numId w:val="87"/>
              </w:numPr>
              <w:spacing w:after="60"/>
              <w:ind w:left="576" w:right="187"/>
            </w:pPr>
            <w:r w:rsidRPr="00653421">
              <w:rPr>
                <w:rFonts w:eastAsia="Calibri" w:cs="Tahoma"/>
                <w:color w:val="000000"/>
                <w:szCs w:val="18"/>
              </w:rPr>
              <w:t>Dynamics Mobile</w:t>
            </w:r>
          </w:p>
          <w:p w:rsidR="00456002" w:rsidRPr="00653421" w:rsidRDefault="00456002" w:rsidP="002C1048">
            <w:pPr>
              <w:numPr>
                <w:ilvl w:val="0"/>
                <w:numId w:val="87"/>
              </w:numPr>
              <w:spacing w:after="60"/>
              <w:ind w:left="576" w:right="187"/>
            </w:pPr>
            <w:r w:rsidRPr="00653421">
              <w:rPr>
                <w:rFonts w:eastAsia="Calibri" w:cs="Tahoma"/>
                <w:color w:val="000000"/>
                <w:szCs w:val="18"/>
              </w:rPr>
              <w:t>Dynamics Onprem Mobile</w:t>
            </w:r>
          </w:p>
          <w:p w:rsidR="009B3FA2" w:rsidRPr="00734B50" w:rsidRDefault="009B3FA2" w:rsidP="002C1048">
            <w:pPr>
              <w:numPr>
                <w:ilvl w:val="0"/>
                <w:numId w:val="87"/>
              </w:numPr>
              <w:spacing w:after="60"/>
              <w:ind w:left="576" w:right="187"/>
              <w:rPr>
                <w:lang w:val="pt-BR"/>
              </w:rPr>
            </w:pPr>
            <w:r w:rsidRPr="00734B50">
              <w:rPr>
                <w:rFonts w:eastAsia="Calibri" w:cs="Tahoma"/>
                <w:color w:val="000000"/>
                <w:szCs w:val="18"/>
                <w:lang w:val="pt-BR"/>
              </w:rPr>
              <w:t>Arquivamento do Exchange Online para Exchange Online</w:t>
            </w:r>
          </w:p>
          <w:p w:rsidR="00456002" w:rsidRPr="00734B50" w:rsidRDefault="00456002" w:rsidP="002C1048">
            <w:pPr>
              <w:numPr>
                <w:ilvl w:val="0"/>
                <w:numId w:val="87"/>
              </w:numPr>
              <w:spacing w:after="60"/>
              <w:ind w:left="576" w:right="187"/>
              <w:rPr>
                <w:lang w:val="pt-BR"/>
              </w:rPr>
            </w:pPr>
            <w:r w:rsidRPr="00734B50">
              <w:rPr>
                <w:rFonts w:eastAsia="Calibri" w:cs="Tahoma"/>
                <w:color w:val="000000"/>
                <w:szCs w:val="18"/>
                <w:lang w:val="pt-BR"/>
              </w:rPr>
              <w:t>Arquivamento do Exchange Online para Exchange Server</w:t>
            </w:r>
          </w:p>
          <w:p w:rsidR="00456002" w:rsidRPr="00734B50" w:rsidRDefault="00456002" w:rsidP="002C1048">
            <w:pPr>
              <w:numPr>
                <w:ilvl w:val="0"/>
                <w:numId w:val="87"/>
              </w:numPr>
              <w:spacing w:after="60"/>
              <w:ind w:left="576" w:right="187"/>
              <w:rPr>
                <w:lang w:val="pt-BR"/>
              </w:rPr>
            </w:pPr>
            <w:r w:rsidRPr="00734B50">
              <w:rPr>
                <w:rFonts w:eastAsia="Calibri" w:cs="Tahoma"/>
                <w:color w:val="000000"/>
                <w:szCs w:val="18"/>
                <w:lang w:val="pt-BR"/>
              </w:rPr>
              <w:t>Quiosque do Exchange Online, Plano 1 e</w:t>
            </w:r>
            <w:r w:rsidR="00430597" w:rsidRPr="00734B50">
              <w:rPr>
                <w:rFonts w:eastAsia="Calibri" w:cs="Tahoma"/>
                <w:color w:val="000000"/>
                <w:szCs w:val="18"/>
                <w:lang w:val="pt-BR"/>
              </w:rPr>
              <w:t> </w:t>
            </w:r>
            <w:r w:rsidRPr="00734B50">
              <w:rPr>
                <w:rFonts w:eastAsia="Calibri" w:cs="Tahoma"/>
                <w:color w:val="000000"/>
                <w:szCs w:val="18"/>
                <w:lang w:val="pt-BR"/>
              </w:rPr>
              <w:t xml:space="preserve">Plano 2 </w:t>
            </w:r>
          </w:p>
          <w:p w:rsidR="00456002" w:rsidRPr="00653421" w:rsidRDefault="00456002" w:rsidP="002C1048">
            <w:pPr>
              <w:numPr>
                <w:ilvl w:val="0"/>
                <w:numId w:val="87"/>
              </w:numPr>
              <w:spacing w:after="60"/>
              <w:ind w:left="576" w:right="187"/>
            </w:pPr>
            <w:r w:rsidRPr="00653421">
              <w:rPr>
                <w:rFonts w:eastAsia="Calibri" w:cs="Tahoma"/>
                <w:color w:val="000000"/>
                <w:szCs w:val="18"/>
              </w:rPr>
              <w:t>Lync Online Planos 1, 2 e 3</w:t>
            </w:r>
          </w:p>
          <w:p w:rsidR="009B3FA2" w:rsidRPr="00653421" w:rsidRDefault="00456002" w:rsidP="002C1048">
            <w:pPr>
              <w:numPr>
                <w:ilvl w:val="0"/>
                <w:numId w:val="87"/>
              </w:numPr>
              <w:spacing w:after="60"/>
              <w:ind w:left="576" w:right="187"/>
            </w:pPr>
            <w:r w:rsidRPr="00653421">
              <w:rPr>
                <w:rFonts w:eastAsia="Calibri" w:cs="Tahoma"/>
                <w:color w:val="000000"/>
                <w:szCs w:val="18"/>
              </w:rPr>
              <w:t>Office 365 Education A2, A3 e A4</w:t>
            </w:r>
          </w:p>
          <w:p w:rsidR="00456002" w:rsidRPr="00653421" w:rsidRDefault="009B3FA2" w:rsidP="002C1048">
            <w:pPr>
              <w:numPr>
                <w:ilvl w:val="0"/>
                <w:numId w:val="87"/>
              </w:numPr>
              <w:spacing w:after="60"/>
              <w:ind w:left="576" w:right="187"/>
            </w:pPr>
            <w:r w:rsidRPr="00653421">
              <w:rPr>
                <w:rFonts w:eastAsia="Calibri" w:cs="Tahoma"/>
                <w:color w:val="000000"/>
                <w:szCs w:val="18"/>
              </w:rPr>
              <w:t>Office 365 Enterprise K1, K2,E1, E2, E2, E3 e E4</w:t>
            </w:r>
          </w:p>
          <w:p w:rsidR="00061A45" w:rsidRPr="00653421" w:rsidRDefault="008368B4" w:rsidP="002C1048">
            <w:pPr>
              <w:numPr>
                <w:ilvl w:val="0"/>
                <w:numId w:val="87"/>
              </w:numPr>
              <w:spacing w:after="60"/>
              <w:ind w:left="576" w:right="187"/>
            </w:pPr>
            <w:r w:rsidRPr="00653421">
              <w:rPr>
                <w:rFonts w:eastAsia="Calibri" w:cs="Tahoma"/>
                <w:color w:val="000000"/>
                <w:szCs w:val="18"/>
              </w:rPr>
              <w:t>Office 365 ProPlus</w:t>
            </w:r>
          </w:p>
          <w:p w:rsidR="00456002" w:rsidRPr="00653421" w:rsidRDefault="00456002" w:rsidP="002C1048">
            <w:pPr>
              <w:numPr>
                <w:ilvl w:val="0"/>
                <w:numId w:val="87"/>
              </w:numPr>
              <w:spacing w:after="60"/>
              <w:ind w:left="576" w:right="187"/>
            </w:pPr>
            <w:r w:rsidRPr="00653421">
              <w:rPr>
                <w:rFonts w:eastAsia="Calibri" w:cs="Tahoma"/>
                <w:color w:val="000000"/>
                <w:szCs w:val="18"/>
              </w:rPr>
              <w:t>Aplicativos da Web do Office</w:t>
            </w:r>
          </w:p>
          <w:p w:rsidR="008368B4" w:rsidRPr="00653421" w:rsidRDefault="008368B4" w:rsidP="002C1048">
            <w:pPr>
              <w:numPr>
                <w:ilvl w:val="0"/>
                <w:numId w:val="87"/>
              </w:numPr>
              <w:spacing w:after="60"/>
              <w:ind w:left="576" w:right="187"/>
            </w:pPr>
            <w:r w:rsidRPr="00653421">
              <w:rPr>
                <w:rFonts w:eastAsia="Calibri" w:cs="Tahoma"/>
                <w:color w:val="000000"/>
                <w:szCs w:val="18"/>
              </w:rPr>
              <w:t>Project Online</w:t>
            </w:r>
          </w:p>
          <w:p w:rsidR="008368B4" w:rsidRPr="00653421" w:rsidRDefault="008368B4" w:rsidP="002C1048">
            <w:pPr>
              <w:numPr>
                <w:ilvl w:val="0"/>
                <w:numId w:val="87"/>
              </w:numPr>
              <w:spacing w:after="60"/>
              <w:ind w:left="576" w:right="187"/>
            </w:pPr>
            <w:r w:rsidRPr="00653421">
              <w:rPr>
                <w:rFonts w:eastAsia="Calibri" w:cs="Tahoma"/>
                <w:color w:val="000000"/>
                <w:szCs w:val="18"/>
              </w:rPr>
              <w:t>Project Pro para Office 365</w:t>
            </w:r>
          </w:p>
          <w:p w:rsidR="00456002" w:rsidRPr="00653421" w:rsidRDefault="00456002" w:rsidP="002C1048">
            <w:pPr>
              <w:numPr>
                <w:ilvl w:val="0"/>
                <w:numId w:val="87"/>
              </w:numPr>
              <w:spacing w:after="60"/>
              <w:ind w:left="576" w:right="187"/>
            </w:pPr>
            <w:r w:rsidRPr="00653421">
              <w:rPr>
                <w:rFonts w:eastAsia="Calibri" w:cs="Tahoma"/>
                <w:color w:val="000000"/>
                <w:szCs w:val="18"/>
              </w:rPr>
              <w:t xml:space="preserve">SharePoint Online Plan 1 e Plano 2 </w:t>
            </w:r>
          </w:p>
          <w:p w:rsidR="00456002" w:rsidRPr="00653421" w:rsidRDefault="00456002" w:rsidP="009B3FA2">
            <w:pPr>
              <w:numPr>
                <w:ilvl w:val="0"/>
                <w:numId w:val="87"/>
              </w:numPr>
              <w:spacing w:after="60"/>
              <w:ind w:left="576" w:right="187"/>
            </w:pPr>
            <w:r w:rsidRPr="00653421">
              <w:rPr>
                <w:rFonts w:eastAsia="Calibri" w:cs="Tahoma"/>
                <w:color w:val="000000"/>
                <w:szCs w:val="18"/>
              </w:rPr>
              <w:t>Windows Intune</w:t>
            </w:r>
          </w:p>
          <w:p w:rsidR="00456002" w:rsidRPr="00653421" w:rsidRDefault="003929D1" w:rsidP="002C1048">
            <w:pPr>
              <w:numPr>
                <w:ilvl w:val="0"/>
                <w:numId w:val="87"/>
              </w:numPr>
              <w:spacing w:after="60"/>
              <w:ind w:left="576" w:right="187"/>
            </w:pPr>
            <w:r w:rsidRPr="00653421">
              <w:rPr>
                <w:rFonts w:eastAsia="Calibri" w:cs="Tahoma"/>
                <w:color w:val="000000"/>
                <w:szCs w:val="18"/>
              </w:rPr>
              <w:t>Complemento do Windows Intune</w:t>
            </w:r>
          </w:p>
          <w:p w:rsidR="009B3FA2" w:rsidRPr="00653421" w:rsidRDefault="009B3FA2" w:rsidP="002C1048">
            <w:pPr>
              <w:numPr>
                <w:ilvl w:val="0"/>
                <w:numId w:val="87"/>
              </w:numPr>
              <w:spacing w:after="60"/>
              <w:ind w:left="576" w:right="187"/>
              <w:rPr>
                <w:rFonts w:eastAsia="Calibri" w:cs="Tahoma"/>
                <w:szCs w:val="18"/>
              </w:rPr>
            </w:pPr>
            <w:r w:rsidRPr="00653421">
              <w:rPr>
                <w:rFonts w:eastAsia="Calibri" w:cs="Tahoma"/>
                <w:color w:val="000000"/>
                <w:szCs w:val="18"/>
              </w:rPr>
              <w:t>Yammer Enterprise</w:t>
            </w:r>
          </w:p>
        </w:tc>
      </w:tr>
    </w:tbl>
    <w:p w:rsidR="00171817" w:rsidRPr="00653421" w:rsidRDefault="00171817" w:rsidP="00212CC6">
      <w:pPr>
        <w:pStyle w:val="Heading2"/>
        <w:ind w:left="0"/>
      </w:pPr>
    </w:p>
    <w:p w:rsidR="00456002" w:rsidRPr="00734B50" w:rsidRDefault="00456002" w:rsidP="00171817">
      <w:pPr>
        <w:pStyle w:val="Heading2"/>
        <w:ind w:left="0"/>
        <w:rPr>
          <w:lang w:val="pt-BR"/>
        </w:rPr>
      </w:pPr>
      <w:bookmarkStart w:id="723" w:name="_Toc336338209"/>
      <w:bookmarkStart w:id="724" w:name="_Toc353470857"/>
      <w:r w:rsidRPr="00734B50">
        <w:rPr>
          <w:rFonts w:ascii="Tahoma" w:hAnsi="Tahoma" w:cs="Tahoma"/>
          <w:lang w:val="pt-BR"/>
        </w:rPr>
        <w:t>Compras e renovação automática em Serviços Online</w:t>
      </w:r>
      <w:bookmarkEnd w:id="723"/>
      <w:bookmarkEnd w:id="724"/>
      <w:r w:rsidRPr="00734B50">
        <w:rPr>
          <w:rFonts w:ascii="Tahoma" w:hAnsi="Tahoma" w:cs="Tahoma"/>
          <w:lang w:val="pt-BR"/>
        </w:rPr>
        <w:t xml:space="preserve"> </w:t>
      </w:r>
    </w:p>
    <w:p w:rsidR="00456002" w:rsidRPr="00734B50" w:rsidRDefault="00456002" w:rsidP="00171817">
      <w:pPr>
        <w:outlineLvl w:val="2"/>
        <w:rPr>
          <w:lang w:val="pt-BR"/>
        </w:rPr>
      </w:pPr>
    </w:p>
    <w:p w:rsidR="00456002" w:rsidRPr="00734B50" w:rsidRDefault="00456002" w:rsidP="00212CC6">
      <w:pPr>
        <w:outlineLvl w:val="2"/>
        <w:rPr>
          <w:lang w:val="pt-BR"/>
        </w:rPr>
      </w:pPr>
      <w:r w:rsidRPr="00734B50">
        <w:rPr>
          <w:rFonts w:cs="Tahoma"/>
          <w:szCs w:val="18"/>
          <w:lang w:val="pt-BR"/>
        </w:rPr>
        <w:t>Os clientes deverão ter um contrato de Licenciamento por Volume ativo para solicitar ou renovar assinaturas de serviços online no Licenciamento por Volume.</w:t>
      </w:r>
      <w:r w:rsidR="00DD7735" w:rsidRPr="00734B50">
        <w:rPr>
          <w:rFonts w:cs="Tahoma"/>
          <w:szCs w:val="18"/>
          <w:lang w:val="pt-BR"/>
        </w:rPr>
        <w:t xml:space="preserve"> </w:t>
      </w:r>
      <w:r w:rsidRPr="00734B50">
        <w:rPr>
          <w:rFonts w:cs="Tahoma"/>
          <w:szCs w:val="18"/>
          <w:lang w:val="pt-BR"/>
        </w:rPr>
        <w:t>Uma assinatura de serviços online será automaticamente renovada no</w:t>
      </w:r>
      <w:r w:rsidR="00430597" w:rsidRPr="00734B50">
        <w:rPr>
          <w:rFonts w:cs="Tahoma"/>
          <w:szCs w:val="18"/>
          <w:lang w:val="pt-BR"/>
        </w:rPr>
        <w:t> </w:t>
      </w:r>
      <w:r w:rsidRPr="00734B50">
        <w:rPr>
          <w:rFonts w:cs="Tahoma"/>
          <w:szCs w:val="18"/>
          <w:lang w:val="pt-BR"/>
        </w:rPr>
        <w:t xml:space="preserve">dia seguinte ao término do prazo da assinatura, a não ser que o cliente opte por não renová-la </w:t>
      </w:r>
      <w:r w:rsidRPr="00734B50">
        <w:rPr>
          <w:rFonts w:cs="Tahoma"/>
          <w:color w:val="000000"/>
          <w:szCs w:val="18"/>
          <w:lang w:val="pt-BR"/>
        </w:rPr>
        <w:t>recusando a renovação automática</w:t>
      </w:r>
      <w:r w:rsidRPr="00734B50">
        <w:rPr>
          <w:bCs/>
          <w:color w:val="000000"/>
          <w:lang w:val="pt-BR"/>
        </w:rPr>
        <w:t xml:space="preserve"> no mínimo 5</w:t>
      </w:r>
      <w:r w:rsidR="00DD7735" w:rsidRPr="00734B50">
        <w:rPr>
          <w:bCs/>
          <w:color w:val="000000"/>
          <w:lang w:val="pt-BR"/>
        </w:rPr>
        <w:t xml:space="preserve"> </w:t>
      </w:r>
      <w:r w:rsidRPr="00734B50">
        <w:rPr>
          <w:rFonts w:cs="Tahoma"/>
          <w:szCs w:val="18"/>
          <w:lang w:val="pt-BR"/>
        </w:rPr>
        <w:t>dias antes da assinatura expirar.</w:t>
      </w:r>
      <w:r w:rsidR="00DD7735" w:rsidRPr="00734B50">
        <w:rPr>
          <w:rFonts w:cs="Tahoma"/>
          <w:szCs w:val="18"/>
          <w:lang w:val="pt-BR"/>
        </w:rPr>
        <w:t xml:space="preserve"> </w:t>
      </w:r>
      <w:r w:rsidRPr="00734B50">
        <w:rPr>
          <w:rFonts w:cs="Tahoma"/>
          <w:szCs w:val="18"/>
          <w:lang w:val="pt-BR"/>
        </w:rPr>
        <w:t>Na renovação automática, a Microsoft enviará à</w:t>
      </w:r>
      <w:r w:rsidR="00430597" w:rsidRPr="00734B50">
        <w:rPr>
          <w:rFonts w:cs="Tahoma"/>
          <w:szCs w:val="18"/>
          <w:lang w:val="pt-BR"/>
        </w:rPr>
        <w:t> </w:t>
      </w:r>
      <w:r w:rsidRPr="00734B50">
        <w:rPr>
          <w:rFonts w:cs="Tahoma"/>
          <w:szCs w:val="18"/>
          <w:lang w:val="pt-BR"/>
        </w:rPr>
        <w:t>parte registrada para cobrança uma fatura referente ao número de licenças em vias de terminar com a mesma opção de prazo de assinatura, se o contrato inicial do cliente permanecer ativo.</w:t>
      </w:r>
      <w:r w:rsidR="00DD7735" w:rsidRPr="00734B50">
        <w:rPr>
          <w:rFonts w:cs="Tahoma"/>
          <w:szCs w:val="18"/>
          <w:lang w:val="pt-BR"/>
        </w:rPr>
        <w:t xml:space="preserve"> </w:t>
      </w:r>
      <w:r w:rsidRPr="00734B50">
        <w:rPr>
          <w:rFonts w:cs="Tahoma"/>
          <w:szCs w:val="18"/>
          <w:lang w:val="pt-BR"/>
        </w:rPr>
        <w:t>As assinaturas dos serviços online com contratos Government e Academic só serão renovadas automaticamente se o cliente escolher a opção de renovação automática.</w:t>
      </w:r>
      <w:r w:rsidR="00DD7735" w:rsidRPr="00734B50">
        <w:rPr>
          <w:rFonts w:cs="Tahoma"/>
          <w:szCs w:val="18"/>
          <w:lang w:val="pt-BR"/>
        </w:rPr>
        <w:t xml:space="preserve"> </w:t>
      </w:r>
      <w:r w:rsidRPr="00734B50">
        <w:rPr>
          <w:rFonts w:cs="Tahoma"/>
          <w:szCs w:val="18"/>
          <w:lang w:val="pt-BR"/>
        </w:rPr>
        <w:t>Os preços serão redefinidos por ocasião da renovação.</w:t>
      </w:r>
      <w:r w:rsidR="00DD7735" w:rsidRPr="00734B50">
        <w:rPr>
          <w:rFonts w:cs="Tahoma"/>
          <w:szCs w:val="18"/>
          <w:lang w:val="pt-BR"/>
        </w:rPr>
        <w:t xml:space="preserve"> </w:t>
      </w:r>
      <w:r w:rsidRPr="00734B50">
        <w:rPr>
          <w:rFonts w:cs="Tahoma"/>
          <w:szCs w:val="18"/>
          <w:lang w:val="pt-BR"/>
        </w:rPr>
        <w:t>A opção de renovação automática não</w:t>
      </w:r>
      <w:r w:rsidR="00430597" w:rsidRPr="00734B50">
        <w:rPr>
          <w:rFonts w:cs="Tahoma"/>
          <w:szCs w:val="18"/>
          <w:lang w:val="pt-BR"/>
        </w:rPr>
        <w:t> </w:t>
      </w:r>
      <w:r w:rsidRPr="00734B50">
        <w:rPr>
          <w:rFonts w:cs="Tahoma"/>
          <w:szCs w:val="18"/>
          <w:lang w:val="pt-BR"/>
        </w:rPr>
        <w:t>está disponível para Serviços do Windows Azure.</w:t>
      </w:r>
    </w:p>
    <w:p w:rsidR="00116EDC" w:rsidRPr="00734B50" w:rsidRDefault="00116EDC" w:rsidP="00116EDC">
      <w:pPr>
        <w:rPr>
          <w:lang w:val="pt-BR"/>
        </w:rPr>
      </w:pPr>
    </w:p>
    <w:p w:rsidR="00456002" w:rsidRPr="00734B50" w:rsidRDefault="00456002" w:rsidP="00171817">
      <w:pPr>
        <w:pStyle w:val="Heading2"/>
        <w:ind w:left="0"/>
        <w:rPr>
          <w:lang w:val="pt-BR"/>
        </w:rPr>
      </w:pPr>
      <w:bookmarkStart w:id="725" w:name="_Toc336338210"/>
      <w:bookmarkStart w:id="726" w:name="_Toc353470858"/>
      <w:r w:rsidRPr="00734B50">
        <w:rPr>
          <w:rFonts w:ascii="Tahoma" w:hAnsi="Tahoma" w:cs="Tahoma"/>
          <w:lang w:val="pt-BR"/>
        </w:rPr>
        <w:t>Gerenciamento do status da renovação e da renovação automática</w:t>
      </w:r>
      <w:bookmarkEnd w:id="725"/>
      <w:bookmarkEnd w:id="726"/>
    </w:p>
    <w:p w:rsidR="00456002" w:rsidRPr="00734B50" w:rsidRDefault="00456002" w:rsidP="00171817">
      <w:pPr>
        <w:outlineLvl w:val="2"/>
        <w:rPr>
          <w:lang w:val="pt-BR"/>
        </w:rPr>
      </w:pPr>
    </w:p>
    <w:p w:rsidR="00456002" w:rsidRPr="00734B50" w:rsidRDefault="00456002" w:rsidP="00171817">
      <w:pPr>
        <w:outlineLvl w:val="2"/>
        <w:rPr>
          <w:lang w:val="pt-BR"/>
        </w:rPr>
      </w:pPr>
      <w:r w:rsidRPr="00734B50">
        <w:rPr>
          <w:rFonts w:cs="Tahoma"/>
          <w:szCs w:val="18"/>
          <w:lang w:val="pt-BR"/>
        </w:rPr>
        <w:t>Os clientes receberão notificações de renovação antes do fim do prazo da assinatura dos serviços online.</w:t>
      </w:r>
      <w:r w:rsidR="00DD7735" w:rsidRPr="00734B50">
        <w:rPr>
          <w:rFonts w:cs="Tahoma"/>
          <w:szCs w:val="18"/>
          <w:lang w:val="pt-BR"/>
        </w:rPr>
        <w:t xml:space="preserve"> </w:t>
      </w:r>
      <w:r w:rsidRPr="00734B50">
        <w:rPr>
          <w:rFonts w:cs="Tahoma"/>
          <w:szCs w:val="18"/>
          <w:lang w:val="pt-BR"/>
        </w:rPr>
        <w:t>Os clientes poderão cancelar a renovação ou alterar um pedido de renovação automática caso procedam pelo menos 30 dias antes do fim do prazo da assinatura.</w:t>
      </w:r>
      <w:r w:rsidR="00DD7735" w:rsidRPr="00734B50">
        <w:rPr>
          <w:rFonts w:cs="Tahoma"/>
          <w:szCs w:val="18"/>
          <w:lang w:val="pt-BR"/>
        </w:rPr>
        <w:t xml:space="preserve"> </w:t>
      </w:r>
      <w:r w:rsidRPr="00734B50">
        <w:rPr>
          <w:rFonts w:cs="Tahoma"/>
          <w:szCs w:val="18"/>
          <w:lang w:val="pt-BR"/>
        </w:rPr>
        <w:t>Além disso, poderão alterar um pedido de renovação fazendo um pedido ao revendedor 30 dias antes do término da assinatura.</w:t>
      </w:r>
      <w:r w:rsidR="00DD7735" w:rsidRPr="00734B50">
        <w:rPr>
          <w:rFonts w:cs="Tahoma"/>
          <w:szCs w:val="18"/>
          <w:lang w:val="pt-BR"/>
        </w:rPr>
        <w:t xml:space="preserve"> </w:t>
      </w:r>
      <w:r w:rsidRPr="00734B50">
        <w:rPr>
          <w:rFonts w:cs="Tahoma"/>
          <w:szCs w:val="18"/>
          <w:lang w:val="pt-BR"/>
        </w:rPr>
        <w:t>Os clientes poderão cancelar a renovação de uma assinatura, enviando à Microsoft uma notificação por escrito com 30 dias de antecedência em um formulário disponibilizado pelo</w:t>
      </w:r>
      <w:r w:rsidR="00430597" w:rsidRPr="00734B50">
        <w:rPr>
          <w:rFonts w:cs="Tahoma"/>
          <w:szCs w:val="18"/>
          <w:lang w:val="pt-BR"/>
        </w:rPr>
        <w:t> </w:t>
      </w:r>
      <w:r w:rsidRPr="00734B50">
        <w:rPr>
          <w:rFonts w:cs="Tahoma"/>
          <w:szCs w:val="18"/>
          <w:lang w:val="pt-BR"/>
        </w:rPr>
        <w:t>revendedor da Microsoft ou no site http://microsoft.com/licensing/contracts.</w:t>
      </w:r>
      <w:r w:rsidR="00DD7735" w:rsidRPr="00734B50">
        <w:rPr>
          <w:rFonts w:cs="Tahoma"/>
          <w:szCs w:val="18"/>
          <w:lang w:val="pt-BR"/>
        </w:rPr>
        <w:t xml:space="preserve"> </w:t>
      </w:r>
      <w:r w:rsidRPr="00734B50">
        <w:rPr>
          <w:rFonts w:cs="Tahoma"/>
          <w:szCs w:val="18"/>
          <w:lang w:val="pt-BR"/>
        </w:rPr>
        <w:t>Todas as renovações de serviços iniciam um novo prazo de assinatura que começa no primeiro dia do mês do calendário seguinte após o término do prazo da assinatura anterior.</w:t>
      </w:r>
    </w:p>
    <w:p w:rsidR="00456002" w:rsidRPr="00734B50" w:rsidRDefault="00456002" w:rsidP="00171817">
      <w:pPr>
        <w:outlineLvl w:val="2"/>
        <w:rPr>
          <w:lang w:val="pt-BR"/>
        </w:rPr>
      </w:pPr>
    </w:p>
    <w:p w:rsidR="00456002" w:rsidRPr="00734B50" w:rsidRDefault="00456002" w:rsidP="00171817">
      <w:pPr>
        <w:outlineLvl w:val="2"/>
        <w:rPr>
          <w:lang w:val="pt-BR"/>
        </w:rPr>
      </w:pPr>
      <w:r w:rsidRPr="00734B50">
        <w:rPr>
          <w:rFonts w:cs="Tahoma"/>
          <w:szCs w:val="18"/>
          <w:lang w:val="pt-BR"/>
        </w:rPr>
        <w:lastRenderedPageBreak/>
        <w:t>Os clientes podem aumentar o compromisso de assinatura dos serviços online, mas não podem reduzi-los durante o</w:t>
      </w:r>
      <w:r w:rsidR="00430597" w:rsidRPr="00734B50">
        <w:rPr>
          <w:rFonts w:cs="Tahoma"/>
          <w:szCs w:val="18"/>
          <w:lang w:val="pt-BR"/>
        </w:rPr>
        <w:t> </w:t>
      </w:r>
      <w:r w:rsidRPr="00734B50">
        <w:rPr>
          <w:rFonts w:cs="Tahoma"/>
          <w:szCs w:val="18"/>
          <w:lang w:val="pt-BR"/>
        </w:rPr>
        <w:t>prazo da assinatura dos serviços online, salvo se for permitido em seus contratos. Para assegurar que usuários adicionais sejam provisionados, o cliente deverá fazer um pedido para cada aumento no serviço da assinatura.</w:t>
      </w:r>
      <w:r w:rsidR="00DD7735" w:rsidRPr="00734B50">
        <w:rPr>
          <w:rFonts w:cs="Tahoma"/>
          <w:szCs w:val="18"/>
          <w:lang w:val="pt-BR"/>
        </w:rPr>
        <w:t xml:space="preserve"> </w:t>
      </w:r>
    </w:p>
    <w:p w:rsidR="00BD1A6A" w:rsidRPr="00734B50" w:rsidRDefault="00BD1A6A" w:rsidP="00456002">
      <w:pPr>
        <w:pStyle w:val="Heading2"/>
        <w:ind w:left="0"/>
        <w:rPr>
          <w:lang w:val="pt-BR"/>
        </w:rPr>
      </w:pPr>
      <w:bookmarkStart w:id="727" w:name="_Toc336338211"/>
    </w:p>
    <w:p w:rsidR="00BD1A6A" w:rsidRPr="00734B50" w:rsidRDefault="00BD1A6A">
      <w:pPr>
        <w:rPr>
          <w:lang w:val="pt-BR"/>
        </w:rPr>
      </w:pPr>
    </w:p>
    <w:p w:rsidR="00456002" w:rsidRPr="00734B50" w:rsidRDefault="00456002" w:rsidP="00456002">
      <w:pPr>
        <w:pStyle w:val="Heading2"/>
        <w:ind w:left="0"/>
        <w:rPr>
          <w:lang w:val="pt-BR"/>
        </w:rPr>
      </w:pPr>
      <w:bookmarkStart w:id="728" w:name="_Toc353470859"/>
      <w:r w:rsidRPr="00734B50">
        <w:rPr>
          <w:rFonts w:ascii="Tahoma" w:hAnsi="Tahoma" w:cs="Tahoma"/>
          <w:lang w:val="pt-BR"/>
        </w:rPr>
        <w:t>Cancelamento de Serviços Online</w:t>
      </w:r>
      <w:bookmarkEnd w:id="727"/>
      <w:bookmarkEnd w:id="728"/>
    </w:p>
    <w:p w:rsidR="00456002" w:rsidRPr="00734B50" w:rsidRDefault="00456002" w:rsidP="00456002">
      <w:pPr>
        <w:outlineLvl w:val="2"/>
        <w:rPr>
          <w:lang w:val="pt-BR"/>
        </w:rPr>
      </w:pPr>
    </w:p>
    <w:p w:rsidR="00456002" w:rsidRPr="00734B50" w:rsidRDefault="00456002" w:rsidP="00116EDC">
      <w:pPr>
        <w:outlineLvl w:val="2"/>
        <w:rPr>
          <w:lang w:val="pt-BR"/>
        </w:rPr>
      </w:pPr>
      <w:r w:rsidRPr="00734B50">
        <w:rPr>
          <w:rFonts w:cs="Tahoma"/>
          <w:szCs w:val="18"/>
          <w:lang w:val="pt-BR"/>
        </w:rPr>
        <w:t>É possível cancelar assinaturas de um serviço online sem penalidades em até 30 (trinta) dias após o pedido inicial</w:t>
      </w:r>
      <w:r w:rsidR="00323AAF" w:rsidRPr="00734B50">
        <w:rPr>
          <w:rFonts w:cs="Tahoma"/>
          <w:szCs w:val="18"/>
          <w:lang w:val="pt-BR"/>
        </w:rPr>
        <w:t> </w:t>
      </w:r>
      <w:r w:rsidRPr="00734B50">
        <w:rPr>
          <w:rFonts w:cs="Tahoma"/>
          <w:szCs w:val="18"/>
          <w:lang w:val="pt-BR"/>
        </w:rPr>
        <w:t>ou</w:t>
      </w:r>
      <w:r w:rsidR="006F1287" w:rsidRPr="00734B50">
        <w:rPr>
          <w:rFonts w:cs="Tahoma"/>
          <w:szCs w:val="18"/>
          <w:lang w:val="pt-BR"/>
        </w:rPr>
        <w:t> </w:t>
      </w:r>
      <w:r w:rsidRPr="00734B50">
        <w:rPr>
          <w:rFonts w:cs="Tahoma"/>
          <w:szCs w:val="18"/>
          <w:lang w:val="pt-BR"/>
        </w:rPr>
        <w:t>a reserva de licença inicial de um serviço, o que ocorrer primeiro.</w:t>
      </w:r>
      <w:r w:rsidR="00DD7735" w:rsidRPr="00734B50">
        <w:rPr>
          <w:rFonts w:cs="Tahoma"/>
          <w:szCs w:val="18"/>
          <w:lang w:val="pt-BR"/>
        </w:rPr>
        <w:t xml:space="preserve"> </w:t>
      </w:r>
      <w:r w:rsidRPr="00734B50">
        <w:rPr>
          <w:rFonts w:cs="Tahoma"/>
          <w:szCs w:val="18"/>
          <w:lang w:val="pt-BR"/>
        </w:rPr>
        <w:t>Consulte as seções desta Lista de Produtos referentes a produtos específicos para obter informações sobre termos de cancelamento adicionais que possam existir.</w:t>
      </w:r>
    </w:p>
    <w:p w:rsidR="00116EDC" w:rsidRPr="00734B50" w:rsidRDefault="00116EDC" w:rsidP="00116EDC">
      <w:pPr>
        <w:outlineLvl w:val="2"/>
        <w:rPr>
          <w:lang w:val="pt-BR"/>
        </w:rPr>
      </w:pPr>
    </w:p>
    <w:p w:rsidR="00456002" w:rsidRPr="00734B50" w:rsidRDefault="00456002" w:rsidP="00456002">
      <w:pPr>
        <w:pStyle w:val="Heading2"/>
        <w:ind w:left="0"/>
        <w:rPr>
          <w:lang w:val="pt-BR"/>
        </w:rPr>
      </w:pPr>
      <w:bookmarkStart w:id="729" w:name="_Toc328145982"/>
      <w:bookmarkStart w:id="730" w:name="_Toc336338212"/>
      <w:bookmarkStart w:id="731" w:name="_Toc353470860"/>
      <w:r w:rsidRPr="00734B50">
        <w:rPr>
          <w:rFonts w:ascii="Tahoma" w:hAnsi="Tahoma" w:cs="Tahoma"/>
          <w:lang w:val="pt-BR"/>
        </w:rPr>
        <w:t>Opções de termos de pagamento de Serviços Online</w:t>
      </w:r>
      <w:bookmarkEnd w:id="729"/>
      <w:bookmarkEnd w:id="730"/>
      <w:bookmarkEnd w:id="731"/>
    </w:p>
    <w:p w:rsidR="00456002" w:rsidRPr="00734B50" w:rsidRDefault="00456002" w:rsidP="00456002">
      <w:pPr>
        <w:ind w:left="720"/>
        <w:outlineLvl w:val="2"/>
        <w:rPr>
          <w:lang w:val="pt-BR"/>
        </w:rPr>
      </w:pPr>
    </w:p>
    <w:p w:rsidR="00456002" w:rsidRPr="00734B50" w:rsidRDefault="00456002" w:rsidP="00456002">
      <w:pPr>
        <w:outlineLvl w:val="2"/>
        <w:rPr>
          <w:lang w:val="pt-BR"/>
        </w:rPr>
      </w:pPr>
      <w:r w:rsidRPr="00734B50">
        <w:rPr>
          <w:rFonts w:cs="Tahoma"/>
          <w:szCs w:val="18"/>
          <w:lang w:val="pt-BR"/>
        </w:rPr>
        <w:t>Os clientes deverão pagar por assinaturas dos serviços online de um ano integralmente no início do prazo da assinatura.</w:t>
      </w:r>
      <w:r w:rsidR="00DD7735" w:rsidRPr="00734B50">
        <w:rPr>
          <w:rFonts w:cs="Tahoma"/>
          <w:szCs w:val="18"/>
          <w:lang w:val="pt-BR"/>
        </w:rPr>
        <w:t xml:space="preserve"> </w:t>
      </w:r>
      <w:r w:rsidRPr="00734B50">
        <w:rPr>
          <w:rFonts w:cs="Tahoma"/>
          <w:szCs w:val="18"/>
          <w:lang w:val="pt-BR"/>
        </w:rPr>
        <w:t>Os clientes que optarem pelos termos da assinatura coextensiva, ou “Alinhar-se com o 2° Aniversário” no</w:t>
      </w:r>
      <w:r w:rsidR="006F1287" w:rsidRPr="00734B50">
        <w:rPr>
          <w:rFonts w:cs="Tahoma"/>
          <w:szCs w:val="18"/>
          <w:lang w:val="pt-BR"/>
        </w:rPr>
        <w:t> </w:t>
      </w:r>
      <w:r w:rsidRPr="00734B50">
        <w:rPr>
          <w:rFonts w:cs="Tahoma"/>
          <w:szCs w:val="18"/>
          <w:lang w:val="pt-BR"/>
        </w:rPr>
        <w:t>Select Plus, dispõem destas duas formas de pagamento: (1) pagamento integral ao efetuar o pedido cobrindo todo o prazo da assinatura ou (2) pagamentos parcelados, sendo o primeiro pagamento ao efetuar o pedido que cobre o restante do ano contratual corrente e os demais pagamentos com vencimento em cada aniversário do contrato (no caso do Select Plus, o aniversário da afiliada é usado em vez do aniversário do contrato).</w:t>
      </w:r>
      <w:r w:rsidR="00DD7735" w:rsidRPr="00734B50">
        <w:rPr>
          <w:rFonts w:cs="Tahoma"/>
          <w:szCs w:val="18"/>
          <w:lang w:val="pt-BR"/>
        </w:rPr>
        <w:t xml:space="preserve"> </w:t>
      </w:r>
      <w:r w:rsidRPr="00734B50">
        <w:rPr>
          <w:rFonts w:cs="Tahoma"/>
          <w:szCs w:val="18"/>
          <w:lang w:val="pt-BR"/>
        </w:rPr>
        <w:t>Uma terceira</w:t>
      </w:r>
      <w:r w:rsidR="006F1287" w:rsidRPr="00734B50">
        <w:rPr>
          <w:rFonts w:cs="Tahoma"/>
          <w:szCs w:val="18"/>
          <w:lang w:val="pt-BR"/>
        </w:rPr>
        <w:t> </w:t>
      </w:r>
      <w:r w:rsidRPr="00734B50">
        <w:rPr>
          <w:rFonts w:cs="Tahoma"/>
          <w:szCs w:val="18"/>
          <w:lang w:val="pt-BR"/>
        </w:rPr>
        <w:t>opção está disponível para os clientes do Select Plus: cobrança no aniversário do pedido, sendo o primeiro pagamento ao efetuar o pedido que cobre 12 meses e os demais pagamentos com vencimento em cada aniversário do pedido (o último pagamento cobrirá o saldo entre o aniversário do pedido e a data de término da cobertura da</w:t>
      </w:r>
      <w:r w:rsidR="006F1287" w:rsidRPr="00734B50">
        <w:rPr>
          <w:rFonts w:cs="Tahoma"/>
          <w:szCs w:val="18"/>
          <w:lang w:val="pt-BR"/>
        </w:rPr>
        <w:t> </w:t>
      </w:r>
      <w:r w:rsidRPr="00734B50">
        <w:rPr>
          <w:rFonts w:cs="Tahoma"/>
          <w:szCs w:val="18"/>
          <w:lang w:val="pt-BR"/>
        </w:rPr>
        <w:t>assinatura).</w:t>
      </w:r>
    </w:p>
    <w:p w:rsidR="00456002" w:rsidRPr="00734B50" w:rsidRDefault="00456002" w:rsidP="00456002">
      <w:pPr>
        <w:outlineLvl w:val="2"/>
        <w:rPr>
          <w:lang w:val="pt-BR"/>
        </w:rPr>
      </w:pPr>
    </w:p>
    <w:p w:rsidR="00456002" w:rsidRPr="00734B50" w:rsidRDefault="00456002" w:rsidP="00456002">
      <w:pPr>
        <w:outlineLvl w:val="2"/>
        <w:rPr>
          <w:lang w:val="pt-BR"/>
        </w:rPr>
      </w:pPr>
      <w:r w:rsidRPr="00734B50">
        <w:rPr>
          <w:rFonts w:cs="Tahoma"/>
          <w:szCs w:val="18"/>
          <w:lang w:val="pt-BR"/>
        </w:rPr>
        <w:t>Além disso, os clientes do Open Value também podem optar por uma forma de pagamento mensal.</w:t>
      </w:r>
      <w:r w:rsidR="005A52A2" w:rsidRPr="00734B50">
        <w:rPr>
          <w:rFonts w:cs="Tahoma"/>
          <w:szCs w:val="18"/>
          <w:lang w:val="pt-BR"/>
        </w:rPr>
        <w:t xml:space="preserve"> </w:t>
      </w:r>
      <w:r w:rsidRPr="00734B50">
        <w:rPr>
          <w:rFonts w:cs="Tahoma"/>
          <w:szCs w:val="18"/>
          <w:lang w:val="pt-BR"/>
        </w:rPr>
        <w:t>Nessa opção, uma parte registrada para cobrança receberá automaticamente uma fatura referente à quantidade de assinaturas solicitadas pelo cliente a cada mês durante o prazo da assinatura.</w:t>
      </w:r>
    </w:p>
    <w:p w:rsidR="00456002" w:rsidRPr="00734B50" w:rsidRDefault="00456002" w:rsidP="00456002">
      <w:pPr>
        <w:outlineLvl w:val="2"/>
        <w:rPr>
          <w:lang w:val="pt-BR"/>
        </w:rPr>
      </w:pPr>
    </w:p>
    <w:p w:rsidR="00456002" w:rsidRPr="00734B50" w:rsidRDefault="00456002" w:rsidP="00456002">
      <w:pPr>
        <w:outlineLvl w:val="2"/>
        <w:rPr>
          <w:lang w:val="pt-BR"/>
        </w:rPr>
      </w:pPr>
      <w:r w:rsidRPr="00734B50">
        <w:rPr>
          <w:rFonts w:cs="Tahoma"/>
          <w:szCs w:val="18"/>
          <w:lang w:val="pt-BR"/>
        </w:rPr>
        <w:t>Os termos de pagamento e preços das assinaturas adquiridas por meio de revendedores serão determinados pelo</w:t>
      </w:r>
      <w:r w:rsidR="006F1287" w:rsidRPr="00734B50">
        <w:rPr>
          <w:rFonts w:cs="Tahoma"/>
          <w:szCs w:val="18"/>
          <w:lang w:val="pt-BR"/>
        </w:rPr>
        <w:t> </w:t>
      </w:r>
      <w:r w:rsidRPr="00734B50">
        <w:rPr>
          <w:rFonts w:cs="Tahoma"/>
          <w:szCs w:val="18"/>
          <w:lang w:val="pt-BR"/>
        </w:rPr>
        <w:t>contrato entre o cliente e seu revendedor.</w:t>
      </w:r>
      <w:r w:rsidR="005A52A2" w:rsidRPr="00734B50">
        <w:rPr>
          <w:rFonts w:cs="Tahoma"/>
          <w:szCs w:val="18"/>
          <w:lang w:val="pt-BR"/>
        </w:rPr>
        <w:t xml:space="preserve"> </w:t>
      </w:r>
      <w:r w:rsidRPr="00734B50">
        <w:rPr>
          <w:rFonts w:cs="Tahoma"/>
          <w:szCs w:val="18"/>
          <w:lang w:val="pt-BR"/>
        </w:rPr>
        <w:t>A não ser que o cliente tenha celebrado o Aditamento do Registro Enterprise - Adicionando Serviços Online Enterprise, não obstante qualquer disposição em contrário no contrato, ele</w:t>
      </w:r>
      <w:r w:rsidR="006F1287" w:rsidRPr="00734B50">
        <w:rPr>
          <w:rFonts w:cs="Tahoma"/>
          <w:szCs w:val="18"/>
          <w:lang w:val="pt-BR"/>
        </w:rPr>
        <w:t> </w:t>
      </w:r>
      <w:r w:rsidRPr="00734B50">
        <w:rPr>
          <w:rFonts w:cs="Tahoma"/>
          <w:szCs w:val="18"/>
          <w:lang w:val="pt-BR"/>
        </w:rPr>
        <w:t>deverá solicitar uma assinatura dos serviços online antes de a assinatura ser usada pela primeira vez.</w:t>
      </w:r>
      <w:r w:rsidR="005A52A2" w:rsidRPr="00734B50">
        <w:rPr>
          <w:rFonts w:cs="Tahoma"/>
          <w:szCs w:val="18"/>
          <w:lang w:val="pt-BR"/>
        </w:rPr>
        <w:t xml:space="preserve"> </w:t>
      </w:r>
      <w:r w:rsidRPr="00734B50">
        <w:rPr>
          <w:rFonts w:cs="Tahoma"/>
          <w:szCs w:val="18"/>
          <w:lang w:val="pt-BR"/>
        </w:rPr>
        <w:t>Os clientes</w:t>
      </w:r>
      <w:r w:rsidR="006F1287" w:rsidRPr="00734B50">
        <w:rPr>
          <w:rFonts w:cs="Tahoma"/>
          <w:szCs w:val="18"/>
          <w:lang w:val="pt-BR"/>
        </w:rPr>
        <w:t> </w:t>
      </w:r>
      <w:r w:rsidRPr="00734B50">
        <w:rPr>
          <w:rFonts w:cs="Tahoma"/>
          <w:szCs w:val="18"/>
          <w:lang w:val="pt-BR"/>
        </w:rPr>
        <w:t>com um Contrato Enterprise não poderão enviar um pedido de adequação (“true-up”) para licenças de</w:t>
      </w:r>
      <w:r w:rsidR="006F1287" w:rsidRPr="00734B50">
        <w:rPr>
          <w:rFonts w:cs="Tahoma"/>
          <w:szCs w:val="18"/>
          <w:lang w:val="pt-BR"/>
        </w:rPr>
        <w:t> </w:t>
      </w:r>
      <w:r w:rsidRPr="00734B50">
        <w:rPr>
          <w:rFonts w:cs="Tahoma"/>
          <w:szCs w:val="18"/>
          <w:lang w:val="pt-BR"/>
        </w:rPr>
        <w:t>assinatura adicionais.</w:t>
      </w:r>
      <w:r w:rsidR="005A52A2" w:rsidRPr="00734B50">
        <w:rPr>
          <w:rFonts w:cs="Tahoma"/>
          <w:szCs w:val="18"/>
          <w:lang w:val="pt-BR"/>
        </w:rPr>
        <w:t xml:space="preserve"> </w:t>
      </w:r>
    </w:p>
    <w:p w:rsidR="00456002" w:rsidRPr="00734B50" w:rsidRDefault="00456002" w:rsidP="00DF28F2">
      <w:pPr>
        <w:outlineLvl w:val="2"/>
        <w:rPr>
          <w:lang w:val="pt-BR"/>
        </w:rPr>
      </w:pPr>
    </w:p>
    <w:p w:rsidR="00456002" w:rsidRPr="00734B50" w:rsidRDefault="006A5DAE" w:rsidP="00116EDC">
      <w:pPr>
        <w:outlineLvl w:val="2"/>
        <w:rPr>
          <w:lang w:val="pt-BR"/>
        </w:rPr>
      </w:pPr>
      <w:r w:rsidRPr="00734B50">
        <w:rPr>
          <w:rFonts w:cs="Tahoma"/>
          <w:szCs w:val="18"/>
          <w:lang w:val="pt-BR"/>
        </w:rPr>
        <w:t>Para informações específicas dos Serviços do Windows Azure, consulte a seção Serviços do Windows Azure abaixo.</w:t>
      </w:r>
    </w:p>
    <w:p w:rsidR="00116EDC" w:rsidRPr="00734B50" w:rsidRDefault="00116EDC" w:rsidP="00116EDC">
      <w:pPr>
        <w:outlineLvl w:val="2"/>
        <w:rPr>
          <w:lang w:val="pt-BR"/>
        </w:rPr>
      </w:pPr>
    </w:p>
    <w:p w:rsidR="00456002" w:rsidRPr="00734B50" w:rsidRDefault="00456002" w:rsidP="00456002">
      <w:pPr>
        <w:pStyle w:val="Heading2"/>
        <w:ind w:left="0"/>
        <w:rPr>
          <w:lang w:val="pt-BR"/>
        </w:rPr>
      </w:pPr>
      <w:bookmarkStart w:id="732" w:name="_Toc328145983"/>
      <w:bookmarkStart w:id="733" w:name="_Toc336338213"/>
      <w:bookmarkStart w:id="734" w:name="_Toc353470861"/>
      <w:r w:rsidRPr="00734B50">
        <w:rPr>
          <w:rFonts w:ascii="Tahoma" w:hAnsi="Tahoma" w:cs="Tahoma"/>
          <w:lang w:val="pt-BR"/>
        </w:rPr>
        <w:t>Requisitos de compra mínima para Serviços Online no Licenciamento por</w:t>
      </w:r>
      <w:r w:rsidR="006F1287" w:rsidRPr="00734B50">
        <w:rPr>
          <w:rFonts w:ascii="Tahoma" w:hAnsi="Tahoma" w:cs="Tahoma"/>
          <w:lang w:val="pt-BR"/>
        </w:rPr>
        <w:t> </w:t>
      </w:r>
      <w:r w:rsidRPr="00734B50">
        <w:rPr>
          <w:rFonts w:ascii="Tahoma" w:hAnsi="Tahoma" w:cs="Tahoma"/>
          <w:lang w:val="pt-BR"/>
        </w:rPr>
        <w:t>Volume</w:t>
      </w:r>
      <w:bookmarkEnd w:id="732"/>
      <w:bookmarkEnd w:id="733"/>
      <w:bookmarkEnd w:id="734"/>
    </w:p>
    <w:p w:rsidR="00456002" w:rsidRPr="00734B50" w:rsidRDefault="00456002" w:rsidP="00DF28F2">
      <w:pPr>
        <w:outlineLvl w:val="2"/>
        <w:rPr>
          <w:lang w:val="pt-BR"/>
        </w:rPr>
      </w:pPr>
    </w:p>
    <w:p w:rsidR="00116EDC" w:rsidRPr="00734B50" w:rsidRDefault="00456002" w:rsidP="00116EDC">
      <w:pPr>
        <w:outlineLvl w:val="2"/>
        <w:rPr>
          <w:lang w:val="pt-BR"/>
        </w:rPr>
      </w:pPr>
      <w:r w:rsidRPr="00734B50">
        <w:rPr>
          <w:rFonts w:cs="Tahoma"/>
          <w:szCs w:val="18"/>
          <w:lang w:val="pt-BR"/>
        </w:rPr>
        <w:t>Um cliente estará qualificado para o programa Open Value com uma compra mínima de 5 licenças.</w:t>
      </w:r>
      <w:r w:rsidR="005A52A2" w:rsidRPr="00734B50">
        <w:rPr>
          <w:rFonts w:cs="Tahoma"/>
          <w:szCs w:val="18"/>
          <w:lang w:val="pt-BR"/>
        </w:rPr>
        <w:t xml:space="preserve"> </w:t>
      </w:r>
      <w:r w:rsidRPr="00734B50">
        <w:rPr>
          <w:rFonts w:cs="Tahoma"/>
          <w:szCs w:val="18"/>
          <w:lang w:val="pt-BR"/>
        </w:rPr>
        <w:t>Essa regra também se aplicará à contagem de quantidades de Licenças de Assinatura de Usuário (USLs) de Serviços Online.</w:t>
      </w:r>
      <w:r w:rsidR="005A52A2" w:rsidRPr="00734B50">
        <w:rPr>
          <w:rFonts w:cs="Tahoma"/>
          <w:szCs w:val="18"/>
          <w:lang w:val="pt-BR"/>
        </w:rPr>
        <w:t xml:space="preserve"> </w:t>
      </w:r>
      <w:r w:rsidRPr="00734B50">
        <w:rPr>
          <w:rFonts w:cs="Tahoma"/>
          <w:szCs w:val="18"/>
          <w:lang w:val="pt-BR"/>
        </w:rPr>
        <w:t>Uma USL poderá ser contabilizada para a quantidade mínima de 5 licenças.</w:t>
      </w:r>
      <w:r w:rsidR="005A52A2" w:rsidRPr="00734B50">
        <w:rPr>
          <w:rFonts w:cs="Tahoma"/>
          <w:szCs w:val="18"/>
          <w:lang w:val="pt-BR"/>
        </w:rPr>
        <w:t xml:space="preserve"> </w:t>
      </w:r>
      <w:r w:rsidRPr="00734B50">
        <w:rPr>
          <w:rFonts w:cs="Tahoma"/>
          <w:szCs w:val="18"/>
          <w:lang w:val="pt-BR"/>
        </w:rPr>
        <w:t>Um pedido de 5 USLs satisfaz o requisito mínimo do programa Open Value.</w:t>
      </w:r>
      <w:r w:rsidR="005A52A2" w:rsidRPr="00734B50">
        <w:rPr>
          <w:rFonts w:cs="Tahoma"/>
          <w:szCs w:val="18"/>
          <w:lang w:val="pt-BR"/>
        </w:rPr>
        <w:t xml:space="preserve"> </w:t>
      </w:r>
      <w:r w:rsidRPr="00734B50">
        <w:rPr>
          <w:rFonts w:cs="Tahoma"/>
          <w:szCs w:val="18"/>
          <w:lang w:val="pt-BR"/>
        </w:rPr>
        <w:t>Porém, só as 5 USLs não satisfazem o mínimo para Open Value Companywide e Open Value Subscription.</w:t>
      </w:r>
      <w:r w:rsidR="005A52A2" w:rsidRPr="00734B50">
        <w:rPr>
          <w:rFonts w:cs="Tahoma"/>
          <w:szCs w:val="18"/>
          <w:lang w:val="pt-BR"/>
        </w:rPr>
        <w:t xml:space="preserve"> </w:t>
      </w:r>
      <w:r w:rsidRPr="00734B50">
        <w:rPr>
          <w:rFonts w:cs="Tahoma"/>
          <w:szCs w:val="18"/>
          <w:lang w:val="pt-BR"/>
        </w:rPr>
        <w:t>No caso de OV Companywide e OV Subscription, o pedido inicial deve incluir um mínimo de</w:t>
      </w:r>
      <w:r w:rsidR="006F1287" w:rsidRPr="00734B50">
        <w:rPr>
          <w:rFonts w:cs="Tahoma"/>
          <w:szCs w:val="18"/>
          <w:lang w:val="pt-BR"/>
        </w:rPr>
        <w:t> </w:t>
      </w:r>
      <w:r w:rsidRPr="00734B50">
        <w:rPr>
          <w:rFonts w:cs="Tahoma"/>
          <w:szCs w:val="18"/>
          <w:lang w:val="pt-BR"/>
        </w:rPr>
        <w:t>5 Licenças de Plataforma de Desktop ou Componente de Desktop além de quaisquer USLs.</w:t>
      </w:r>
      <w:r w:rsidR="005A52A2" w:rsidRPr="00734B50">
        <w:rPr>
          <w:rFonts w:cs="Tahoma"/>
          <w:szCs w:val="18"/>
          <w:lang w:val="pt-BR"/>
        </w:rPr>
        <w:t xml:space="preserve"> </w:t>
      </w:r>
    </w:p>
    <w:p w:rsidR="00116EDC" w:rsidRPr="00734B50" w:rsidRDefault="00116EDC" w:rsidP="00116EDC">
      <w:pPr>
        <w:outlineLvl w:val="2"/>
        <w:rPr>
          <w:lang w:val="pt-BR"/>
        </w:rPr>
      </w:pPr>
    </w:p>
    <w:p w:rsidR="00776E3B" w:rsidRPr="00734B50" w:rsidRDefault="00776E3B" w:rsidP="00776E3B">
      <w:pPr>
        <w:pStyle w:val="Heading3"/>
        <w:rPr>
          <w:lang w:val="pt-BR"/>
        </w:rPr>
      </w:pPr>
      <w:bookmarkStart w:id="735" w:name="_Toc336338214"/>
      <w:bookmarkStart w:id="736" w:name="_Toc353470862"/>
      <w:r w:rsidRPr="00734B50">
        <w:rPr>
          <w:rFonts w:ascii="Tahoma" w:hAnsi="Tahoma" w:cs="Tahoma"/>
          <w:sz w:val="24"/>
          <w:lang w:val="pt-BR"/>
        </w:rPr>
        <w:t>Serviços do Windows Azure</w:t>
      </w:r>
      <w:bookmarkEnd w:id="735"/>
      <w:bookmarkEnd w:id="736"/>
    </w:p>
    <w:p w:rsidR="00776E3B" w:rsidRPr="00734B50" w:rsidRDefault="00776E3B" w:rsidP="00DF28F2">
      <w:pPr>
        <w:outlineLvl w:val="1"/>
        <w:rPr>
          <w:lang w:val="pt-BR"/>
        </w:rPr>
      </w:pPr>
    </w:p>
    <w:p w:rsidR="006A5DAE" w:rsidRPr="00734B50" w:rsidRDefault="005242EC" w:rsidP="005242EC">
      <w:pPr>
        <w:spacing w:after="60"/>
        <w:outlineLvl w:val="1"/>
        <w:rPr>
          <w:lang w:val="pt-BR"/>
        </w:rPr>
      </w:pPr>
      <w:r w:rsidRPr="00734B50">
        <w:rPr>
          <w:rFonts w:cs="Tahoma"/>
          <w:b/>
          <w:szCs w:val="18"/>
          <w:lang w:val="pt-BR"/>
        </w:rPr>
        <w:t>Definições</w:t>
      </w:r>
    </w:p>
    <w:p w:rsidR="006A5DAE" w:rsidRPr="00734B50" w:rsidRDefault="006A5DAE" w:rsidP="006A5DAE">
      <w:pPr>
        <w:outlineLvl w:val="1"/>
        <w:rPr>
          <w:lang w:val="pt-BR"/>
        </w:rPr>
      </w:pPr>
      <w:r w:rsidRPr="00734B50">
        <w:rPr>
          <w:rFonts w:cs="Tahoma"/>
          <w:szCs w:val="18"/>
          <w:u w:val="single"/>
          <w:lang w:val="pt-BR"/>
        </w:rPr>
        <w:t>Taxas de Compromissos</w:t>
      </w:r>
      <w:r w:rsidR="005A52A2" w:rsidRPr="00734B50">
        <w:rPr>
          <w:rFonts w:cs="Tahoma"/>
          <w:b/>
          <w:szCs w:val="18"/>
          <w:lang w:val="pt-BR"/>
        </w:rPr>
        <w:t xml:space="preserve"> </w:t>
      </w:r>
      <w:r w:rsidRPr="00734B50">
        <w:rPr>
          <w:rFonts w:cs="Tahoma"/>
          <w:szCs w:val="18"/>
          <w:lang w:val="pt-BR"/>
        </w:rPr>
        <w:t>significa os preços estabelecidos para todo o uso dos Serviços do Windows Azure até o</w:t>
      </w:r>
      <w:r w:rsidR="006F1287" w:rsidRPr="00734B50">
        <w:rPr>
          <w:rFonts w:cs="Tahoma"/>
          <w:szCs w:val="18"/>
          <w:lang w:val="pt-BR"/>
        </w:rPr>
        <w:t> </w:t>
      </w:r>
      <w:r w:rsidRPr="00734B50">
        <w:rPr>
          <w:rFonts w:cs="Tahoma"/>
          <w:szCs w:val="18"/>
          <w:lang w:val="pt-BR"/>
        </w:rPr>
        <w:t>Compromisso Anual Alocado.</w:t>
      </w:r>
    </w:p>
    <w:p w:rsidR="006A5DAE" w:rsidRPr="00734B50" w:rsidRDefault="006A5DAE" w:rsidP="006A5DAE">
      <w:pPr>
        <w:outlineLvl w:val="1"/>
        <w:rPr>
          <w:lang w:val="pt-BR"/>
        </w:rPr>
      </w:pPr>
    </w:p>
    <w:p w:rsidR="006A5DAE" w:rsidRPr="00734B50" w:rsidRDefault="006A5DAE" w:rsidP="006A5DAE">
      <w:pPr>
        <w:outlineLvl w:val="1"/>
        <w:rPr>
          <w:lang w:val="pt-BR"/>
        </w:rPr>
      </w:pPr>
      <w:r w:rsidRPr="00734B50">
        <w:rPr>
          <w:rFonts w:cs="Tahoma"/>
          <w:szCs w:val="18"/>
          <w:u w:val="single"/>
          <w:lang w:val="pt-BR"/>
        </w:rPr>
        <w:t>Taxas de Consumo</w:t>
      </w:r>
      <w:r w:rsidRPr="00734B50">
        <w:rPr>
          <w:rFonts w:cs="Tahoma"/>
          <w:szCs w:val="18"/>
          <w:lang w:val="pt-BR"/>
        </w:rPr>
        <w:t xml:space="preserve"> significa os preços estabelecidos para todo o uso dos Serviços do Windows Azure em excesso do</w:t>
      </w:r>
      <w:r w:rsidR="006F1287" w:rsidRPr="00734B50">
        <w:rPr>
          <w:rFonts w:cs="Tahoma"/>
          <w:szCs w:val="18"/>
          <w:lang w:val="pt-BR"/>
        </w:rPr>
        <w:t> </w:t>
      </w:r>
      <w:r w:rsidRPr="00734B50">
        <w:rPr>
          <w:rFonts w:cs="Tahoma"/>
          <w:szCs w:val="18"/>
          <w:lang w:val="pt-BR"/>
        </w:rPr>
        <w:t>Compromisso Anual Alocado. As Taxas de Consumo também podem ser denominadas “Taxas Excedentes” ou “Excedente” em outros documentos da Microsoft ou do Windows Azure.</w:t>
      </w:r>
    </w:p>
    <w:p w:rsidR="006A5DAE" w:rsidRPr="00734B50" w:rsidRDefault="006A5DAE" w:rsidP="006A5DAE">
      <w:pPr>
        <w:outlineLvl w:val="1"/>
        <w:rPr>
          <w:lang w:val="pt-BR"/>
        </w:rPr>
      </w:pPr>
      <w:r w:rsidRPr="00734B50">
        <w:rPr>
          <w:rFonts w:cs="Tahoma"/>
          <w:szCs w:val="18"/>
          <w:u w:val="single"/>
          <w:lang w:val="pt-BR"/>
        </w:rPr>
        <w:lastRenderedPageBreak/>
        <w:t>Compromisso Monetário</w:t>
      </w:r>
      <w:r w:rsidRPr="00734B50">
        <w:rPr>
          <w:rFonts w:cs="Tahoma"/>
          <w:szCs w:val="18"/>
          <w:lang w:val="pt-BR"/>
        </w:rPr>
        <w:t xml:space="preserve"> significa o valor monetário total que um cliente se compromete a pagar pelo período da assinatura para seu uso dos Serviços do Windows Azure.</w:t>
      </w:r>
    </w:p>
    <w:p w:rsidR="00BD1A6A" w:rsidRPr="00734B50" w:rsidRDefault="00BD1A6A" w:rsidP="006A5DAE">
      <w:pPr>
        <w:outlineLvl w:val="1"/>
        <w:rPr>
          <w:lang w:val="pt-BR"/>
        </w:rPr>
      </w:pPr>
    </w:p>
    <w:p w:rsidR="006A5DAE" w:rsidRPr="00734B50" w:rsidRDefault="006A5DAE" w:rsidP="006A5DAE">
      <w:pPr>
        <w:outlineLvl w:val="1"/>
        <w:rPr>
          <w:lang w:val="pt-BR"/>
        </w:rPr>
      </w:pPr>
      <w:r w:rsidRPr="00734B50">
        <w:rPr>
          <w:rFonts w:cs="Tahoma"/>
          <w:szCs w:val="18"/>
          <w:u w:val="single"/>
          <w:lang w:val="pt-BR"/>
        </w:rPr>
        <w:t>Compromisso Anual Alocado</w:t>
      </w:r>
      <w:r w:rsidRPr="00734B50">
        <w:rPr>
          <w:rFonts w:cs="Tahoma"/>
          <w:szCs w:val="18"/>
          <w:lang w:val="pt-BR"/>
        </w:rPr>
        <w:t xml:space="preserve"> significa a parte do Compromisso Monetário alocada anualmente pelo prazo do Registro. Para a opção de assinatura de um ano, o Compromisso Anual Alocado é igual ao Compromisso Monetário.</w:t>
      </w:r>
    </w:p>
    <w:p w:rsidR="00BD1A6A" w:rsidRPr="00734B50" w:rsidRDefault="00BD1A6A">
      <w:pPr>
        <w:rPr>
          <w:lang w:val="pt-BR"/>
        </w:rPr>
      </w:pPr>
    </w:p>
    <w:p w:rsidR="006A5DAE" w:rsidRPr="00734B50" w:rsidRDefault="006A5DAE" w:rsidP="005242EC">
      <w:pPr>
        <w:spacing w:after="60"/>
        <w:outlineLvl w:val="1"/>
        <w:rPr>
          <w:lang w:val="pt-BR"/>
        </w:rPr>
      </w:pPr>
      <w:r w:rsidRPr="00734B50">
        <w:rPr>
          <w:rFonts w:cs="Tahoma"/>
          <w:b/>
          <w:szCs w:val="18"/>
          <w:lang w:val="pt-BR"/>
        </w:rPr>
        <w:t>Prazo da Assinatura</w:t>
      </w:r>
    </w:p>
    <w:p w:rsidR="006A5DAE" w:rsidRPr="00734B50" w:rsidRDefault="006A5DAE" w:rsidP="006A5DAE">
      <w:pPr>
        <w:outlineLvl w:val="1"/>
        <w:rPr>
          <w:lang w:val="pt-BR"/>
        </w:rPr>
      </w:pPr>
      <w:r w:rsidRPr="00734B50">
        <w:rPr>
          <w:rFonts w:cs="Tahoma"/>
          <w:szCs w:val="18"/>
          <w:lang w:val="pt-BR"/>
        </w:rPr>
        <w:t xml:space="preserve">No caso dos Serviços do Windows Azure, os clientes podem optar entre um prazo de assinatura de um ano ou um prazo de assinatura que acaba na data de término do registro do cliente (“coextensiva”). </w:t>
      </w:r>
      <w:r w:rsidRPr="00734B50">
        <w:rPr>
          <w:lang w:val="pt-BR"/>
        </w:rPr>
        <w:t>Os clientes que escolhem a</w:t>
      </w:r>
      <w:r w:rsidR="006F1287" w:rsidRPr="00734B50">
        <w:rPr>
          <w:lang w:val="pt-BR"/>
        </w:rPr>
        <w:t> </w:t>
      </w:r>
      <w:r w:rsidRPr="00734B50">
        <w:rPr>
          <w:lang w:val="pt-BR"/>
        </w:rPr>
        <w:t>opção de um ano devem ter pelo menos 12 meses restantes no seu prazo de registro e aqueles que escolhem a</w:t>
      </w:r>
      <w:r w:rsidR="006F1287" w:rsidRPr="00734B50">
        <w:rPr>
          <w:lang w:val="pt-BR"/>
        </w:rPr>
        <w:t> </w:t>
      </w:r>
      <w:r w:rsidRPr="00734B50">
        <w:rPr>
          <w:lang w:val="pt-BR"/>
        </w:rPr>
        <w:t>opção coextensiva devem ter pelo menos dois meses restantes no seu prazo de registro</w:t>
      </w:r>
      <w:r w:rsidRPr="00734B50">
        <w:rPr>
          <w:rFonts w:cs="Tahoma"/>
          <w:szCs w:val="18"/>
          <w:lang w:val="pt-BR"/>
        </w:rPr>
        <w:t>.</w:t>
      </w:r>
    </w:p>
    <w:p w:rsidR="006A5DAE" w:rsidRPr="00734B50" w:rsidRDefault="006A5DAE" w:rsidP="006A5DAE">
      <w:pPr>
        <w:rPr>
          <w:lang w:val="pt-BR"/>
        </w:rPr>
      </w:pPr>
    </w:p>
    <w:p w:rsidR="006A5DAE" w:rsidRPr="00734B50" w:rsidRDefault="005242EC" w:rsidP="005242EC">
      <w:pPr>
        <w:spacing w:after="60"/>
        <w:outlineLvl w:val="1"/>
        <w:rPr>
          <w:lang w:val="pt-BR"/>
        </w:rPr>
      </w:pPr>
      <w:r w:rsidRPr="00734B50">
        <w:rPr>
          <w:rFonts w:cs="Tahoma"/>
          <w:b/>
          <w:szCs w:val="18"/>
          <w:lang w:val="pt-BR"/>
        </w:rPr>
        <w:t>Compromisso Monetário</w:t>
      </w:r>
    </w:p>
    <w:p w:rsidR="006A5DAE" w:rsidRPr="00734B50" w:rsidRDefault="006A5DAE" w:rsidP="006A5DAE">
      <w:pPr>
        <w:outlineLvl w:val="1"/>
        <w:rPr>
          <w:lang w:val="pt-BR"/>
        </w:rPr>
      </w:pPr>
      <w:r w:rsidRPr="00734B50">
        <w:rPr>
          <w:rFonts w:cs="Tahoma"/>
          <w:szCs w:val="18"/>
          <w:lang w:val="pt-BR"/>
        </w:rPr>
        <w:t>O pedido inicial dos clientes deve incluir um Compromisso Monetário e pode ser substituído a qualquer momento antes do último mês do seu prazo de registro. O Compromisso Monetário de acordo com a opção de assinatura de um ano será rateado pelos 12 meses seguintes. O Compromisso Monetário de acordo com a opção de assinatura coextensiva será alocado proporcionalmente pelo prazo de registro.</w:t>
      </w:r>
    </w:p>
    <w:p w:rsidR="006A5DAE" w:rsidRPr="00734B50" w:rsidRDefault="006A5DAE" w:rsidP="006A5DAE">
      <w:pPr>
        <w:outlineLvl w:val="1"/>
        <w:rPr>
          <w:lang w:val="pt-BR"/>
        </w:rPr>
      </w:pPr>
    </w:p>
    <w:p w:rsidR="006A5DAE" w:rsidRPr="00734B50" w:rsidRDefault="006A5DAE" w:rsidP="006A5DAE">
      <w:pPr>
        <w:rPr>
          <w:lang w:val="pt-BR"/>
        </w:rPr>
      </w:pPr>
      <w:r w:rsidRPr="00734B50">
        <w:rPr>
          <w:lang w:val="pt-BR"/>
        </w:rPr>
        <w:t>Os clientes podem aumentar seu Compromisso Monetário a qualquer momento, fazendo pedidos adicionais.</w:t>
      </w:r>
      <w:r w:rsidR="005A52A2" w:rsidRPr="00734B50">
        <w:rPr>
          <w:lang w:val="pt-BR"/>
        </w:rPr>
        <w:t xml:space="preserve"> </w:t>
      </w:r>
      <w:r w:rsidRPr="00734B50">
        <w:rPr>
          <w:lang w:val="pt-BR"/>
        </w:rPr>
        <w:t xml:space="preserve">Os pedidos adicionais serão incluídos no Compromisso Anual Alocado atual e estarão disponíveis para uso no primeiro dia do mês depois que a Microsoft processar tal pedido. Para a </w:t>
      </w:r>
      <w:r w:rsidRPr="00734B50">
        <w:rPr>
          <w:rFonts w:cs="Tahoma"/>
          <w:szCs w:val="18"/>
          <w:lang w:val="pt-BR"/>
        </w:rPr>
        <w:t>opção de assinatura coextensiva,</w:t>
      </w:r>
      <w:r w:rsidRPr="00734B50">
        <w:rPr>
          <w:lang w:val="pt-BR"/>
        </w:rPr>
        <w:t xml:space="preserve"> os Compromissos Anuais Alocados futuros do cliente serão incrementados pelo valor do pedido adicional multiplicado por 12, divididos pelo número de meses inteiros restantes no ano em que o pedido adicional foi feito.</w:t>
      </w:r>
    </w:p>
    <w:p w:rsidR="006A5DAE" w:rsidRPr="00734B50" w:rsidRDefault="006A5DAE" w:rsidP="006A5DAE">
      <w:pPr>
        <w:rPr>
          <w:lang w:val="pt-BR"/>
        </w:rPr>
      </w:pPr>
    </w:p>
    <w:p w:rsidR="006A5DAE" w:rsidRPr="00734B50" w:rsidRDefault="006A5DAE" w:rsidP="006A5DAE">
      <w:pPr>
        <w:outlineLvl w:val="1"/>
        <w:rPr>
          <w:lang w:val="pt-BR"/>
        </w:rPr>
      </w:pPr>
      <w:r w:rsidRPr="00734B50">
        <w:rPr>
          <w:rFonts w:cs="Tahoma"/>
          <w:szCs w:val="18"/>
          <w:lang w:val="pt-BR"/>
        </w:rPr>
        <w:t xml:space="preserve">Os clientes devem consumir seu </w:t>
      </w:r>
      <w:r w:rsidRPr="00734B50">
        <w:rPr>
          <w:lang w:val="pt-BR"/>
        </w:rPr>
        <w:t>Compromisso Anual Alocado</w:t>
      </w:r>
      <w:r w:rsidRPr="00734B50">
        <w:rPr>
          <w:rFonts w:cs="Tahoma"/>
          <w:szCs w:val="18"/>
          <w:lang w:val="pt-BR"/>
        </w:rPr>
        <w:t xml:space="preserve"> até o último dia do 12</w:t>
      </w:r>
      <w:r w:rsidRPr="00734B50">
        <w:rPr>
          <w:rFonts w:cs="Tahoma"/>
          <w:szCs w:val="18"/>
          <w:vertAlign w:val="superscript"/>
          <w:lang w:val="pt-BR"/>
        </w:rPr>
        <w:t>o</w:t>
      </w:r>
      <w:r w:rsidRPr="00734B50">
        <w:rPr>
          <w:rFonts w:cs="Tahoma"/>
          <w:szCs w:val="18"/>
          <w:lang w:val="pt-BR"/>
        </w:rPr>
        <w:t xml:space="preserve"> mês após o pedido para a opção de assinatura de um ano e até o último dia do mês que antecede o aniversário do registro todo ano para a</w:t>
      </w:r>
      <w:r w:rsidR="006F1287" w:rsidRPr="00734B50">
        <w:rPr>
          <w:rFonts w:cs="Tahoma"/>
          <w:szCs w:val="18"/>
          <w:lang w:val="pt-BR"/>
        </w:rPr>
        <w:t> </w:t>
      </w:r>
      <w:r w:rsidRPr="00734B50">
        <w:rPr>
          <w:rFonts w:cs="Tahoma"/>
          <w:szCs w:val="18"/>
          <w:lang w:val="pt-BR"/>
        </w:rPr>
        <w:t xml:space="preserve">opção de assinatura coextensiva. Qualquer parte não usada do </w:t>
      </w:r>
      <w:r w:rsidRPr="00734B50">
        <w:rPr>
          <w:lang w:val="pt-BR"/>
        </w:rPr>
        <w:t xml:space="preserve">Compromisso Anual Alocado </w:t>
      </w:r>
      <w:r w:rsidRPr="00734B50">
        <w:rPr>
          <w:rFonts w:cs="Tahoma"/>
          <w:szCs w:val="18"/>
          <w:lang w:val="pt-BR"/>
        </w:rPr>
        <w:t xml:space="preserve">não </w:t>
      </w:r>
      <w:r w:rsidRPr="00734B50">
        <w:rPr>
          <w:lang w:val="pt-BR"/>
        </w:rPr>
        <w:t>será transferida para o próximo período</w:t>
      </w:r>
      <w:r w:rsidRPr="00734B50">
        <w:rPr>
          <w:rFonts w:cs="Tahoma"/>
          <w:szCs w:val="18"/>
          <w:lang w:val="pt-BR"/>
        </w:rPr>
        <w:t xml:space="preserve"> e será perdida. </w:t>
      </w:r>
    </w:p>
    <w:p w:rsidR="006A5DAE" w:rsidRPr="00734B50" w:rsidRDefault="006A5DAE" w:rsidP="006A5DAE">
      <w:pPr>
        <w:rPr>
          <w:lang w:val="pt-BR"/>
        </w:rPr>
      </w:pPr>
    </w:p>
    <w:p w:rsidR="006A5DAE" w:rsidRPr="00734B50" w:rsidRDefault="005242EC" w:rsidP="005242EC">
      <w:pPr>
        <w:spacing w:after="60"/>
        <w:outlineLvl w:val="1"/>
        <w:rPr>
          <w:lang w:val="pt-BR"/>
        </w:rPr>
      </w:pPr>
      <w:r w:rsidRPr="00734B50">
        <w:rPr>
          <w:rFonts w:cs="Tahoma"/>
          <w:b/>
          <w:szCs w:val="18"/>
          <w:lang w:val="pt-BR"/>
        </w:rPr>
        <w:t xml:space="preserve">Pagamento e Taxas </w:t>
      </w:r>
    </w:p>
    <w:p w:rsidR="006A5DAE" w:rsidRPr="00734B50" w:rsidRDefault="006A5DAE" w:rsidP="006A5DAE">
      <w:pPr>
        <w:rPr>
          <w:lang w:val="pt-BR"/>
        </w:rPr>
      </w:pPr>
      <w:r w:rsidRPr="00734B50">
        <w:rPr>
          <w:lang w:val="pt-BR"/>
        </w:rPr>
        <w:t xml:space="preserve">No caso da opção de assinatura de um ano, os pedidos serão faturados imediatamente para os clientes ou seus revendedores. No caso da </w:t>
      </w:r>
      <w:r w:rsidRPr="00734B50">
        <w:rPr>
          <w:rFonts w:cs="Tahoma"/>
          <w:szCs w:val="18"/>
          <w:lang w:val="pt-BR"/>
        </w:rPr>
        <w:t xml:space="preserve">opção de assinatura coextensiva, o </w:t>
      </w:r>
      <w:r w:rsidRPr="00734B50">
        <w:rPr>
          <w:lang w:val="pt-BR"/>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rsidR="006A5DAE" w:rsidRPr="00734B50" w:rsidRDefault="006A5DAE" w:rsidP="006A5DAE">
      <w:pPr>
        <w:rPr>
          <w:lang w:val="pt-BR"/>
        </w:rPr>
      </w:pPr>
    </w:p>
    <w:p w:rsidR="006A5DAE" w:rsidRPr="00734B50" w:rsidRDefault="006A5DAE" w:rsidP="006A5DAE">
      <w:pPr>
        <w:rPr>
          <w:lang w:val="pt-BR"/>
        </w:rPr>
      </w:pPr>
      <w:r w:rsidRPr="00734B50">
        <w:rPr>
          <w:lang w:val="pt-BR"/>
        </w:rPr>
        <w:t>A cada mês, a Microsoft deduzirá do Compromisso Anual Alocado o valor monetário do uso feito por parte do cliente dos Serviços do Windows Azure. Assim que o saldo do Compromisso Anual Alocado do cliente tiver se esgotado, qualquer uso adicional naquele mês e nos meses restantes no caso da opção de assinatura de um ano ou nos meses restantes do ano atual do registro no caso da opção coextensiva será faturado de acordo com as Taxas de Consumo. Se o cliente escolher a opção de assinatura de um ano, qualquer uso de acordo com as Taxas de Consumo será faturado ao cliente ou seu revendedor no final de cada trimestre do registro e no final do prazo de assinatura. Se o</w:t>
      </w:r>
      <w:r w:rsidR="006F1287" w:rsidRPr="00734B50">
        <w:rPr>
          <w:lang w:val="pt-BR"/>
        </w:rPr>
        <w:t> </w:t>
      </w:r>
      <w:r w:rsidRPr="00734B50">
        <w:rPr>
          <w:lang w:val="pt-BR"/>
        </w:rPr>
        <w:t>cliente escolher a opção de assinatura coextensiva, qualquer uso de acordo com as Taxas de Consumo será faturado ao cliente ou seu revendedor no final de cada trimestre do registro.</w:t>
      </w:r>
      <w:r w:rsidR="005A52A2" w:rsidRPr="00734B50">
        <w:rPr>
          <w:lang w:val="pt-BR"/>
        </w:rPr>
        <w:t xml:space="preserve"> </w:t>
      </w:r>
    </w:p>
    <w:p w:rsidR="006A5DAE" w:rsidRPr="00734B50" w:rsidRDefault="006A5DAE" w:rsidP="006A5DAE">
      <w:pPr>
        <w:rPr>
          <w:lang w:val="pt-BR"/>
        </w:rPr>
      </w:pPr>
    </w:p>
    <w:p w:rsidR="006A5DAE" w:rsidRPr="00734B50" w:rsidRDefault="006A5DAE" w:rsidP="006A5DAE">
      <w:pPr>
        <w:rPr>
          <w:lang w:val="pt-BR"/>
        </w:rPr>
      </w:pPr>
      <w:r w:rsidRPr="00734B50">
        <w:rPr>
          <w:lang w:val="pt-BR"/>
        </w:rPr>
        <w:t>Todo o uso dos Serviços do Windows Azure após o término ou a rescisão do prazo de assinatura de um cliente será faturado para o cliente ou seu revendedor às Taxas de Consumo trimestralmente.</w:t>
      </w:r>
    </w:p>
    <w:p w:rsidR="006A5DAE" w:rsidRPr="00734B50" w:rsidRDefault="006A5DAE" w:rsidP="006A5DAE">
      <w:pPr>
        <w:rPr>
          <w:lang w:val="pt-BR"/>
        </w:rPr>
      </w:pPr>
    </w:p>
    <w:p w:rsidR="006A5DAE" w:rsidRPr="00734B50" w:rsidRDefault="006A5DAE" w:rsidP="006A5DAE">
      <w:pPr>
        <w:rPr>
          <w:lang w:val="pt-BR"/>
        </w:rPr>
      </w:pPr>
      <w:r w:rsidRPr="00734B50">
        <w:rPr>
          <w:lang w:val="pt-BR"/>
        </w:rPr>
        <w:t>A Microsoft poderá diminuir preços de Serviços individuais do Windows Azure durante o prazo do registro do cliente.</w:t>
      </w:r>
      <w:r w:rsidR="005A52A2" w:rsidRPr="00734B50">
        <w:rPr>
          <w:lang w:val="pt-BR"/>
        </w:rPr>
        <w:t xml:space="preserve"> </w:t>
      </w:r>
      <w:r w:rsidRPr="00734B50">
        <w:rPr>
          <w:lang w:val="pt-BR"/>
        </w:rPr>
        <w:t>Para os clientes que adquiriram os Serviços do Windows Azure diretamente da Microsoft, a Tabela de Preços ao Cliente poderá indicar um preço mais alto do que o preço vigente. A Microsoft concederá preços mais baixos a esses clientes durante o período em que eles estiverem em vigência. A Microsoft fornecerá aos clientes uma notificação sobre tais alterações.</w:t>
      </w:r>
    </w:p>
    <w:p w:rsidR="006A5DAE" w:rsidRPr="00734B50" w:rsidRDefault="006A5DAE" w:rsidP="006A5DAE">
      <w:pPr>
        <w:rPr>
          <w:lang w:val="pt-BR"/>
        </w:rPr>
      </w:pPr>
    </w:p>
    <w:p w:rsidR="006F1287" w:rsidRPr="00734B50" w:rsidRDefault="006F1287" w:rsidP="006A5DAE">
      <w:pPr>
        <w:rPr>
          <w:lang w:val="pt-BR"/>
        </w:rPr>
      </w:pPr>
    </w:p>
    <w:p w:rsidR="006F1287" w:rsidRPr="00734B50" w:rsidRDefault="006F1287" w:rsidP="006A5DAE">
      <w:pPr>
        <w:rPr>
          <w:lang w:val="pt-BR"/>
        </w:rPr>
      </w:pPr>
    </w:p>
    <w:p w:rsidR="006F1287" w:rsidRPr="00734B50" w:rsidRDefault="006F1287" w:rsidP="006A5DAE">
      <w:pPr>
        <w:rPr>
          <w:lang w:val="pt-BR"/>
        </w:rPr>
      </w:pPr>
    </w:p>
    <w:p w:rsidR="006A5DAE" w:rsidRPr="00734B50" w:rsidRDefault="006A5DAE" w:rsidP="006A5DAE">
      <w:pPr>
        <w:rPr>
          <w:lang w:val="pt-BR"/>
        </w:rPr>
      </w:pPr>
      <w:r w:rsidRPr="00734B50">
        <w:rPr>
          <w:rFonts w:cs="Tahoma"/>
          <w:szCs w:val="18"/>
          <w:lang w:val="pt-BR"/>
        </w:rPr>
        <w:lastRenderedPageBreak/>
        <w:t>Os termos de pagamento e preços das assinaturas adquiridas por meio de revendedores serão determinados pelo contrato entre o cliente e seu revendedor.</w:t>
      </w:r>
      <w:r w:rsidR="005A52A2" w:rsidRPr="00734B50">
        <w:rPr>
          <w:rFonts w:cs="Tahoma"/>
          <w:szCs w:val="18"/>
          <w:lang w:val="pt-BR"/>
        </w:rPr>
        <w:t xml:space="preserve"> </w:t>
      </w:r>
      <w:r w:rsidRPr="00734B50">
        <w:rPr>
          <w:rFonts w:cs="Tahoma"/>
          <w:szCs w:val="18"/>
          <w:lang w:val="pt-BR"/>
        </w:rPr>
        <w:t xml:space="preserve">O </w:t>
      </w:r>
      <w:r w:rsidRPr="00734B50">
        <w:rPr>
          <w:iCs/>
          <w:lang w:val="pt-BR"/>
        </w:rPr>
        <w:t>revendedor de um cliente fornecerá informações adicionais relativas ao processo de pedidos de Serviços do Windows Azure.</w:t>
      </w:r>
      <w:r w:rsidR="005A52A2" w:rsidRPr="00734B50">
        <w:rPr>
          <w:iCs/>
          <w:lang w:val="pt-BR"/>
        </w:rPr>
        <w:t xml:space="preserve"> </w:t>
      </w:r>
      <w:r w:rsidRPr="00734B50">
        <w:rPr>
          <w:iCs/>
          <w:lang w:val="pt-BR"/>
        </w:rPr>
        <w:t xml:space="preserve">Os preços e os termos de cobrança para todos os Serviços do Windows Azure serão regidos por um contrato separado entre o cliente e seu respectivo revendedor. </w:t>
      </w:r>
      <w:r w:rsidRPr="00734B50">
        <w:rPr>
          <w:lang w:val="pt-BR"/>
        </w:rPr>
        <w:t>A Microsoft poderá baixar os preços para os Serviços do Windows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rsidR="00BD1A6A" w:rsidRPr="00734B50" w:rsidRDefault="00BD1A6A">
      <w:pPr>
        <w:rPr>
          <w:lang w:val="pt-BR"/>
        </w:rPr>
      </w:pPr>
    </w:p>
    <w:p w:rsidR="00776E3B" w:rsidRPr="00734B50" w:rsidRDefault="005242EC" w:rsidP="005242EC">
      <w:pPr>
        <w:spacing w:after="60"/>
        <w:outlineLvl w:val="1"/>
        <w:rPr>
          <w:lang w:val="pt-BR"/>
        </w:rPr>
      </w:pPr>
      <w:r w:rsidRPr="00734B50">
        <w:rPr>
          <w:rFonts w:cs="Tahoma"/>
          <w:b/>
          <w:sz w:val="20"/>
          <w:szCs w:val="18"/>
          <w:lang w:val="pt-BR"/>
        </w:rPr>
        <w:t>Taxas de Compromissos do Windows Azure</w:t>
      </w:r>
    </w:p>
    <w:p w:rsidR="00776E3B" w:rsidRPr="00734B50" w:rsidRDefault="006A5DAE" w:rsidP="00776E3B">
      <w:pPr>
        <w:outlineLvl w:val="1"/>
        <w:rPr>
          <w:lang w:val="pt-BR"/>
        </w:rPr>
      </w:pPr>
      <w:r w:rsidRPr="00734B50">
        <w:rPr>
          <w:rFonts w:cs="Tahoma"/>
          <w:szCs w:val="18"/>
          <w:lang w:val="pt-BR"/>
        </w:rPr>
        <w:t xml:space="preserve">As Taxas de Compromissos dos Clientes para Serviços do Windows Azure se baseiam em seu Nível de Compromisso Monetário do Windows Azure e na categoria de preços do registro. O Nível de Compromisso Monetário do Windows Azure é determinado pela quantidade de Compromissos Monetários do Windows Azure (ou seja, o valor monetário total que o cliente se compromete a dispor anualmente durante a vigência da assinatura do Windows Azure) e corresponde ao desconto especificado na tabela abaixo (expresso como uma porcentagem das Taxas Excedentes/Consumo do Windows Azure). </w:t>
      </w:r>
    </w:p>
    <w:p w:rsidR="00776E3B" w:rsidRPr="00734B50" w:rsidRDefault="00776E3B" w:rsidP="00776E3B">
      <w:pPr>
        <w:ind w:left="720"/>
        <w:outlineLvl w:val="1"/>
        <w:rPr>
          <w:lang w:val="pt-B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909"/>
        <w:gridCol w:w="2610"/>
        <w:gridCol w:w="1738"/>
      </w:tblGrid>
      <w:tr w:rsidR="00776E3B" w:rsidRPr="00E04628" w:rsidTr="006F1287">
        <w:trPr>
          <w:trHeight w:val="515"/>
          <w:tblHeader/>
          <w:jc w:val="center"/>
        </w:trPr>
        <w:tc>
          <w:tcPr>
            <w:tcW w:w="290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734B50" w:rsidRDefault="00776E3B" w:rsidP="0044720D">
            <w:pPr>
              <w:jc w:val="center"/>
              <w:rPr>
                <w:rFonts w:eastAsia="Times New Roman" w:cs="Tahoma"/>
                <w:b/>
                <w:bCs/>
                <w:szCs w:val="18"/>
                <w:lang w:val="pt-BR"/>
              </w:rPr>
            </w:pPr>
            <w:r w:rsidRPr="00734B50">
              <w:rPr>
                <w:rFonts w:cs="Tahoma"/>
                <w:b/>
                <w:bCs/>
                <w:szCs w:val="18"/>
                <w:lang w:val="pt-BR"/>
              </w:rPr>
              <w:t>Nível de Compromisso Monetário do Windows Azure</w:t>
            </w:r>
          </w:p>
        </w:tc>
        <w:tc>
          <w:tcPr>
            <w:tcW w:w="26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734B50" w:rsidRDefault="00776E3B" w:rsidP="0044720D">
            <w:pPr>
              <w:jc w:val="center"/>
              <w:rPr>
                <w:rFonts w:eastAsia="Times New Roman" w:cs="Tahoma"/>
                <w:b/>
                <w:bCs/>
                <w:szCs w:val="18"/>
                <w:lang w:val="pt-BR"/>
              </w:rPr>
            </w:pPr>
            <w:r w:rsidRPr="00734B50">
              <w:rPr>
                <w:rFonts w:eastAsia="Times New Roman" w:cs="Tahoma"/>
                <w:b/>
                <w:bCs/>
                <w:szCs w:val="18"/>
                <w:lang w:val="pt-BR"/>
              </w:rPr>
              <w:t>Quantidade de Unidade de Compromisso Monetário Anual do Windows Azure*</w:t>
            </w:r>
          </w:p>
        </w:tc>
        <w:tc>
          <w:tcPr>
            <w:tcW w:w="1738"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734B50" w:rsidRDefault="00776E3B" w:rsidP="0044720D">
            <w:pPr>
              <w:jc w:val="center"/>
              <w:rPr>
                <w:rFonts w:eastAsia="Times New Roman" w:cs="Tahoma"/>
                <w:b/>
                <w:bCs/>
                <w:szCs w:val="18"/>
                <w:lang w:val="pt-BR"/>
              </w:rPr>
            </w:pPr>
            <w:r w:rsidRPr="00734B50">
              <w:rPr>
                <w:rFonts w:cs="Tahoma"/>
                <w:b/>
                <w:bCs/>
                <w:szCs w:val="18"/>
                <w:lang w:val="pt-BR"/>
              </w:rPr>
              <w:t>Desconto Sobre as Taxas de Consumo</w:t>
            </w:r>
          </w:p>
        </w:tc>
      </w:tr>
      <w:tr w:rsidR="00776E3B" w:rsidRPr="00653421" w:rsidTr="006F1287">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53421" w:rsidRDefault="00776E3B" w:rsidP="0044720D">
            <w:pPr>
              <w:spacing w:before="100" w:beforeAutospacing="1" w:after="100" w:afterAutospacing="1"/>
              <w:ind w:right="259"/>
              <w:jc w:val="center"/>
              <w:rPr>
                <w:rFonts w:eastAsia="Times New Roman" w:cs="Tahoma"/>
                <w:szCs w:val="18"/>
              </w:rPr>
            </w:pPr>
            <w:r w:rsidRPr="00653421">
              <w:rPr>
                <w:rFonts w:eastAsia="Times New Roman" w:cs="Tahoma"/>
                <w:szCs w:val="18"/>
              </w:rPr>
              <w:t>Nível 1</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53421" w:rsidRDefault="00776E3B" w:rsidP="0044720D">
            <w:pPr>
              <w:spacing w:before="100" w:beforeAutospacing="1" w:after="100" w:afterAutospacing="1"/>
              <w:ind w:right="180"/>
              <w:jc w:val="center"/>
              <w:rPr>
                <w:rFonts w:eastAsia="Times New Roman" w:cs="Tahoma"/>
                <w:szCs w:val="18"/>
              </w:rPr>
            </w:pPr>
            <w:r w:rsidRPr="00653421">
              <w:rPr>
                <w:rFonts w:eastAsia="Times New Roman" w:cs="Tahoma"/>
                <w:szCs w:val="18"/>
              </w:rPr>
              <w:t>Até 1.799 Unidades</w:t>
            </w:r>
          </w:p>
        </w:tc>
        <w:tc>
          <w:tcPr>
            <w:tcW w:w="1738" w:type="dxa"/>
            <w:tcBorders>
              <w:top w:val="single" w:sz="8" w:space="0" w:color="auto"/>
              <w:left w:val="single" w:sz="8" w:space="0" w:color="auto"/>
              <w:bottom w:val="single" w:sz="8" w:space="0" w:color="auto"/>
              <w:right w:val="single" w:sz="8" w:space="0" w:color="auto"/>
            </w:tcBorders>
            <w:hideMark/>
          </w:tcPr>
          <w:p w:rsidR="00776E3B" w:rsidRPr="00653421" w:rsidRDefault="00776E3B" w:rsidP="0044720D">
            <w:pPr>
              <w:spacing w:before="100" w:beforeAutospacing="1" w:after="100" w:afterAutospacing="1"/>
              <w:ind w:right="180"/>
              <w:jc w:val="center"/>
              <w:rPr>
                <w:rFonts w:eastAsia="Times New Roman" w:cs="Tahoma"/>
                <w:szCs w:val="18"/>
              </w:rPr>
            </w:pPr>
            <w:r w:rsidRPr="00653421">
              <w:rPr>
                <w:rFonts w:eastAsia="Times New Roman" w:cs="Tahoma"/>
                <w:szCs w:val="18"/>
              </w:rPr>
              <w:t>23%</w:t>
            </w:r>
          </w:p>
        </w:tc>
      </w:tr>
      <w:tr w:rsidR="00776E3B" w:rsidRPr="00653421" w:rsidTr="006F1287">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53421" w:rsidRDefault="00776E3B" w:rsidP="0044720D">
            <w:pPr>
              <w:spacing w:before="100" w:beforeAutospacing="1" w:after="100" w:afterAutospacing="1"/>
              <w:ind w:right="259"/>
              <w:jc w:val="center"/>
              <w:rPr>
                <w:rFonts w:eastAsia="Times New Roman" w:cs="Tahoma"/>
                <w:szCs w:val="18"/>
              </w:rPr>
            </w:pPr>
            <w:r w:rsidRPr="00653421">
              <w:rPr>
                <w:rFonts w:eastAsia="Times New Roman" w:cs="Tahoma"/>
                <w:szCs w:val="18"/>
              </w:rPr>
              <w:t>Nível 2</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53421" w:rsidRDefault="00776E3B" w:rsidP="0044720D">
            <w:pPr>
              <w:spacing w:before="100" w:beforeAutospacing="1" w:after="100" w:afterAutospacing="1"/>
              <w:ind w:right="180"/>
              <w:jc w:val="center"/>
              <w:rPr>
                <w:rFonts w:eastAsia="Times New Roman" w:cs="Tahoma"/>
                <w:szCs w:val="18"/>
              </w:rPr>
            </w:pPr>
            <w:r w:rsidRPr="00653421">
              <w:rPr>
                <w:rFonts w:eastAsia="Times New Roman" w:cs="Tahoma"/>
                <w:szCs w:val="18"/>
              </w:rPr>
              <w:t>1.800 - 4.799 Unidades</w:t>
            </w:r>
          </w:p>
        </w:tc>
        <w:tc>
          <w:tcPr>
            <w:tcW w:w="1738" w:type="dxa"/>
            <w:tcBorders>
              <w:top w:val="single" w:sz="8" w:space="0" w:color="auto"/>
              <w:left w:val="single" w:sz="8" w:space="0" w:color="auto"/>
              <w:bottom w:val="single" w:sz="8" w:space="0" w:color="auto"/>
              <w:right w:val="single" w:sz="8" w:space="0" w:color="auto"/>
            </w:tcBorders>
            <w:hideMark/>
          </w:tcPr>
          <w:p w:rsidR="00776E3B" w:rsidRPr="00653421" w:rsidRDefault="00776E3B" w:rsidP="0044720D">
            <w:pPr>
              <w:spacing w:before="100" w:beforeAutospacing="1" w:after="100" w:afterAutospacing="1"/>
              <w:ind w:right="180"/>
              <w:jc w:val="center"/>
              <w:rPr>
                <w:rFonts w:eastAsia="Times New Roman" w:cs="Tahoma"/>
                <w:szCs w:val="18"/>
              </w:rPr>
            </w:pPr>
            <w:r w:rsidRPr="00653421">
              <w:rPr>
                <w:rFonts w:eastAsia="Times New Roman" w:cs="Tahoma"/>
                <w:szCs w:val="18"/>
              </w:rPr>
              <w:t>26%</w:t>
            </w:r>
          </w:p>
        </w:tc>
      </w:tr>
      <w:tr w:rsidR="00776E3B" w:rsidRPr="00653421" w:rsidTr="006F1287">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53421" w:rsidRDefault="00776E3B" w:rsidP="0044720D">
            <w:pPr>
              <w:spacing w:before="100" w:beforeAutospacing="1" w:after="100" w:afterAutospacing="1"/>
              <w:ind w:right="259"/>
              <w:jc w:val="center"/>
              <w:rPr>
                <w:rFonts w:eastAsia="Times New Roman" w:cs="Tahoma"/>
                <w:szCs w:val="18"/>
              </w:rPr>
            </w:pPr>
            <w:r w:rsidRPr="00653421">
              <w:rPr>
                <w:rFonts w:eastAsia="Times New Roman" w:cs="Tahoma"/>
                <w:szCs w:val="18"/>
              </w:rPr>
              <w:t>Nível 3</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53421" w:rsidRDefault="00776E3B" w:rsidP="0044720D">
            <w:pPr>
              <w:spacing w:before="100" w:beforeAutospacing="1" w:after="100" w:afterAutospacing="1"/>
              <w:ind w:right="180"/>
              <w:jc w:val="center"/>
              <w:rPr>
                <w:rFonts w:eastAsia="Times New Roman" w:cs="Tahoma"/>
                <w:szCs w:val="18"/>
              </w:rPr>
            </w:pPr>
            <w:r w:rsidRPr="00653421">
              <w:rPr>
                <w:rFonts w:eastAsia="Times New Roman" w:cs="Tahoma"/>
                <w:szCs w:val="18"/>
              </w:rPr>
              <w:t>4.800 - 11.999 Unidades</w:t>
            </w:r>
          </w:p>
        </w:tc>
        <w:tc>
          <w:tcPr>
            <w:tcW w:w="1738" w:type="dxa"/>
            <w:tcBorders>
              <w:top w:val="single" w:sz="8" w:space="0" w:color="auto"/>
              <w:left w:val="single" w:sz="8" w:space="0" w:color="auto"/>
              <w:bottom w:val="single" w:sz="8" w:space="0" w:color="auto"/>
              <w:right w:val="single" w:sz="8" w:space="0" w:color="auto"/>
            </w:tcBorders>
            <w:hideMark/>
          </w:tcPr>
          <w:p w:rsidR="00776E3B" w:rsidRPr="00653421" w:rsidRDefault="00776E3B" w:rsidP="0044720D">
            <w:pPr>
              <w:spacing w:before="100" w:beforeAutospacing="1" w:after="100" w:afterAutospacing="1"/>
              <w:ind w:right="180"/>
              <w:jc w:val="center"/>
              <w:rPr>
                <w:rFonts w:eastAsia="Times New Roman" w:cs="Tahoma"/>
                <w:szCs w:val="18"/>
              </w:rPr>
            </w:pPr>
            <w:r w:rsidRPr="00653421">
              <w:rPr>
                <w:rFonts w:eastAsia="Times New Roman" w:cs="Tahoma"/>
                <w:szCs w:val="18"/>
              </w:rPr>
              <w:t>30%</w:t>
            </w:r>
          </w:p>
        </w:tc>
      </w:tr>
      <w:tr w:rsidR="00776E3B" w:rsidRPr="00653421" w:rsidTr="006F1287">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53421" w:rsidRDefault="00776E3B" w:rsidP="0044720D">
            <w:pPr>
              <w:spacing w:before="100" w:beforeAutospacing="1" w:after="100" w:afterAutospacing="1"/>
              <w:ind w:right="259"/>
              <w:jc w:val="center"/>
              <w:rPr>
                <w:rFonts w:eastAsia="Times New Roman" w:cs="Tahoma"/>
                <w:szCs w:val="18"/>
              </w:rPr>
            </w:pPr>
            <w:r w:rsidRPr="00653421">
              <w:rPr>
                <w:rFonts w:eastAsia="Times New Roman" w:cs="Tahoma"/>
                <w:szCs w:val="18"/>
              </w:rPr>
              <w:t>Nível 4</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653421" w:rsidRDefault="00776E3B" w:rsidP="0044720D">
            <w:pPr>
              <w:spacing w:before="100" w:beforeAutospacing="1" w:after="100" w:afterAutospacing="1"/>
              <w:ind w:right="180"/>
              <w:jc w:val="center"/>
              <w:rPr>
                <w:rFonts w:eastAsia="Times New Roman" w:cs="Tahoma"/>
                <w:szCs w:val="18"/>
              </w:rPr>
            </w:pPr>
            <w:r w:rsidRPr="00653421">
              <w:rPr>
                <w:rFonts w:eastAsia="Times New Roman" w:cs="Tahoma"/>
                <w:szCs w:val="18"/>
              </w:rPr>
              <w:t>12.000 + Unidades</w:t>
            </w:r>
          </w:p>
        </w:tc>
        <w:tc>
          <w:tcPr>
            <w:tcW w:w="1738" w:type="dxa"/>
            <w:tcBorders>
              <w:top w:val="single" w:sz="8" w:space="0" w:color="auto"/>
              <w:left w:val="single" w:sz="8" w:space="0" w:color="auto"/>
              <w:bottom w:val="single" w:sz="8" w:space="0" w:color="auto"/>
              <w:right w:val="single" w:sz="8" w:space="0" w:color="auto"/>
            </w:tcBorders>
            <w:hideMark/>
          </w:tcPr>
          <w:p w:rsidR="00776E3B" w:rsidRPr="00653421" w:rsidRDefault="00776E3B" w:rsidP="0044720D">
            <w:pPr>
              <w:spacing w:before="100" w:beforeAutospacing="1" w:after="100" w:afterAutospacing="1"/>
              <w:ind w:right="180"/>
              <w:jc w:val="center"/>
              <w:rPr>
                <w:rFonts w:eastAsia="Times New Roman" w:cs="Tahoma"/>
                <w:szCs w:val="18"/>
              </w:rPr>
            </w:pPr>
            <w:r w:rsidRPr="00653421">
              <w:rPr>
                <w:rFonts w:eastAsia="Times New Roman" w:cs="Tahoma"/>
                <w:szCs w:val="18"/>
              </w:rPr>
              <w:t>35%</w:t>
            </w:r>
          </w:p>
        </w:tc>
      </w:tr>
    </w:tbl>
    <w:p w:rsidR="006A5DAE" w:rsidRPr="00734B50" w:rsidRDefault="00620E07" w:rsidP="002E57CF">
      <w:pPr>
        <w:ind w:left="1080"/>
        <w:outlineLvl w:val="1"/>
        <w:rPr>
          <w:lang w:val="pt-BR"/>
        </w:rPr>
      </w:pPr>
      <w:r w:rsidRPr="00734B50">
        <w:rPr>
          <w:rFonts w:cs="Tahoma"/>
          <w:i/>
          <w:sz w:val="16"/>
          <w:szCs w:val="18"/>
          <w:lang w:val="pt-BR" w:eastAsia="x-none"/>
        </w:rPr>
        <w:t xml:space="preserve">* </w:t>
      </w:r>
      <w:r w:rsidR="00AA0329" w:rsidRPr="00734B50">
        <w:rPr>
          <w:rFonts w:cs="Tahoma"/>
          <w:i/>
          <w:sz w:val="16"/>
          <w:szCs w:val="18"/>
          <w:lang w:val="pt-BR"/>
        </w:rPr>
        <w:t>Unidade é um valor monetário na moeda aplicável</w:t>
      </w:r>
    </w:p>
    <w:p w:rsidR="00776E3B" w:rsidRPr="00734B50" w:rsidRDefault="00776E3B" w:rsidP="00776E3B">
      <w:pPr>
        <w:outlineLvl w:val="1"/>
        <w:rPr>
          <w:lang w:val="pt-BR"/>
        </w:rPr>
      </w:pPr>
    </w:p>
    <w:p w:rsidR="00776E3B" w:rsidRPr="00734B50" w:rsidRDefault="00776E3B" w:rsidP="00776E3B">
      <w:pPr>
        <w:outlineLvl w:val="1"/>
        <w:rPr>
          <w:lang w:val="pt-BR"/>
        </w:rPr>
      </w:pPr>
      <w:r w:rsidRPr="00734B50">
        <w:rPr>
          <w:rFonts w:cs="Tahoma"/>
          <w:szCs w:val="18"/>
          <w:lang w:val="pt-BR"/>
        </w:rPr>
        <w:t>Um cliente pode aumentar sua quantidade de Compromisso Monetário anual do Windows Azure e qualificar-se para</w:t>
      </w:r>
      <w:r w:rsidR="006F1287" w:rsidRPr="00734B50">
        <w:rPr>
          <w:rFonts w:cs="Tahoma"/>
          <w:szCs w:val="18"/>
          <w:lang w:val="pt-BR"/>
        </w:rPr>
        <w:t> </w:t>
      </w:r>
      <w:r w:rsidRPr="00734B50">
        <w:rPr>
          <w:rFonts w:cs="Tahoma"/>
          <w:szCs w:val="18"/>
          <w:lang w:val="pt-BR"/>
        </w:rPr>
        <w:t>um Nível mais alto a qualquer momento durante a vigência da assinatura do Windows Azure.</w:t>
      </w:r>
      <w:r w:rsidR="005A52A2" w:rsidRPr="00734B50">
        <w:rPr>
          <w:rFonts w:cs="Tahoma"/>
          <w:szCs w:val="18"/>
          <w:lang w:val="pt-BR"/>
        </w:rPr>
        <w:t xml:space="preserve"> </w:t>
      </w:r>
      <w:r w:rsidRPr="00734B50">
        <w:rPr>
          <w:rFonts w:cs="Tahoma"/>
          <w:szCs w:val="18"/>
          <w:lang w:val="pt-BR"/>
        </w:rPr>
        <w:t>As novas Taxas</w:t>
      </w:r>
      <w:r w:rsidR="006F1287" w:rsidRPr="00734B50">
        <w:rPr>
          <w:rFonts w:cs="Tahoma"/>
          <w:szCs w:val="18"/>
          <w:lang w:val="pt-BR"/>
        </w:rPr>
        <w:t> </w:t>
      </w:r>
      <w:r w:rsidRPr="00734B50">
        <w:rPr>
          <w:rFonts w:cs="Tahoma"/>
          <w:szCs w:val="18"/>
          <w:lang w:val="pt-BR"/>
        </w:rPr>
        <w:t>de</w:t>
      </w:r>
      <w:r w:rsidR="006F1287" w:rsidRPr="00734B50">
        <w:rPr>
          <w:rFonts w:cs="Tahoma"/>
          <w:szCs w:val="18"/>
          <w:lang w:val="pt-BR"/>
        </w:rPr>
        <w:t> </w:t>
      </w:r>
      <w:r w:rsidRPr="00734B50">
        <w:rPr>
          <w:rFonts w:cs="Tahoma"/>
          <w:szCs w:val="18"/>
          <w:lang w:val="pt-BR"/>
        </w:rPr>
        <w:t>Compromisso se aplicarão ao uso que o cliente faz dos Serviços do Windows Azure, começando no primeiro</w:t>
      </w:r>
      <w:r w:rsidR="006F1287" w:rsidRPr="00734B50">
        <w:rPr>
          <w:rFonts w:cs="Tahoma"/>
          <w:szCs w:val="18"/>
          <w:lang w:val="pt-BR"/>
        </w:rPr>
        <w:t> </w:t>
      </w:r>
      <w:r w:rsidRPr="00734B50">
        <w:rPr>
          <w:rFonts w:cs="Tahoma"/>
          <w:szCs w:val="18"/>
          <w:lang w:val="pt-BR"/>
        </w:rPr>
        <w:t xml:space="preserve">dia do mês calendário depois que o cliente ajusta sua quantidade de licenças de Compromisso Monetário anual do Windows Azure. </w:t>
      </w:r>
    </w:p>
    <w:p w:rsidR="00776E3B" w:rsidRPr="00734B50" w:rsidRDefault="00776E3B" w:rsidP="00776E3B">
      <w:pPr>
        <w:outlineLvl w:val="1"/>
        <w:rPr>
          <w:lang w:val="pt-BR"/>
        </w:rPr>
      </w:pPr>
    </w:p>
    <w:p w:rsidR="00776E3B" w:rsidRPr="00734B50" w:rsidRDefault="00776E3B" w:rsidP="005242EC">
      <w:pPr>
        <w:outlineLvl w:val="1"/>
        <w:rPr>
          <w:lang w:val="pt-BR"/>
        </w:rPr>
      </w:pPr>
      <w:r w:rsidRPr="00734B50">
        <w:rPr>
          <w:rFonts w:eastAsia="Times New Roman" w:cs="Tahoma"/>
          <w:szCs w:val="18"/>
          <w:lang w:val="pt-BR"/>
        </w:rPr>
        <w:t xml:space="preserve">A Tabela de Preços ao Cliente refletirá os preços da Taxa de Compromisso Nível 1. Os preços reais da </w:t>
      </w:r>
      <w:r w:rsidRPr="00734B50">
        <w:rPr>
          <w:rFonts w:cs="Tahoma"/>
          <w:szCs w:val="18"/>
          <w:lang w:val="pt-BR"/>
        </w:rPr>
        <w:t>Taxa de Compromisso serão mostrados na página Exibição da Conta no Portal Corporativo do Windows Azure. Os termos de</w:t>
      </w:r>
      <w:r w:rsidR="006F1287" w:rsidRPr="00734B50">
        <w:rPr>
          <w:rFonts w:cs="Tahoma"/>
          <w:szCs w:val="18"/>
          <w:lang w:val="pt-BR"/>
        </w:rPr>
        <w:t> </w:t>
      </w:r>
      <w:r w:rsidRPr="00734B50">
        <w:rPr>
          <w:rFonts w:cs="Tahoma"/>
          <w:szCs w:val="18"/>
          <w:lang w:val="pt-BR"/>
        </w:rPr>
        <w:t>pagamento e preços dos Serviços do Windows Azure adquiridos por meio de revendedores serão determinados pelo contrato entre o cliente e seu revendedor.</w:t>
      </w:r>
    </w:p>
    <w:p w:rsidR="0067627F" w:rsidRPr="00734B50" w:rsidRDefault="0067627F" w:rsidP="00776E3B">
      <w:pPr>
        <w:rPr>
          <w:lang w:val="pt-BR"/>
        </w:rPr>
      </w:pPr>
    </w:p>
    <w:p w:rsidR="00456002" w:rsidRPr="00734B50" w:rsidRDefault="00456002" w:rsidP="00456002">
      <w:pPr>
        <w:pStyle w:val="Heading2"/>
        <w:ind w:left="0"/>
        <w:rPr>
          <w:lang w:val="pt-BR"/>
        </w:rPr>
      </w:pPr>
      <w:bookmarkStart w:id="737" w:name="_Toc328145984"/>
      <w:bookmarkStart w:id="738" w:name="_Toc336338215"/>
      <w:bookmarkStart w:id="739" w:name="_Toc353470863"/>
      <w:r w:rsidRPr="00734B50">
        <w:rPr>
          <w:rFonts w:ascii="Tahoma" w:hAnsi="Tahoma" w:cs="Tahoma"/>
          <w:lang w:val="pt-BR"/>
        </w:rPr>
        <w:t>Disponibilidade Regional dos Serviços Online</w:t>
      </w:r>
      <w:bookmarkEnd w:id="737"/>
      <w:bookmarkEnd w:id="738"/>
      <w:bookmarkEnd w:id="739"/>
      <w:r w:rsidRPr="00734B50">
        <w:rPr>
          <w:rFonts w:ascii="Tahoma" w:hAnsi="Tahoma" w:cs="Tahoma"/>
          <w:lang w:val="pt-BR"/>
        </w:rPr>
        <w:t xml:space="preserve"> </w:t>
      </w:r>
    </w:p>
    <w:p w:rsidR="00456002" w:rsidRPr="00734B50" w:rsidRDefault="00456002" w:rsidP="00DF28F2">
      <w:pPr>
        <w:outlineLvl w:val="2"/>
        <w:rPr>
          <w:lang w:val="pt-BR"/>
        </w:rPr>
      </w:pPr>
    </w:p>
    <w:p w:rsidR="0067627F" w:rsidRPr="00734B50" w:rsidRDefault="00456002" w:rsidP="0067627F">
      <w:pPr>
        <w:outlineLvl w:val="2"/>
        <w:rPr>
          <w:lang w:val="pt-BR"/>
        </w:rPr>
      </w:pPr>
      <w:r w:rsidRPr="00734B50">
        <w:rPr>
          <w:rFonts w:cs="Tahoma"/>
          <w:szCs w:val="18"/>
          <w:lang w:val="pt-BR"/>
        </w:rPr>
        <w:t xml:space="preserve">Visite o site </w:t>
      </w:r>
      <w:hyperlink r:id="rId22" w:anchor="international" w:history="1">
        <w:r w:rsidRPr="00734B50">
          <w:rPr>
            <w:rStyle w:val="Hyperlink"/>
            <w:lang w:val="pt-BR"/>
          </w:rPr>
          <w:t>http://www.microsoft.com/online/faq.aspx#international</w:t>
        </w:r>
      </w:hyperlink>
      <w:r w:rsidR="005A52A2" w:rsidRPr="00734B50">
        <w:rPr>
          <w:color w:val="1F497D"/>
          <w:lang w:val="pt-BR"/>
        </w:rPr>
        <w:t xml:space="preserve"> </w:t>
      </w:r>
      <w:r w:rsidRPr="00734B50">
        <w:rPr>
          <w:color w:val="000000"/>
          <w:lang w:val="pt-BR"/>
        </w:rPr>
        <w:t>para obter uma lista de países e regiões nos quais os Serviços Online estão disponíveis.</w:t>
      </w:r>
      <w:r w:rsidR="005A52A2" w:rsidRPr="00734B50">
        <w:rPr>
          <w:color w:val="000000"/>
          <w:lang w:val="pt-BR"/>
        </w:rPr>
        <w:t xml:space="preserve"> </w:t>
      </w:r>
    </w:p>
    <w:p w:rsidR="0067627F" w:rsidRPr="00734B50" w:rsidRDefault="0067627F" w:rsidP="0067627F">
      <w:pPr>
        <w:outlineLvl w:val="2"/>
        <w:rPr>
          <w:lang w:val="pt-BR"/>
        </w:rPr>
      </w:pPr>
    </w:p>
    <w:p w:rsidR="00456002" w:rsidRPr="00734B50" w:rsidRDefault="00456002" w:rsidP="00456002">
      <w:pPr>
        <w:pStyle w:val="Heading2"/>
        <w:ind w:left="0"/>
        <w:rPr>
          <w:lang w:val="pt-BR"/>
        </w:rPr>
      </w:pPr>
      <w:bookmarkStart w:id="740" w:name="_Toc328145985"/>
      <w:bookmarkStart w:id="741" w:name="_Toc336338216"/>
      <w:bookmarkStart w:id="742" w:name="_Toc353470864"/>
      <w:r w:rsidRPr="00734B50">
        <w:rPr>
          <w:rFonts w:ascii="Tahoma" w:hAnsi="Tahoma" w:cs="Tahoma"/>
          <w:lang w:val="pt-BR"/>
        </w:rPr>
        <w:t>Termos adicionais de Serviços Online</w:t>
      </w:r>
      <w:bookmarkEnd w:id="740"/>
      <w:bookmarkEnd w:id="741"/>
      <w:bookmarkEnd w:id="742"/>
    </w:p>
    <w:p w:rsidR="00456002" w:rsidRPr="00734B50" w:rsidRDefault="00456002" w:rsidP="00DF28F2">
      <w:pPr>
        <w:outlineLvl w:val="2"/>
        <w:rPr>
          <w:lang w:val="pt-BR"/>
        </w:rPr>
      </w:pPr>
    </w:p>
    <w:p w:rsidR="00456002" w:rsidRPr="00734B50" w:rsidRDefault="00456002" w:rsidP="00CF3FEE">
      <w:pPr>
        <w:rPr>
          <w:lang w:val="pt-BR"/>
        </w:rPr>
      </w:pPr>
      <w:r w:rsidRPr="00734B50">
        <w:rPr>
          <w:lang w:val="pt-BR"/>
        </w:rPr>
        <w:t>Esta Lista de Produtos pode conter informações adicionais sobre produtos específicos.</w:t>
      </w:r>
      <w:r w:rsidR="005A52A2" w:rsidRPr="00734B50">
        <w:rPr>
          <w:lang w:val="pt-BR"/>
        </w:rPr>
        <w:t xml:space="preserve"> </w:t>
      </w:r>
      <w:r w:rsidRPr="00734B50">
        <w:rPr>
          <w:lang w:val="pt-BR"/>
        </w:rPr>
        <w:t>Para saber mais, consulte as seções sobre produtos neste documento.</w:t>
      </w:r>
    </w:p>
    <w:p w:rsidR="00456002" w:rsidRPr="00734B50" w:rsidRDefault="00456002" w:rsidP="00CF3FEE">
      <w:pPr>
        <w:rPr>
          <w:lang w:val="pt-BR"/>
        </w:rPr>
      </w:pPr>
    </w:p>
    <w:p w:rsidR="00456002" w:rsidRPr="00734B50" w:rsidRDefault="00456002" w:rsidP="00CF3FEE">
      <w:pPr>
        <w:rPr>
          <w:lang w:val="pt-BR"/>
        </w:rPr>
      </w:pPr>
      <w:r w:rsidRPr="00734B50">
        <w:rPr>
          <w:lang w:val="pt-BR"/>
        </w:rPr>
        <w:t>Os Direitos de Uso de Produto encontrados no site http://www.microsoftvolumelicensing.com/userights/PUR.aspx estabelecem outros termos e condições gerais e específicos a produtos que regem o uso dos serviços online.</w:t>
      </w:r>
      <w:r w:rsidR="005A52A2" w:rsidRPr="00734B50">
        <w:rPr>
          <w:lang w:val="pt-BR"/>
        </w:rPr>
        <w:t xml:space="preserve"> </w:t>
      </w:r>
      <w:r w:rsidRPr="00734B50">
        <w:rPr>
          <w:lang w:val="pt-BR"/>
        </w:rPr>
        <w:t>Os</w:t>
      </w:r>
      <w:r w:rsidR="006F1287" w:rsidRPr="00734B50">
        <w:rPr>
          <w:lang w:val="pt-BR"/>
        </w:rPr>
        <w:t> </w:t>
      </w:r>
      <w:r w:rsidRPr="00734B50">
        <w:rPr>
          <w:lang w:val="pt-BR"/>
        </w:rPr>
        <w:t>direitos de uso de produto dos serviços online estão sujeitos a alterações conforme descrito na seção sobre Serviços Online desse documento.</w:t>
      </w:r>
    </w:p>
    <w:p w:rsidR="00456002" w:rsidRPr="00734B50" w:rsidRDefault="00456002" w:rsidP="00CF3FEE">
      <w:pPr>
        <w:rPr>
          <w:lang w:val="pt-BR"/>
        </w:rPr>
      </w:pPr>
    </w:p>
    <w:p w:rsidR="00026546" w:rsidRPr="00734B50" w:rsidRDefault="00456002" w:rsidP="005B372B">
      <w:pPr>
        <w:rPr>
          <w:lang w:val="pt-BR"/>
        </w:rPr>
      </w:pPr>
      <w:bookmarkStart w:id="743" w:name="_Toc325313160"/>
      <w:r w:rsidRPr="00734B50">
        <w:rPr>
          <w:lang w:val="pt-BR"/>
        </w:rPr>
        <w:t>Os Termos de Pagamento e Preços de Serviços Online não se aplicam aos Serviços Online obtidos de acordo com o</w:t>
      </w:r>
      <w:r w:rsidR="006F1287" w:rsidRPr="00734B50">
        <w:rPr>
          <w:lang w:val="pt-BR"/>
        </w:rPr>
        <w:t> </w:t>
      </w:r>
      <w:r w:rsidRPr="00734B50">
        <w:rPr>
          <w:lang w:val="pt-BR"/>
        </w:rPr>
        <w:t>Contrato Microsoft Online Subscription.</w:t>
      </w:r>
      <w:r w:rsidR="005A52A2" w:rsidRPr="00734B50">
        <w:rPr>
          <w:lang w:val="pt-BR"/>
        </w:rPr>
        <w:t xml:space="preserve"> </w:t>
      </w:r>
      <w:r w:rsidRPr="00734B50">
        <w:rPr>
          <w:lang w:val="pt-BR"/>
        </w:rPr>
        <w:t>Todos os termos aplicáveis dos Serviços Online obtidos de acordo com o</w:t>
      </w:r>
      <w:r w:rsidR="006F1287" w:rsidRPr="00734B50">
        <w:rPr>
          <w:lang w:val="pt-BR"/>
        </w:rPr>
        <w:t> </w:t>
      </w:r>
      <w:r w:rsidRPr="00734B50">
        <w:rPr>
          <w:lang w:val="pt-BR"/>
        </w:rPr>
        <w:t>Contrato Microsoft Online Subscription estão contidos nesse contrato e no Portal do Cliente do Microsoft Online</w:t>
      </w:r>
      <w:r w:rsidR="006F1287" w:rsidRPr="00734B50">
        <w:rPr>
          <w:lang w:val="pt-BR"/>
        </w:rPr>
        <w:t> </w:t>
      </w:r>
      <w:r w:rsidRPr="00734B50">
        <w:rPr>
          <w:lang w:val="pt-BR"/>
        </w:rPr>
        <w:t>Services.</w:t>
      </w:r>
      <w:bookmarkEnd w:id="743"/>
    </w:p>
    <w:p w:rsidR="00676723" w:rsidRPr="00734B50" w:rsidRDefault="00676723">
      <w:pPr>
        <w:rPr>
          <w:lang w:val="pt-BR"/>
        </w:rPr>
      </w:pPr>
      <w:bookmarkStart w:id="744" w:name="_Toc336338217"/>
      <w:r w:rsidRPr="00734B50">
        <w:rPr>
          <w:lang w:val="pt-BR"/>
        </w:rPr>
        <w:br w:type="page"/>
      </w:r>
    </w:p>
    <w:p w:rsidR="00023FE7" w:rsidRPr="00653421" w:rsidRDefault="00A33112" w:rsidP="0095190D">
      <w:pPr>
        <w:pStyle w:val="Heading1"/>
        <w:rPr>
          <w:sz w:val="36"/>
          <w:szCs w:val="36"/>
          <w:lang w:val="x-none" w:eastAsia="x-none"/>
        </w:rPr>
      </w:pPr>
      <w:bookmarkStart w:id="745" w:name="_Toc353470865"/>
      <w:r w:rsidRPr="00653421">
        <w:rPr>
          <w:sz w:val="36"/>
          <w:szCs w:val="36"/>
          <w:lang w:val="x-none" w:eastAsia="x-none"/>
        </w:rPr>
        <w:lastRenderedPageBreak/>
        <w:t>SEÇÃO 6 – regras de renovação DO Software</w:t>
      </w:r>
      <w:r w:rsidR="006F1287" w:rsidRPr="00653421">
        <w:rPr>
          <w:sz w:val="36"/>
          <w:szCs w:val="36"/>
          <w:lang w:val="x-none" w:eastAsia="x-none"/>
        </w:rPr>
        <w:t> </w:t>
      </w:r>
      <w:r w:rsidRPr="00653421">
        <w:rPr>
          <w:sz w:val="36"/>
          <w:szCs w:val="36"/>
          <w:lang w:val="x-none" w:eastAsia="x-none"/>
        </w:rPr>
        <w:t>Assurance</w:t>
      </w:r>
      <w:bookmarkEnd w:id="744"/>
      <w:bookmarkEnd w:id="745"/>
    </w:p>
    <w:p w:rsidR="00865A60" w:rsidRPr="00734B50" w:rsidRDefault="00865A60" w:rsidP="00865A60">
      <w:pPr>
        <w:rPr>
          <w:lang w:val="pt-BR"/>
        </w:rPr>
      </w:pPr>
    </w:p>
    <w:p w:rsidR="00171817" w:rsidRPr="00734B50" w:rsidRDefault="00171817" w:rsidP="00171817">
      <w:pPr>
        <w:pStyle w:val="Heading4"/>
        <w:tabs>
          <w:tab w:val="clear" w:pos="720"/>
          <w:tab w:val="num" w:pos="0"/>
        </w:tabs>
        <w:ind w:left="0" w:firstLine="0"/>
        <w:rPr>
          <w:lang w:val="pt-BR"/>
        </w:rPr>
      </w:pPr>
      <w:bookmarkStart w:id="746" w:name="_Toc323159745"/>
      <w:bookmarkStart w:id="747" w:name="_Toc336338218"/>
      <w:bookmarkStart w:id="748" w:name="_Toc353470866"/>
      <w:r w:rsidRPr="00734B50">
        <w:rPr>
          <w:rFonts w:ascii="Tahoma" w:hAnsi="Tahoma" w:cs="Tahoma"/>
          <w:sz w:val="24"/>
          <w:lang w:val="pt-BR"/>
        </w:rPr>
        <w:t>Licença Open</w:t>
      </w:r>
      <w:bookmarkEnd w:id="746"/>
      <w:bookmarkEnd w:id="747"/>
      <w:bookmarkEnd w:id="748"/>
    </w:p>
    <w:p w:rsidR="00171817" w:rsidRPr="00734B50" w:rsidRDefault="00171817" w:rsidP="00865A60">
      <w:pPr>
        <w:pStyle w:val="Heading4"/>
        <w:tabs>
          <w:tab w:val="clear" w:pos="720"/>
          <w:tab w:val="num" w:pos="0"/>
        </w:tabs>
        <w:spacing w:before="0"/>
        <w:ind w:left="0" w:firstLine="0"/>
        <w:rPr>
          <w:lang w:val="pt-BR"/>
        </w:rPr>
      </w:pPr>
    </w:p>
    <w:p w:rsidR="00171817" w:rsidRPr="00734B50" w:rsidRDefault="00171817" w:rsidP="005242EC">
      <w:pPr>
        <w:pStyle w:val="StyleHeading22Left138Firstline0"/>
        <w:tabs>
          <w:tab w:val="num" w:pos="0"/>
        </w:tabs>
        <w:ind w:left="0"/>
        <w:jc w:val="left"/>
        <w:rPr>
          <w:lang w:val="pt-BR"/>
        </w:rPr>
      </w:pPr>
      <w:r w:rsidRPr="00734B50">
        <w:rPr>
          <w:rFonts w:ascii="Tahoma" w:hAnsi="Tahoma" w:cs="Tahoma"/>
          <w:sz w:val="18"/>
          <w:lang w:val="pt-BR"/>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w:t>
      </w:r>
    </w:p>
    <w:p w:rsidR="00865A60" w:rsidRPr="00734B50" w:rsidRDefault="00865A60" w:rsidP="005242EC">
      <w:pPr>
        <w:pStyle w:val="AppendIndentSub"/>
        <w:ind w:left="0"/>
        <w:rPr>
          <w:lang w:val="pt-BR"/>
        </w:rPr>
      </w:pPr>
    </w:p>
    <w:p w:rsidR="00171817" w:rsidRPr="00734B50" w:rsidRDefault="00171817" w:rsidP="002171C3">
      <w:pPr>
        <w:pStyle w:val="Heading4"/>
        <w:ind w:left="360"/>
        <w:rPr>
          <w:lang w:val="pt-BR"/>
        </w:rPr>
      </w:pPr>
      <w:bookmarkStart w:id="749" w:name="_Toc336338219"/>
      <w:bookmarkStart w:id="750" w:name="_Toc353470867"/>
      <w:r w:rsidRPr="00734B50">
        <w:rPr>
          <w:rFonts w:ascii="Tahoma" w:hAnsi="Tahoma" w:cs="Tahoma"/>
          <w:sz w:val="24"/>
          <w:lang w:val="pt-BR"/>
        </w:rPr>
        <w:t>Open Value 20xx</w:t>
      </w:r>
      <w:bookmarkEnd w:id="749"/>
      <w:bookmarkEnd w:id="750"/>
    </w:p>
    <w:p w:rsidR="00171817" w:rsidRPr="00734B50" w:rsidRDefault="00171817" w:rsidP="00171817">
      <w:pPr>
        <w:tabs>
          <w:tab w:val="num" w:pos="0"/>
        </w:tabs>
        <w:rPr>
          <w:lang w:val="pt-BR"/>
        </w:rPr>
      </w:pPr>
    </w:p>
    <w:p w:rsidR="00171817" w:rsidRPr="00734B50" w:rsidRDefault="00171817" w:rsidP="005242EC">
      <w:pPr>
        <w:keepNext/>
        <w:tabs>
          <w:tab w:val="num" w:pos="720"/>
        </w:tabs>
        <w:spacing w:after="60"/>
        <w:ind w:left="360" w:hanging="360"/>
        <w:outlineLvl w:val="3"/>
        <w:rPr>
          <w:lang w:val="pt-BR"/>
        </w:rPr>
      </w:pPr>
      <w:r w:rsidRPr="00734B50">
        <w:rPr>
          <w:b/>
          <w:szCs w:val="20"/>
          <w:lang w:val="pt-BR"/>
        </w:rPr>
        <w:t xml:space="preserve">Renovação da Cobertura sob o Mesmo Contrato </w:t>
      </w:r>
    </w:p>
    <w:p w:rsidR="00171817" w:rsidRPr="00734B50" w:rsidRDefault="00171817" w:rsidP="00171817">
      <w:pPr>
        <w:tabs>
          <w:tab w:val="num" w:pos="0"/>
        </w:tabs>
        <w:rPr>
          <w:lang w:val="pt-BR"/>
        </w:rPr>
      </w:pPr>
      <w:r w:rsidRPr="00734B50">
        <w:rPr>
          <w:rFonts w:cs="Tahoma"/>
          <w:szCs w:val="20"/>
          <w:lang w:val="pt-BR"/>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 período de 36 meses subsequentes. Para renovar a cobertura do Software Assurance, os clientes deverão enviar um pedido de renovação do Software Assurance antes do término do prazo anterior.</w:t>
      </w:r>
      <w:r w:rsidR="005A52A2" w:rsidRPr="00734B50">
        <w:rPr>
          <w:rFonts w:cs="Tahoma"/>
          <w:szCs w:val="20"/>
          <w:lang w:val="pt-BR"/>
        </w:rPr>
        <w:t xml:space="preserve"> </w:t>
      </w:r>
      <w:r w:rsidRPr="00734B50">
        <w:rPr>
          <w:rFonts w:cs="Tahoma"/>
          <w:szCs w:val="20"/>
          <w:lang w:val="pt-BR"/>
        </w:rPr>
        <w:t xml:space="preserve">Se um cliente tiver escolhido a 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 </w:t>
      </w:r>
    </w:p>
    <w:p w:rsidR="00171817" w:rsidRPr="00734B50" w:rsidRDefault="00171817" w:rsidP="00171817">
      <w:pPr>
        <w:tabs>
          <w:tab w:val="num" w:pos="0"/>
        </w:tabs>
        <w:rPr>
          <w:lang w:val="pt-BR"/>
        </w:rPr>
      </w:pPr>
    </w:p>
    <w:p w:rsidR="00171817" w:rsidRPr="00734B50" w:rsidRDefault="00171817" w:rsidP="005242EC">
      <w:pPr>
        <w:keepNext/>
        <w:tabs>
          <w:tab w:val="num" w:pos="720"/>
        </w:tabs>
        <w:spacing w:after="60"/>
        <w:ind w:left="360" w:hanging="360"/>
        <w:outlineLvl w:val="3"/>
        <w:rPr>
          <w:lang w:val="pt-BR"/>
        </w:rPr>
      </w:pPr>
      <w:r w:rsidRPr="00734B50">
        <w:rPr>
          <w:b/>
          <w:szCs w:val="20"/>
          <w:lang w:val="pt-BR"/>
        </w:rPr>
        <w:t>Renovação da Cobertura a partir de um Contrato Separado</w:t>
      </w:r>
    </w:p>
    <w:p w:rsidR="00171817" w:rsidRPr="00734B50" w:rsidRDefault="00171817" w:rsidP="00865A60">
      <w:pPr>
        <w:tabs>
          <w:tab w:val="num" w:pos="0"/>
        </w:tabs>
        <w:rPr>
          <w:lang w:val="pt-BR"/>
        </w:rPr>
      </w:pPr>
      <w:r w:rsidRPr="00734B50">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5A52A2" w:rsidRPr="00734B50">
        <w:rPr>
          <w:rFonts w:cs="Tahoma"/>
          <w:szCs w:val="20"/>
          <w:lang w:val="pt-BR"/>
        </w:rPr>
        <w:t xml:space="preserve"> </w:t>
      </w:r>
      <w:r w:rsidRPr="00734B50">
        <w:rPr>
          <w:rFonts w:cs="Tahoma"/>
          <w:szCs w:val="20"/>
          <w:lang w:val="pt-BR"/>
        </w:rPr>
        <w:t>O</w:t>
      </w:r>
      <w:r w:rsidR="00671996" w:rsidRPr="00734B50">
        <w:rPr>
          <w:rFonts w:cs="Tahoma"/>
          <w:szCs w:val="20"/>
          <w:lang w:val="pt-BR"/>
        </w:rPr>
        <w:t> </w:t>
      </w:r>
      <w:r w:rsidRPr="00734B50">
        <w:rPr>
          <w:rFonts w:cs="Tahoma"/>
          <w:szCs w:val="20"/>
          <w:lang w:val="pt-BR"/>
        </w:rPr>
        <w:t>pedido de renovação do Software Assurance deverá ser feito antes do término da cobertura do Software Assurance sob o contrato anterior, a menos que essa cobertura esteja sendo renovada de um Contrato de Licença</w:t>
      </w:r>
      <w:r w:rsidR="00671996" w:rsidRPr="00734B50">
        <w:rPr>
          <w:rFonts w:cs="Tahoma"/>
          <w:szCs w:val="20"/>
          <w:lang w:val="pt-BR"/>
        </w:rPr>
        <w:t> </w:t>
      </w:r>
      <w:r w:rsidRPr="00734B50">
        <w:rPr>
          <w:rFonts w:cs="Tahoma"/>
          <w:szCs w:val="20"/>
          <w:lang w:val="pt-BR"/>
        </w:rPr>
        <w:t xml:space="preserve">Open. Nesse caso, os clientes terão 90 dias a partir da data de término para fazer o pedido. </w:t>
      </w:r>
    </w:p>
    <w:p w:rsidR="00865A60" w:rsidRPr="00734B50" w:rsidRDefault="00865A60" w:rsidP="005242EC">
      <w:pPr>
        <w:tabs>
          <w:tab w:val="num" w:pos="0"/>
        </w:tabs>
        <w:rPr>
          <w:lang w:val="pt-BR"/>
        </w:rPr>
      </w:pPr>
    </w:p>
    <w:p w:rsidR="00171817" w:rsidRPr="00734B50" w:rsidRDefault="00171817" w:rsidP="002171C3">
      <w:pPr>
        <w:pStyle w:val="Heading4"/>
        <w:ind w:left="360"/>
        <w:rPr>
          <w:lang w:val="pt-BR"/>
        </w:rPr>
      </w:pPr>
      <w:bookmarkStart w:id="751" w:name="_Toc323159746"/>
      <w:bookmarkStart w:id="752" w:name="_Toc336338220"/>
      <w:bookmarkStart w:id="753" w:name="_Toc353470868"/>
      <w:r w:rsidRPr="00734B50">
        <w:rPr>
          <w:rFonts w:ascii="Tahoma" w:hAnsi="Tahoma" w:cs="Tahoma"/>
          <w:sz w:val="24"/>
          <w:lang w:val="pt-BR"/>
        </w:rPr>
        <w:t>Select 20xx</w:t>
      </w:r>
      <w:bookmarkEnd w:id="751"/>
      <w:bookmarkEnd w:id="752"/>
      <w:bookmarkEnd w:id="753"/>
    </w:p>
    <w:p w:rsidR="00171817" w:rsidRPr="00734B50" w:rsidRDefault="00171817" w:rsidP="00171817">
      <w:pPr>
        <w:tabs>
          <w:tab w:val="num" w:pos="0"/>
        </w:tabs>
        <w:rPr>
          <w:lang w:val="pt-BR"/>
        </w:rPr>
      </w:pPr>
    </w:p>
    <w:p w:rsidR="00171817" w:rsidRPr="00734B50" w:rsidRDefault="00171817" w:rsidP="005242EC">
      <w:pPr>
        <w:pStyle w:val="Heading4"/>
        <w:spacing w:before="0" w:after="60"/>
        <w:ind w:left="360"/>
        <w:rPr>
          <w:lang w:val="pt-BR"/>
        </w:rPr>
      </w:pPr>
      <w:bookmarkStart w:id="754" w:name="_Toc323159747"/>
      <w:bookmarkStart w:id="755" w:name="_Toc328145990"/>
      <w:bookmarkStart w:id="756" w:name="_Toc336338221"/>
      <w:bookmarkStart w:id="757" w:name="_Toc353470869"/>
      <w:r w:rsidRPr="00734B50">
        <w:rPr>
          <w:rFonts w:ascii="Tahoma" w:hAnsi="Tahoma"/>
          <w:sz w:val="18"/>
          <w:lang w:val="pt-BR"/>
        </w:rPr>
        <w:t>Renovação da Cobertura sob o Mesmo Contrato</w:t>
      </w:r>
      <w:bookmarkEnd w:id="754"/>
      <w:bookmarkEnd w:id="755"/>
      <w:bookmarkEnd w:id="756"/>
      <w:bookmarkEnd w:id="757"/>
      <w:r w:rsidRPr="00734B50">
        <w:rPr>
          <w:rFonts w:ascii="Tahoma" w:hAnsi="Tahoma"/>
          <w:sz w:val="18"/>
          <w:lang w:val="pt-BR"/>
        </w:rPr>
        <w:t xml:space="preserve"> </w:t>
      </w:r>
    </w:p>
    <w:p w:rsidR="00171817" w:rsidRPr="00734B50" w:rsidRDefault="00171817" w:rsidP="00171817">
      <w:pPr>
        <w:pStyle w:val="styleheading22left138firstline00"/>
        <w:tabs>
          <w:tab w:val="num" w:pos="0"/>
        </w:tabs>
        <w:snapToGrid w:val="0"/>
        <w:ind w:left="0"/>
        <w:jc w:val="left"/>
        <w:rPr>
          <w:lang w:val="pt-BR"/>
        </w:rPr>
      </w:pPr>
      <w:r w:rsidRPr="00734B50">
        <w:rPr>
          <w:rFonts w:ascii="Tahoma" w:hAnsi="Tahoma" w:cs="Tahoma"/>
          <w:sz w:val="18"/>
          <w:lang w:val="pt-BR"/>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 de renovação. Os clientes poderão ter a opção de renovar seus contratos por um período de 12 ou 36 meses subsequentes. Para renovar a cobertura do Software Assurance para quaisquer cópias inscritas sob seu registro, um cliente deverá enviar um pedido de renovação à Microsoft por meio de seu revendedor antes do término do prazo anterior. Os pedidos de renovação deverão ser para todo o prazo da renovação.</w:t>
      </w:r>
      <w:r w:rsidR="005A52A2" w:rsidRPr="00734B50">
        <w:rPr>
          <w:rFonts w:ascii="Tahoma" w:hAnsi="Tahoma" w:cs="Tahoma"/>
          <w:sz w:val="18"/>
          <w:lang w:val="pt-BR"/>
        </w:rPr>
        <w:t xml:space="preserve"> </w:t>
      </w:r>
      <w:r w:rsidRPr="00734B50">
        <w:rPr>
          <w:rFonts w:ascii="Tahoma" w:hAnsi="Tahoma" w:cs="Tahoma"/>
          <w:sz w:val="18"/>
          <w:lang w:val="pt-BR"/>
        </w:rPr>
        <w:t xml:space="preserve">Cada prazo de renovação terá início no dia seguinte ao término do prazo anterior. </w:t>
      </w:r>
    </w:p>
    <w:p w:rsidR="00973A93" w:rsidRPr="00734B50" w:rsidRDefault="00973A93">
      <w:pPr>
        <w:rPr>
          <w:lang w:val="pt-BR"/>
        </w:rPr>
      </w:pPr>
      <w:bookmarkStart w:id="758" w:name="_Toc323159748"/>
      <w:bookmarkStart w:id="759" w:name="_Toc336338222"/>
    </w:p>
    <w:p w:rsidR="00671996" w:rsidRPr="00734B50" w:rsidRDefault="00671996">
      <w:pPr>
        <w:rPr>
          <w:lang w:val="pt-BR"/>
        </w:rPr>
      </w:pPr>
    </w:p>
    <w:p w:rsidR="00671996" w:rsidRPr="00734B50" w:rsidRDefault="00671996">
      <w:pPr>
        <w:rPr>
          <w:lang w:val="pt-BR"/>
        </w:rPr>
      </w:pPr>
    </w:p>
    <w:p w:rsidR="00671996" w:rsidRPr="00734B50" w:rsidRDefault="00671996">
      <w:pPr>
        <w:rPr>
          <w:lang w:val="pt-BR"/>
        </w:rPr>
      </w:pPr>
    </w:p>
    <w:p w:rsidR="00171817" w:rsidRPr="00734B50" w:rsidRDefault="00171817" w:rsidP="005242EC">
      <w:pPr>
        <w:pStyle w:val="Heading4"/>
        <w:spacing w:before="0" w:after="60"/>
        <w:ind w:left="360"/>
        <w:rPr>
          <w:lang w:val="pt-BR"/>
        </w:rPr>
      </w:pPr>
      <w:bookmarkStart w:id="760" w:name="_Toc353470870"/>
      <w:r w:rsidRPr="00734B50">
        <w:rPr>
          <w:rFonts w:ascii="Tahoma" w:hAnsi="Tahoma"/>
          <w:sz w:val="18"/>
          <w:lang w:val="pt-BR"/>
        </w:rPr>
        <w:lastRenderedPageBreak/>
        <w:t>Renovação da Cobertura a partir de um Contrato Separado</w:t>
      </w:r>
      <w:bookmarkEnd w:id="758"/>
      <w:bookmarkEnd w:id="759"/>
      <w:bookmarkEnd w:id="760"/>
    </w:p>
    <w:p w:rsidR="00171817" w:rsidRPr="00734B50" w:rsidRDefault="00171817" w:rsidP="0063466C">
      <w:pPr>
        <w:pStyle w:val="styleheading22left138firstline00"/>
        <w:tabs>
          <w:tab w:val="num" w:pos="0"/>
        </w:tabs>
        <w:snapToGrid w:val="0"/>
        <w:ind w:left="0"/>
        <w:jc w:val="left"/>
        <w:rPr>
          <w:lang w:val="pt-BR"/>
        </w:rPr>
      </w:pPr>
      <w:r w:rsidRPr="00734B50">
        <w:rPr>
          <w:rFonts w:ascii="Tahoma" w:hAnsi="Tahoma" w:cs="Tahoma"/>
          <w:sz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 dia</w:t>
      </w:r>
      <w:r w:rsidR="00671996" w:rsidRPr="00734B50">
        <w:rPr>
          <w:rFonts w:ascii="Tahoma" w:hAnsi="Tahoma" w:cs="Tahoma"/>
          <w:sz w:val="18"/>
          <w:lang w:val="pt-BR"/>
        </w:rPr>
        <w:t> </w:t>
      </w:r>
      <w:r w:rsidRPr="00734B50">
        <w:rPr>
          <w:rFonts w:ascii="Tahoma" w:hAnsi="Tahoma" w:cs="Tahoma"/>
          <w:sz w:val="18"/>
          <w:lang w:val="pt-BR"/>
        </w:rPr>
        <w:t>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w:t>
      </w:r>
      <w:r w:rsidR="00671996" w:rsidRPr="00734B50">
        <w:rPr>
          <w:rFonts w:ascii="Tahoma" w:hAnsi="Tahoma" w:cs="Tahoma"/>
          <w:sz w:val="18"/>
          <w:lang w:val="pt-BR"/>
        </w:rPr>
        <w:t> </w:t>
      </w:r>
      <w:r w:rsidRPr="00734B50">
        <w:rPr>
          <w:rFonts w:ascii="Tahoma" w:hAnsi="Tahoma" w:cs="Tahoma"/>
          <w:sz w:val="18"/>
          <w:lang w:val="pt-BR"/>
        </w:rPr>
        <w:t>partir da data de término para fazer o pedido.</w:t>
      </w:r>
    </w:p>
    <w:p w:rsidR="00865A60" w:rsidRPr="00734B50" w:rsidRDefault="00865A60" w:rsidP="0063466C">
      <w:pPr>
        <w:outlineLvl w:val="2"/>
        <w:rPr>
          <w:lang w:val="pt-BR"/>
        </w:rPr>
      </w:pPr>
    </w:p>
    <w:p w:rsidR="00171817" w:rsidRPr="00734B50" w:rsidRDefault="00171817" w:rsidP="002171C3">
      <w:pPr>
        <w:pStyle w:val="Heading4"/>
        <w:ind w:left="360"/>
        <w:rPr>
          <w:lang w:val="pt-BR"/>
        </w:rPr>
      </w:pPr>
      <w:bookmarkStart w:id="761" w:name="_Toc336338223"/>
      <w:bookmarkStart w:id="762" w:name="_Toc353470871"/>
      <w:r w:rsidRPr="00734B50">
        <w:rPr>
          <w:rFonts w:ascii="Tahoma" w:hAnsi="Tahoma" w:cs="Tahoma"/>
          <w:sz w:val="24"/>
          <w:lang w:val="pt-BR"/>
        </w:rPr>
        <w:t>Select Plus 20xx</w:t>
      </w:r>
      <w:bookmarkEnd w:id="761"/>
      <w:bookmarkEnd w:id="762"/>
    </w:p>
    <w:p w:rsidR="00171817" w:rsidRPr="00734B50" w:rsidRDefault="00171817" w:rsidP="00171817">
      <w:pPr>
        <w:rPr>
          <w:lang w:val="pt-BR"/>
        </w:rPr>
      </w:pPr>
    </w:p>
    <w:p w:rsidR="00171817" w:rsidRPr="00734B50" w:rsidRDefault="00171817" w:rsidP="0063466C">
      <w:pPr>
        <w:spacing w:after="60"/>
        <w:rPr>
          <w:lang w:val="pt-BR"/>
        </w:rPr>
      </w:pPr>
      <w:r w:rsidRPr="00734B50">
        <w:rPr>
          <w:b/>
          <w:bCs/>
          <w:lang w:val="pt-BR"/>
        </w:rPr>
        <w:t xml:space="preserve">Renovação da Cobertura sob o Mesmo Contrato </w:t>
      </w:r>
    </w:p>
    <w:p w:rsidR="00171817" w:rsidRPr="00734B50" w:rsidRDefault="00171817" w:rsidP="00171817">
      <w:pPr>
        <w:rPr>
          <w:lang w:val="pt-BR"/>
        </w:rPr>
      </w:pPr>
      <w:r w:rsidRPr="00734B50">
        <w:rPr>
          <w:iCs/>
          <w:lang w:val="pt-BR"/>
        </w:rPr>
        <w:t>Vigente a partir de 1</w:t>
      </w:r>
      <w:r w:rsidRPr="00734B50">
        <w:rPr>
          <w:iCs/>
          <w:vertAlign w:val="superscript"/>
          <w:lang w:val="pt-BR"/>
        </w:rPr>
        <w:t>o</w:t>
      </w:r>
      <w:r w:rsidRPr="00734B50">
        <w:rPr>
          <w:iCs/>
          <w:lang w:val="pt-BR"/>
        </w:rPr>
        <w:t xml:space="preserve"> de março de 2011, a cobertura inicial</w:t>
      </w:r>
      <w:r w:rsidRPr="00734B50">
        <w:rPr>
          <w:i/>
          <w:iCs/>
          <w:lang w:val="pt-BR"/>
        </w:rPr>
        <w:t xml:space="preserve"> </w:t>
      </w:r>
      <w:r w:rsidRPr="00734B50">
        <w:rPr>
          <w:lang w:val="pt-BR"/>
        </w:rPr>
        <w:t>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5A52A2" w:rsidRPr="00734B50">
        <w:rPr>
          <w:lang w:val="pt-BR"/>
        </w:rPr>
        <w:t xml:space="preserve"> </w:t>
      </w:r>
      <w:r w:rsidRPr="00734B50">
        <w:rPr>
          <w:lang w:val="pt-BR"/>
        </w:rPr>
        <w:t xml:space="preserve">Cada prazo de renovação terá início no dia seguinte ao término do prazo anterior. </w:t>
      </w:r>
    </w:p>
    <w:p w:rsidR="00171817" w:rsidRPr="00734B50" w:rsidRDefault="00171817" w:rsidP="00171817">
      <w:pPr>
        <w:rPr>
          <w:lang w:val="pt-BR"/>
        </w:rPr>
      </w:pPr>
    </w:p>
    <w:p w:rsidR="00171817" w:rsidRPr="00734B50" w:rsidRDefault="00171817" w:rsidP="0063466C">
      <w:pPr>
        <w:spacing w:after="60"/>
        <w:rPr>
          <w:lang w:val="pt-BR"/>
        </w:rPr>
      </w:pPr>
      <w:r w:rsidRPr="00734B50">
        <w:rPr>
          <w:b/>
          <w:bCs/>
          <w:lang w:val="pt-BR"/>
        </w:rPr>
        <w:t>Renovação da Cobertura a partir de um Contrato Separado</w:t>
      </w:r>
    </w:p>
    <w:p w:rsidR="00171817" w:rsidRPr="00734B50" w:rsidRDefault="00171817" w:rsidP="0063466C">
      <w:pPr>
        <w:rPr>
          <w:lang w:val="pt-BR"/>
        </w:rPr>
      </w:pPr>
      <w:r w:rsidRPr="00734B50">
        <w:rPr>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w:t>
      </w:r>
      <w:r w:rsidR="00671996" w:rsidRPr="00734B50">
        <w:rPr>
          <w:lang w:val="pt-BR"/>
        </w:rPr>
        <w:t> </w:t>
      </w:r>
      <w:r w:rsidRPr="00734B50">
        <w:rPr>
          <w:lang w:val="pt-BR"/>
        </w:rPr>
        <w:t>do término da cobertura sob o contrato anterior, a menos que a cobertura esteja sendo transferida de um Contrato de Licença Open. Nesse caso, os clientes terão 90 dias a partir da data de término para fazer o pedido.</w:t>
      </w:r>
    </w:p>
    <w:p w:rsidR="00865A60" w:rsidRPr="00734B50" w:rsidRDefault="00865A60" w:rsidP="00865A60">
      <w:pPr>
        <w:tabs>
          <w:tab w:val="num" w:pos="0"/>
        </w:tabs>
        <w:rPr>
          <w:lang w:val="pt-BR"/>
        </w:rPr>
      </w:pPr>
    </w:p>
    <w:p w:rsidR="00171817" w:rsidRPr="00734B50" w:rsidRDefault="00171817" w:rsidP="002171C3">
      <w:pPr>
        <w:pStyle w:val="Heading4"/>
        <w:ind w:hanging="720"/>
        <w:rPr>
          <w:lang w:val="pt-BR"/>
        </w:rPr>
      </w:pPr>
      <w:bookmarkStart w:id="763" w:name="_Toc336338224"/>
      <w:bookmarkStart w:id="764" w:name="_Toc353470872"/>
      <w:r w:rsidRPr="00734B50">
        <w:rPr>
          <w:rFonts w:ascii="Tahoma" w:hAnsi="Tahoma" w:cs="Tahoma"/>
          <w:sz w:val="24"/>
          <w:szCs w:val="22"/>
          <w:lang w:val="pt-BR"/>
        </w:rPr>
        <w:t>Contrato Enterprise 2011 ou versões posteriores</w:t>
      </w:r>
      <w:bookmarkEnd w:id="763"/>
      <w:bookmarkEnd w:id="764"/>
    </w:p>
    <w:p w:rsidR="00171817" w:rsidRPr="00734B50" w:rsidRDefault="00171817" w:rsidP="00865A60">
      <w:pPr>
        <w:outlineLvl w:val="2"/>
        <w:rPr>
          <w:lang w:val="pt-BR"/>
        </w:rPr>
      </w:pPr>
    </w:p>
    <w:p w:rsidR="00171817" w:rsidRPr="00734B50" w:rsidRDefault="00171817" w:rsidP="0063466C">
      <w:pPr>
        <w:keepNext/>
        <w:tabs>
          <w:tab w:val="num" w:pos="720"/>
        </w:tabs>
        <w:spacing w:after="60"/>
        <w:ind w:left="360" w:hanging="360"/>
        <w:outlineLvl w:val="3"/>
        <w:rPr>
          <w:lang w:val="pt-BR"/>
        </w:rPr>
      </w:pPr>
      <w:r w:rsidRPr="00734B50">
        <w:rPr>
          <w:b/>
          <w:szCs w:val="20"/>
          <w:lang w:val="pt-BR"/>
        </w:rPr>
        <w:t>Renovação da Cobertura sob o Mesmo Contrato</w:t>
      </w:r>
    </w:p>
    <w:p w:rsidR="00171817" w:rsidRPr="00734B50" w:rsidRDefault="00171817" w:rsidP="00171817">
      <w:pPr>
        <w:tabs>
          <w:tab w:val="num" w:pos="0"/>
        </w:tabs>
        <w:rPr>
          <w:lang w:val="pt-BR"/>
        </w:rPr>
      </w:pPr>
      <w:r w:rsidRPr="00734B50">
        <w:rPr>
          <w:rFonts w:cs="Tahoma"/>
          <w:szCs w:val="20"/>
          <w:lang w:val="pt-BR"/>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5A52A2" w:rsidRPr="00734B50">
        <w:rPr>
          <w:rFonts w:cs="Tahoma"/>
          <w:szCs w:val="20"/>
          <w:lang w:val="pt-BR"/>
        </w:rPr>
        <w:t xml:space="preserve"> </w:t>
      </w:r>
      <w:r w:rsidRPr="00734B50">
        <w:rPr>
          <w:rFonts w:cs="Tahoma"/>
          <w:szCs w:val="20"/>
          <w:lang w:val="pt-BR"/>
        </w:rPr>
        <w:t>Esse pedido deverá ser enviado antes do término do prazo anterior. O prazo de renovação terá início no dia seguinte ao término do prazo anterior. Para obter informações sobre como renovar a cobertura do Software Assurance sob um registro subsequente, veja</w:t>
      </w:r>
      <w:r w:rsidR="00323AAF" w:rsidRPr="00734B50">
        <w:rPr>
          <w:rFonts w:cs="Tahoma"/>
          <w:szCs w:val="20"/>
          <w:lang w:val="pt-BR"/>
        </w:rPr>
        <w:t> </w:t>
      </w:r>
      <w:r w:rsidRPr="00734B50">
        <w:rPr>
          <w:rFonts w:cs="Tahoma"/>
          <w:szCs w:val="20"/>
          <w:lang w:val="pt-BR"/>
        </w:rPr>
        <w:t>abaixo.</w:t>
      </w:r>
    </w:p>
    <w:p w:rsidR="00171817" w:rsidRPr="00734B50" w:rsidRDefault="00171817" w:rsidP="00171817">
      <w:pPr>
        <w:tabs>
          <w:tab w:val="num" w:pos="0"/>
        </w:tabs>
        <w:rPr>
          <w:lang w:val="pt-BR"/>
        </w:rPr>
      </w:pPr>
    </w:p>
    <w:p w:rsidR="00171817" w:rsidRPr="00734B50" w:rsidRDefault="00171817" w:rsidP="0063466C">
      <w:pPr>
        <w:keepNext/>
        <w:tabs>
          <w:tab w:val="num" w:pos="720"/>
        </w:tabs>
        <w:spacing w:after="60"/>
        <w:ind w:left="360" w:hanging="360"/>
        <w:outlineLvl w:val="3"/>
        <w:rPr>
          <w:lang w:val="pt-BR"/>
        </w:rPr>
      </w:pPr>
      <w:r w:rsidRPr="00734B50">
        <w:rPr>
          <w:b/>
          <w:szCs w:val="20"/>
          <w:lang w:val="pt-BR"/>
        </w:rPr>
        <w:t>Renovação da Cobertura a partir de um Contrato Separado</w:t>
      </w:r>
    </w:p>
    <w:p w:rsidR="00171817" w:rsidRPr="00734B50" w:rsidRDefault="00171817" w:rsidP="00171817">
      <w:pPr>
        <w:tabs>
          <w:tab w:val="num" w:pos="0"/>
        </w:tabs>
        <w:rPr>
          <w:lang w:val="pt-BR"/>
        </w:rPr>
      </w:pPr>
      <w:r w:rsidRPr="00734B50">
        <w:rPr>
          <w:rFonts w:cs="Tahoma"/>
          <w:color w:val="000000"/>
          <w:szCs w:val="2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5A52A2" w:rsidRPr="00734B50">
        <w:rPr>
          <w:rFonts w:cs="Tahoma"/>
          <w:color w:val="000000"/>
          <w:szCs w:val="20"/>
          <w:lang w:val="pt-BR"/>
        </w:rPr>
        <w:t xml:space="preserve"> </w:t>
      </w:r>
      <w:r w:rsidRPr="00734B50">
        <w:rPr>
          <w:rFonts w:cs="Tahoma"/>
          <w:color w:val="000000"/>
          <w:szCs w:val="20"/>
          <w:lang w:val="pt-BR"/>
        </w:rPr>
        <w:t>Para Produtos Adicionais, para</w:t>
      </w:r>
      <w:r w:rsidRPr="00734B50">
        <w:rPr>
          <w:rFonts w:cs="Tahoma"/>
          <w:color w:val="000000"/>
          <w:szCs w:val="24"/>
          <w:lang w:val="pt-BR"/>
        </w:rPr>
        <w:t xml:space="preserve"> a cobertura que estiver sendo transferida de um Contrato Open License, o cliente tem 90 dias a partir do término para fazer o pedido.</w:t>
      </w:r>
      <w:r w:rsidR="005A52A2" w:rsidRPr="00734B50">
        <w:rPr>
          <w:rFonts w:cs="Tahoma"/>
          <w:color w:val="000000"/>
          <w:szCs w:val="24"/>
          <w:lang w:val="pt-BR"/>
        </w:rPr>
        <w:t xml:space="preserve"> </w:t>
      </w:r>
    </w:p>
    <w:p w:rsidR="00171817" w:rsidRPr="00734B50" w:rsidRDefault="00171817" w:rsidP="00171817">
      <w:pPr>
        <w:tabs>
          <w:tab w:val="num" w:pos="0"/>
        </w:tabs>
        <w:rPr>
          <w:lang w:val="pt-BR"/>
        </w:rPr>
      </w:pPr>
    </w:p>
    <w:p w:rsidR="00171817" w:rsidRPr="00734B50" w:rsidRDefault="00171817" w:rsidP="0063466C">
      <w:pPr>
        <w:keepNext/>
        <w:tabs>
          <w:tab w:val="num" w:pos="720"/>
        </w:tabs>
        <w:spacing w:after="60"/>
        <w:ind w:left="360" w:hanging="360"/>
        <w:outlineLvl w:val="3"/>
        <w:rPr>
          <w:lang w:val="pt-BR"/>
        </w:rPr>
      </w:pPr>
      <w:r w:rsidRPr="00734B50">
        <w:rPr>
          <w:b/>
          <w:szCs w:val="20"/>
          <w:lang w:val="pt-BR"/>
        </w:rPr>
        <w:t xml:space="preserve">Enrollment for Application Platform </w:t>
      </w:r>
    </w:p>
    <w:p w:rsidR="00171817" w:rsidRPr="00734B50" w:rsidRDefault="00171817" w:rsidP="00171817">
      <w:pPr>
        <w:tabs>
          <w:tab w:val="num" w:pos="0"/>
        </w:tabs>
        <w:rPr>
          <w:lang w:val="pt-BR"/>
        </w:rPr>
      </w:pPr>
      <w:r w:rsidRPr="00734B50">
        <w:rPr>
          <w:rFonts w:cs="Tahoma"/>
          <w:szCs w:val="20"/>
          <w:lang w:val="pt-BR"/>
        </w:rPr>
        <w:t>Os clientes poderão solicitar o Software Assurance para os produtos disponíveis sem precisar solicitar uma Licença simultaneamente conforme disposto nos termos e condições do registro.</w:t>
      </w:r>
    </w:p>
    <w:p w:rsidR="00BD1A6A" w:rsidRPr="00734B50" w:rsidRDefault="00BD1A6A" w:rsidP="00865A60">
      <w:pPr>
        <w:rPr>
          <w:lang w:val="pt-BR"/>
        </w:rPr>
      </w:pPr>
      <w:bookmarkStart w:id="765" w:name="_Toc336338225"/>
    </w:p>
    <w:p w:rsidR="00171817" w:rsidRPr="00734B50" w:rsidRDefault="00171817" w:rsidP="00951852">
      <w:pPr>
        <w:pStyle w:val="Heading4"/>
        <w:ind w:left="360"/>
        <w:rPr>
          <w:lang w:val="pt-BR"/>
        </w:rPr>
      </w:pPr>
      <w:bookmarkStart w:id="766" w:name="_Toc353470873"/>
      <w:r w:rsidRPr="00734B50">
        <w:rPr>
          <w:rFonts w:ascii="Tahoma" w:hAnsi="Tahoma" w:cs="Tahoma"/>
          <w:sz w:val="24"/>
          <w:lang w:val="pt-BR"/>
        </w:rPr>
        <w:lastRenderedPageBreak/>
        <w:t>Contrato Enterprise Pré-2011</w:t>
      </w:r>
      <w:bookmarkEnd w:id="765"/>
      <w:bookmarkEnd w:id="766"/>
    </w:p>
    <w:p w:rsidR="00171817" w:rsidRPr="00734B50" w:rsidRDefault="00171817" w:rsidP="00171817">
      <w:pPr>
        <w:tabs>
          <w:tab w:val="num" w:pos="0"/>
        </w:tabs>
        <w:rPr>
          <w:lang w:val="pt-BR"/>
        </w:rPr>
      </w:pPr>
    </w:p>
    <w:p w:rsidR="00171817" w:rsidRPr="00734B50" w:rsidRDefault="00171817" w:rsidP="00171817">
      <w:pPr>
        <w:tabs>
          <w:tab w:val="num" w:pos="0"/>
        </w:tabs>
        <w:rPr>
          <w:lang w:val="pt-BR"/>
        </w:rPr>
      </w:pPr>
      <w:r w:rsidRPr="00734B50">
        <w:rPr>
          <w:rFonts w:cs="Tahoma"/>
          <w:szCs w:val="20"/>
          <w:lang w:val="pt-BR"/>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w:t>
      </w:r>
      <w:r w:rsidR="005A52A2" w:rsidRPr="00734B50">
        <w:rPr>
          <w:rFonts w:cs="Tahoma"/>
          <w:szCs w:val="20"/>
          <w:lang w:val="pt-BR"/>
        </w:rPr>
        <w:t xml:space="preserve"> </w:t>
      </w:r>
      <w:r w:rsidRPr="00734B50">
        <w:rPr>
          <w:rFonts w:cs="Tahoma"/>
          <w:szCs w:val="20"/>
          <w:lang w:val="pt-BR"/>
        </w:rPr>
        <w:t xml:space="preserve">Para renovar, os clientes deverão assinar um novo Registro Enterprise 2011 ou posterior e Contrato. O prazo de renovação terá início no dia seguinte ao término do prazo anterior. </w:t>
      </w:r>
    </w:p>
    <w:p w:rsidR="00171817" w:rsidRPr="00734B50" w:rsidRDefault="00171817" w:rsidP="00171817">
      <w:pPr>
        <w:tabs>
          <w:tab w:val="num" w:pos="0"/>
        </w:tabs>
        <w:rPr>
          <w:lang w:val="pt-BR"/>
        </w:rPr>
      </w:pPr>
    </w:p>
    <w:p w:rsidR="003E606C" w:rsidRPr="00734B50" w:rsidRDefault="00171817" w:rsidP="0063466C">
      <w:pPr>
        <w:tabs>
          <w:tab w:val="num" w:pos="0"/>
        </w:tabs>
        <w:spacing w:after="60"/>
        <w:rPr>
          <w:lang w:val="pt-BR"/>
        </w:rPr>
      </w:pPr>
      <w:r w:rsidRPr="00734B50">
        <w:rPr>
          <w:rFonts w:cs="Tahoma"/>
          <w:b/>
          <w:szCs w:val="20"/>
          <w:lang w:val="pt-BR"/>
        </w:rPr>
        <w:t>Enrollment for Application Platform</w:t>
      </w:r>
    </w:p>
    <w:p w:rsidR="00171817" w:rsidRPr="00734B50" w:rsidRDefault="00171817" w:rsidP="0063466C">
      <w:pPr>
        <w:tabs>
          <w:tab w:val="num" w:pos="0"/>
        </w:tabs>
        <w:rPr>
          <w:lang w:val="pt-BR"/>
        </w:rPr>
      </w:pPr>
      <w:r w:rsidRPr="00734B50">
        <w:rPr>
          <w:rFonts w:cs="Tahoma"/>
          <w:szCs w:val="20"/>
          <w:lang w:val="pt-BR"/>
        </w:rPr>
        <w:t>Os clientes poderão solicitar o Software Assurance para os produtos disponíveis sem precisar solicitar uma Licença simultaneamente conforme disposto nos termos e condições do registro.</w:t>
      </w:r>
    </w:p>
    <w:p w:rsidR="00865A60" w:rsidRPr="00734B50" w:rsidRDefault="00865A60" w:rsidP="00865A60">
      <w:pPr>
        <w:rPr>
          <w:lang w:val="pt-BR"/>
        </w:rPr>
      </w:pPr>
    </w:p>
    <w:p w:rsidR="00171817" w:rsidRPr="00734B50" w:rsidRDefault="00171817" w:rsidP="00951852">
      <w:pPr>
        <w:pStyle w:val="Heading4"/>
        <w:ind w:left="360"/>
        <w:rPr>
          <w:lang w:val="pt-BR"/>
        </w:rPr>
      </w:pPr>
      <w:bookmarkStart w:id="767" w:name="_Toc323159750"/>
      <w:bookmarkStart w:id="768" w:name="_Toc336338226"/>
      <w:bookmarkStart w:id="769" w:name="_Toc353470874"/>
      <w:r w:rsidRPr="00734B50">
        <w:rPr>
          <w:rFonts w:ascii="Tahoma" w:hAnsi="Tahoma" w:cs="Tahoma"/>
          <w:sz w:val="24"/>
          <w:lang w:val="pt-BR"/>
        </w:rPr>
        <w:t>Renovação entre programas</w:t>
      </w:r>
      <w:bookmarkEnd w:id="767"/>
      <w:bookmarkEnd w:id="768"/>
      <w:bookmarkEnd w:id="769"/>
    </w:p>
    <w:p w:rsidR="00171817" w:rsidRPr="00734B50" w:rsidRDefault="00171817" w:rsidP="00171817">
      <w:pPr>
        <w:tabs>
          <w:tab w:val="num" w:pos="0"/>
        </w:tabs>
        <w:rPr>
          <w:lang w:val="pt-BR"/>
        </w:rPr>
      </w:pPr>
    </w:p>
    <w:p w:rsidR="00171817" w:rsidRPr="00734B50" w:rsidRDefault="00171817" w:rsidP="00171817">
      <w:pPr>
        <w:pStyle w:val="AppendIndentSub"/>
        <w:tabs>
          <w:tab w:val="num" w:pos="0"/>
        </w:tabs>
        <w:ind w:left="0"/>
        <w:rPr>
          <w:lang w:val="pt-BR"/>
        </w:rPr>
      </w:pPr>
      <w:r w:rsidRPr="00734B50">
        <w:rPr>
          <w:rFonts w:ascii="Tahoma" w:hAnsi="Tahoma" w:cs="Tahoma"/>
          <w:sz w:val="18"/>
          <w:lang w:val="pt-BR"/>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rsidR="00171817" w:rsidRPr="00734B50" w:rsidRDefault="00171817" w:rsidP="00171817">
      <w:pPr>
        <w:pStyle w:val="AppendIndentSub"/>
        <w:tabs>
          <w:tab w:val="num" w:pos="0"/>
        </w:tabs>
        <w:ind w:left="0"/>
        <w:rPr>
          <w:lang w:val="pt-BR"/>
        </w:rPr>
      </w:pPr>
    </w:p>
    <w:p w:rsidR="00171817" w:rsidRPr="00734B50" w:rsidRDefault="00171817" w:rsidP="00171817">
      <w:pPr>
        <w:pStyle w:val="AppendIndentSub"/>
        <w:tabs>
          <w:tab w:val="num" w:pos="0"/>
        </w:tabs>
        <w:ind w:left="0"/>
        <w:rPr>
          <w:lang w:val="pt-BR"/>
        </w:rPr>
      </w:pPr>
      <w:r w:rsidRPr="00734B50">
        <w:rPr>
          <w:rFonts w:ascii="Tahoma" w:hAnsi="Tahoma" w:cs="Tahoma"/>
          <w:sz w:val="18"/>
          <w:lang w:val="pt-BR"/>
        </w:rPr>
        <w:t>Os clientes que estiverem renovando a partir do Programa de Licença Open terão 90 dias a partir da data de término da cobertura anterior para fazer esse pedido. Para os Contratos de versões de 2008 e anteriores, esse pedido deverá ser feito dentro de 30 dias da data de término da cobertura anterior (90 dias se a renovação for a partir do Programa de Licença Open).</w:t>
      </w:r>
    </w:p>
    <w:p w:rsidR="00171817" w:rsidRPr="00734B50" w:rsidRDefault="00171817" w:rsidP="00171817">
      <w:pPr>
        <w:pStyle w:val="AppendIndentSub"/>
        <w:tabs>
          <w:tab w:val="num" w:pos="0"/>
        </w:tabs>
        <w:ind w:left="0"/>
        <w:rPr>
          <w:lang w:val="pt-BR"/>
        </w:rPr>
      </w:pPr>
    </w:p>
    <w:p w:rsidR="00171817" w:rsidRPr="00734B50" w:rsidRDefault="00171817" w:rsidP="00171817">
      <w:pPr>
        <w:pStyle w:val="AppendIndentSub"/>
        <w:tabs>
          <w:tab w:val="num" w:pos="0"/>
        </w:tabs>
        <w:ind w:left="0"/>
        <w:rPr>
          <w:lang w:val="pt-BR"/>
        </w:rPr>
      </w:pPr>
      <w:r w:rsidRPr="00734B50">
        <w:rPr>
          <w:rFonts w:ascii="Tahoma" w:hAnsi="Tahoma" w:cs="Tahoma"/>
          <w:sz w:val="18"/>
          <w:szCs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5A52A2" w:rsidRPr="00734B50">
        <w:rPr>
          <w:rFonts w:ascii="Tahoma" w:hAnsi="Tahoma" w:cs="Tahoma"/>
          <w:sz w:val="18"/>
          <w:szCs w:val="18"/>
          <w:lang w:val="pt-BR"/>
        </w:rPr>
        <w:t xml:space="preserve"> </w:t>
      </w:r>
      <w:r w:rsidRPr="00734B50">
        <w:rPr>
          <w:rFonts w:ascii="Tahoma" w:hAnsi="Tahoma" w:cs="Tahoma"/>
          <w:sz w:val="18"/>
          <w:szCs w:val="18"/>
          <w:lang w:val="pt-BR"/>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5A52A2" w:rsidRPr="00734B50">
        <w:rPr>
          <w:rFonts w:ascii="Tahoma" w:hAnsi="Tahoma" w:cs="Tahoma"/>
          <w:sz w:val="18"/>
          <w:szCs w:val="18"/>
          <w:lang w:val="pt-BR"/>
        </w:rPr>
        <w:t xml:space="preserve"> </w:t>
      </w:r>
      <w:r w:rsidRPr="00734B50">
        <w:rPr>
          <w:rFonts w:ascii="Tahoma" w:hAnsi="Tahoma" w:cs="Tahoma"/>
          <w:sz w:val="18"/>
          <w:szCs w:val="18"/>
          <w:lang w:val="pt-BR"/>
        </w:rPr>
        <w:t>Para os Contratos de versões de 2008 e anteriores, contanto que a cobertura seja renovada dentro de 30 dias (90 dias se a</w:t>
      </w:r>
      <w:r w:rsidR="005B4C27" w:rsidRPr="00734B50">
        <w:rPr>
          <w:rFonts w:ascii="Tahoma" w:hAnsi="Tahoma" w:cs="Tahoma"/>
          <w:sz w:val="18"/>
          <w:szCs w:val="18"/>
          <w:lang w:val="pt-BR"/>
        </w:rPr>
        <w:t> </w:t>
      </w:r>
      <w:r w:rsidRPr="00734B50">
        <w:rPr>
          <w:rFonts w:ascii="Tahoma" w:hAnsi="Tahoma" w:cs="Tahoma"/>
          <w:sz w:val="18"/>
          <w:szCs w:val="18"/>
          <w:lang w:val="pt-BR"/>
        </w:rPr>
        <w:t>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w:t>
      </w:r>
      <w:r w:rsidR="005B4C27" w:rsidRPr="00734B50">
        <w:rPr>
          <w:rFonts w:ascii="Tahoma" w:hAnsi="Tahoma" w:cs="Tahoma"/>
          <w:sz w:val="18"/>
          <w:szCs w:val="18"/>
          <w:lang w:val="pt-BR"/>
        </w:rPr>
        <w:t> </w:t>
      </w:r>
      <w:r w:rsidRPr="00734B50">
        <w:rPr>
          <w:rFonts w:ascii="Tahoma" w:hAnsi="Tahoma" w:cs="Tahoma"/>
          <w:sz w:val="18"/>
          <w:szCs w:val="18"/>
          <w:lang w:val="pt-BR"/>
        </w:rPr>
        <w:t xml:space="preserve">cobertura seja renovada. </w:t>
      </w:r>
    </w:p>
    <w:p w:rsidR="00023FE7" w:rsidRPr="00734B50" w:rsidRDefault="00023FE7">
      <w:pPr>
        <w:pStyle w:val="AppendixIndent"/>
        <w:tabs>
          <w:tab w:val="num" w:pos="0"/>
        </w:tabs>
        <w:ind w:left="0"/>
        <w:rPr>
          <w:lang w:val="pt-BR"/>
        </w:rPr>
      </w:pPr>
    </w:p>
    <w:p w:rsidR="00023FE7" w:rsidRPr="00734B50" w:rsidRDefault="00023FE7">
      <w:pPr>
        <w:rPr>
          <w:lang w:val="pt-BR"/>
        </w:rPr>
      </w:pPr>
      <w:r w:rsidRPr="00734B50">
        <w:rPr>
          <w:rFonts w:cs="Tahoma"/>
          <w:lang w:val="pt-BR"/>
        </w:rPr>
        <w:br w:type="page"/>
      </w:r>
    </w:p>
    <w:p w:rsidR="00EA1A1E" w:rsidRPr="00653421" w:rsidRDefault="00EA1A1E" w:rsidP="0095190D">
      <w:pPr>
        <w:pStyle w:val="Heading1"/>
        <w:rPr>
          <w:sz w:val="36"/>
          <w:szCs w:val="36"/>
          <w:lang w:val="x-none" w:eastAsia="x-none"/>
        </w:rPr>
      </w:pPr>
      <w:bookmarkStart w:id="770" w:name="_Toc336338227"/>
      <w:bookmarkStart w:id="771" w:name="_Toc353470875"/>
      <w:r w:rsidRPr="00653421">
        <w:rPr>
          <w:sz w:val="36"/>
          <w:szCs w:val="36"/>
          <w:lang w:val="x-none" w:eastAsia="x-none"/>
        </w:rPr>
        <w:lastRenderedPageBreak/>
        <w:t>SEÇÃO 7 – BENEFÍCIOS DO software assurance (SA) e Benefícios dos Serviços</w:t>
      </w:r>
      <w:r w:rsidR="005B4C27" w:rsidRPr="00653421">
        <w:rPr>
          <w:sz w:val="36"/>
          <w:szCs w:val="36"/>
          <w:lang w:val="x-none" w:eastAsia="x-none"/>
        </w:rPr>
        <w:t> </w:t>
      </w:r>
      <w:r w:rsidRPr="00653421">
        <w:rPr>
          <w:sz w:val="36"/>
          <w:szCs w:val="36"/>
          <w:lang w:val="x-none" w:eastAsia="x-none"/>
        </w:rPr>
        <w:t>Online (OLS)</w:t>
      </w:r>
      <w:bookmarkEnd w:id="770"/>
      <w:bookmarkEnd w:id="771"/>
    </w:p>
    <w:p w:rsidR="00EA1A1E" w:rsidRPr="00734B50" w:rsidRDefault="00EA1A1E" w:rsidP="00EA1A1E">
      <w:pPr>
        <w:rPr>
          <w:lang w:val="pt-BR"/>
        </w:rPr>
      </w:pPr>
    </w:p>
    <w:p w:rsidR="00E7419A" w:rsidRPr="00734B50" w:rsidRDefault="00E7419A" w:rsidP="00E7419A">
      <w:pPr>
        <w:spacing w:after="60"/>
        <w:rPr>
          <w:lang w:val="pt-BR"/>
        </w:rPr>
      </w:pPr>
      <w:r w:rsidRPr="00734B50">
        <w:rPr>
          <w:rFonts w:cs="Tahoma"/>
          <w:szCs w:val="20"/>
          <w:lang w:val="pt-BR"/>
        </w:rPr>
        <w:t>Os benefícios do Software Assurance e os benefícios dos Serviços Online são descritos nesta seção.</w:t>
      </w:r>
      <w:r w:rsidR="005A52A2" w:rsidRPr="00734B50">
        <w:rPr>
          <w:rFonts w:cs="Tahoma"/>
          <w:szCs w:val="20"/>
          <w:lang w:val="pt-BR"/>
        </w:rPr>
        <w:t xml:space="preserve"> </w:t>
      </w:r>
    </w:p>
    <w:p w:rsidR="00EA1A1E" w:rsidRPr="00734B50" w:rsidRDefault="00EA1A1E" w:rsidP="00BA0707">
      <w:pPr>
        <w:rPr>
          <w:lang w:val="pt-BR"/>
        </w:rPr>
      </w:pPr>
    </w:p>
    <w:p w:rsidR="003E606C" w:rsidRPr="00734B50" w:rsidRDefault="003E606C" w:rsidP="0063466C">
      <w:pPr>
        <w:spacing w:after="60"/>
        <w:rPr>
          <w:lang w:val="pt-BR"/>
        </w:rPr>
      </w:pPr>
      <w:r w:rsidRPr="00734B50">
        <w:rPr>
          <w:rFonts w:cs="Tahoma"/>
          <w:b/>
          <w:szCs w:val="20"/>
          <w:lang w:val="pt-BR"/>
        </w:rPr>
        <w:t>Benefícios do Software Assurance</w:t>
      </w:r>
    </w:p>
    <w:p w:rsidR="00E7419A" w:rsidRPr="00734B50" w:rsidRDefault="00E7419A" w:rsidP="0063466C">
      <w:pPr>
        <w:rPr>
          <w:lang w:val="pt-BR"/>
        </w:rPr>
      </w:pPr>
      <w:r w:rsidRPr="00734B50">
        <w:rPr>
          <w:rFonts w:cs="Tahoma"/>
          <w:szCs w:val="20"/>
          <w:lang w:val="pt-BR"/>
        </w:rPr>
        <w:t>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w:t>
      </w:r>
      <w:r w:rsidR="005A52A2" w:rsidRPr="00734B50">
        <w:rPr>
          <w:rFonts w:cs="Tahoma"/>
          <w:szCs w:val="20"/>
          <w:lang w:val="pt-BR"/>
        </w:rPr>
        <w:t xml:space="preserve"> </w:t>
      </w:r>
      <w:r w:rsidRPr="00734B50">
        <w:rPr>
          <w:rFonts w:cs="Tahoma"/>
          <w:szCs w:val="20"/>
          <w:lang w:val="pt-BR"/>
        </w:rPr>
        <w:t>Quaisquer alterações que ocorrerem durante o período de cobertura (por exemplo, compras adicionais, devoluções ou transições de serviços online) poderão resultar em uma alteração na qualificação ao benefício.</w:t>
      </w:r>
    </w:p>
    <w:p w:rsidR="00BA0707" w:rsidRPr="00734B50" w:rsidRDefault="00BA0707" w:rsidP="00BA0707">
      <w:pPr>
        <w:rPr>
          <w:lang w:val="pt-BR"/>
        </w:rPr>
      </w:pPr>
    </w:p>
    <w:p w:rsidR="0063466C" w:rsidRPr="00734B50" w:rsidRDefault="0063466C" w:rsidP="0063466C">
      <w:pPr>
        <w:spacing w:after="60"/>
        <w:rPr>
          <w:lang w:val="pt-BR"/>
        </w:rPr>
      </w:pPr>
      <w:r w:rsidRPr="00734B50">
        <w:rPr>
          <w:rFonts w:cs="Tahoma"/>
          <w:b/>
          <w:szCs w:val="20"/>
          <w:lang w:val="pt-BR"/>
        </w:rPr>
        <w:t>Benefícios dos Serviços Online</w:t>
      </w:r>
    </w:p>
    <w:p w:rsidR="00E7419A" w:rsidRPr="00734B50" w:rsidRDefault="009F1A2B" w:rsidP="0063466C">
      <w:pPr>
        <w:rPr>
          <w:lang w:val="pt-BR"/>
        </w:rPr>
      </w:pPr>
      <w:r w:rsidRPr="00734B50">
        <w:rPr>
          <w:rFonts w:cs="Tahoma"/>
          <w:szCs w:val="20"/>
          <w:lang w:val="pt-BR"/>
        </w:rPr>
        <w:t>Esses benefícios variam de acordo com o produto.</w:t>
      </w:r>
      <w:r w:rsidR="005A52A2" w:rsidRPr="00734B50">
        <w:rPr>
          <w:rFonts w:cs="Tahoma"/>
          <w:szCs w:val="20"/>
          <w:lang w:val="pt-BR"/>
        </w:rPr>
        <w:t xml:space="preserve"> </w:t>
      </w:r>
      <w:r w:rsidRPr="00734B50">
        <w:rPr>
          <w:rFonts w:cs="Tahoma"/>
          <w:szCs w:val="20"/>
          <w:lang w:val="pt-BR"/>
        </w:rPr>
        <w:t xml:space="preserve">O acesso e os direitos de uso dos benefícios dos Serviços Online do Cliente cessarão no término das licenças de assinatura dos serviços online correspondentes. </w:t>
      </w:r>
    </w:p>
    <w:p w:rsidR="009F1A2B" w:rsidRPr="00734B50" w:rsidRDefault="009F1A2B" w:rsidP="0063466C">
      <w:pPr>
        <w:rPr>
          <w:lang w:val="pt-BR"/>
        </w:rPr>
      </w:pPr>
    </w:p>
    <w:p w:rsidR="00E7419A" w:rsidRPr="00734B50" w:rsidRDefault="00E7419A" w:rsidP="0063466C">
      <w:pPr>
        <w:rPr>
          <w:lang w:val="pt-BR"/>
        </w:rPr>
      </w:pPr>
      <w:r w:rsidRPr="00734B50">
        <w:rPr>
          <w:rFonts w:cs="Tahoma"/>
          <w:szCs w:val="20"/>
          <w:lang w:val="pt-BR"/>
        </w:rPr>
        <w:t>Quaisquer exceções às regras acima serão indicadas nas seções sobre benefícios individuais a seguir.</w:t>
      </w:r>
      <w:r w:rsidR="005A52A2" w:rsidRPr="00734B50">
        <w:rPr>
          <w:rFonts w:cs="Tahoma"/>
          <w:szCs w:val="20"/>
          <w:lang w:val="pt-BR"/>
        </w:rPr>
        <w:t xml:space="preserve"> </w:t>
      </w:r>
      <w:r w:rsidRPr="00734B50">
        <w:rPr>
          <w:rFonts w:cs="Tahoma"/>
          <w:szCs w:val="20"/>
          <w:lang w:val="pt-BR"/>
        </w:rPr>
        <w:t xml:space="preserve">Os benefícios estão sujeitos a alterações e podem ser descontinuados a qualquer momento sem notificação prévia. A disponibilidade dos benefícios variam por programa, região, opções de fornecimento e idioma. </w:t>
      </w:r>
    </w:p>
    <w:p w:rsidR="00023FE7" w:rsidRPr="00734B50" w:rsidRDefault="00023FE7" w:rsidP="0063466C">
      <w:pPr>
        <w:pStyle w:val="AppendixBodyText"/>
        <w:spacing w:after="0"/>
        <w:rPr>
          <w:lang w:val="pt-BR"/>
        </w:rPr>
      </w:pPr>
    </w:p>
    <w:p w:rsidR="00023FE7" w:rsidRPr="00734B50" w:rsidRDefault="00023FE7" w:rsidP="0063466C">
      <w:pPr>
        <w:pStyle w:val="AppendixBodyText"/>
        <w:spacing w:after="0"/>
        <w:rPr>
          <w:lang w:val="pt-BR"/>
        </w:rPr>
      </w:pPr>
      <w:r w:rsidRPr="00734B50">
        <w:rPr>
          <w:rFonts w:ascii="Tahoma" w:hAnsi="Tahoma" w:cs="Tahoma"/>
          <w:sz w:val="18"/>
          <w:lang w:val="pt-BR"/>
        </w:rPr>
        <w:t>Os benefícios do Software Assurance e os benefícios dos Serviços Online estão alocados em diferentes programas, conforme mostrado na tabela a seguir:</w:t>
      </w:r>
    </w:p>
    <w:p w:rsidR="00023FE7" w:rsidRPr="00734B50" w:rsidRDefault="00023FE7" w:rsidP="00BA0707">
      <w:pPr>
        <w:pStyle w:val="AppendixBodyText"/>
        <w:spacing w:after="0"/>
        <w:rPr>
          <w:lang w:val="pt-BR"/>
        </w:rPr>
      </w:pPr>
    </w:p>
    <w:tbl>
      <w:tblPr>
        <w:tblW w:w="936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260"/>
        <w:gridCol w:w="1350"/>
        <w:gridCol w:w="1710"/>
        <w:gridCol w:w="2520"/>
        <w:gridCol w:w="1080"/>
      </w:tblGrid>
      <w:tr w:rsidR="009233CA" w:rsidRPr="00653421" w:rsidTr="005B4C27">
        <w:trPr>
          <w:trHeight w:val="178"/>
        </w:trPr>
        <w:tc>
          <w:tcPr>
            <w:tcW w:w="1447" w:type="dxa"/>
            <w:shd w:val="clear" w:color="auto" w:fill="FFCC99"/>
            <w:vAlign w:val="center"/>
          </w:tcPr>
          <w:p w:rsidR="00394D2B" w:rsidRPr="00653421" w:rsidRDefault="00394D2B" w:rsidP="00FF3343">
            <w:pPr>
              <w:pStyle w:val="AppendixTableHeadings"/>
              <w:jc w:val="left"/>
              <w:rPr>
                <w:rFonts w:ascii="Tahoma" w:hAnsi="Tahoma" w:cs="Tahoma"/>
                <w:sz w:val="20"/>
                <w:szCs w:val="20"/>
              </w:rPr>
            </w:pPr>
            <w:r w:rsidRPr="00653421">
              <w:rPr>
                <w:rFonts w:ascii="Tahoma" w:hAnsi="Tahoma" w:cs="Tahoma"/>
                <w:sz w:val="20"/>
                <w:szCs w:val="20"/>
              </w:rPr>
              <w:t>Programas</w:t>
            </w:r>
          </w:p>
        </w:tc>
        <w:tc>
          <w:tcPr>
            <w:tcW w:w="1260" w:type="dxa"/>
            <w:shd w:val="clear" w:color="auto" w:fill="FFCC99"/>
            <w:vAlign w:val="center"/>
          </w:tcPr>
          <w:p w:rsidR="00394D2B" w:rsidRPr="00653421" w:rsidRDefault="00394D2B" w:rsidP="00FF3343">
            <w:pPr>
              <w:pStyle w:val="AppendixTableHeadings"/>
              <w:jc w:val="left"/>
              <w:rPr>
                <w:rFonts w:ascii="Tahoma" w:hAnsi="Tahoma" w:cs="Tahoma"/>
                <w:sz w:val="20"/>
                <w:szCs w:val="20"/>
              </w:rPr>
            </w:pPr>
            <w:r w:rsidRPr="00653421">
              <w:rPr>
                <w:rFonts w:ascii="Tahoma" w:hAnsi="Tahoma" w:cs="Tahoma"/>
                <w:sz w:val="20"/>
                <w:szCs w:val="20"/>
              </w:rPr>
              <w:t>Licença Open</w:t>
            </w:r>
          </w:p>
        </w:tc>
        <w:tc>
          <w:tcPr>
            <w:tcW w:w="1350" w:type="dxa"/>
            <w:shd w:val="clear" w:color="auto" w:fill="FFCC99"/>
            <w:vAlign w:val="center"/>
          </w:tcPr>
          <w:p w:rsidR="00394D2B" w:rsidRPr="00653421" w:rsidRDefault="00394D2B" w:rsidP="00FF3343">
            <w:pPr>
              <w:pStyle w:val="AppendixTableHeadings"/>
              <w:jc w:val="left"/>
              <w:rPr>
                <w:rFonts w:ascii="Tahoma" w:hAnsi="Tahoma" w:cs="Tahoma"/>
                <w:sz w:val="20"/>
                <w:szCs w:val="20"/>
              </w:rPr>
            </w:pPr>
            <w:r w:rsidRPr="00653421">
              <w:rPr>
                <w:rFonts w:ascii="Tahoma" w:hAnsi="Tahoma" w:cs="Tahoma"/>
                <w:sz w:val="20"/>
                <w:szCs w:val="20"/>
              </w:rPr>
              <w:t>Open Value</w:t>
            </w:r>
          </w:p>
        </w:tc>
        <w:tc>
          <w:tcPr>
            <w:tcW w:w="1710" w:type="dxa"/>
            <w:shd w:val="clear" w:color="auto" w:fill="FFCC99"/>
            <w:vAlign w:val="center"/>
          </w:tcPr>
          <w:p w:rsidR="00394D2B" w:rsidRPr="00653421" w:rsidRDefault="00394D2B" w:rsidP="00FF3343">
            <w:pPr>
              <w:pStyle w:val="AppendixTableHeadings"/>
              <w:jc w:val="left"/>
              <w:rPr>
                <w:rFonts w:ascii="Tahoma" w:hAnsi="Tahoma" w:cs="Tahoma"/>
                <w:sz w:val="20"/>
                <w:szCs w:val="20"/>
              </w:rPr>
            </w:pPr>
            <w:r w:rsidRPr="00653421">
              <w:rPr>
                <w:rFonts w:ascii="Tahoma" w:hAnsi="Tahoma" w:cs="Tahoma"/>
                <w:sz w:val="20"/>
                <w:szCs w:val="20"/>
              </w:rPr>
              <w:t>Open Value Subscription – Soluções Educacionais</w:t>
            </w:r>
          </w:p>
        </w:tc>
        <w:tc>
          <w:tcPr>
            <w:tcW w:w="2520" w:type="dxa"/>
            <w:shd w:val="clear" w:color="auto" w:fill="FFCC99"/>
            <w:vAlign w:val="center"/>
          </w:tcPr>
          <w:p w:rsidR="00394D2B" w:rsidRPr="00734B50" w:rsidRDefault="00394D2B" w:rsidP="00FF3343">
            <w:pPr>
              <w:pStyle w:val="AppendixTableHeadings"/>
              <w:jc w:val="left"/>
              <w:rPr>
                <w:lang w:val="pt-BR"/>
              </w:rPr>
            </w:pPr>
            <w:r w:rsidRPr="00734B50">
              <w:rPr>
                <w:rFonts w:ascii="Tahoma" w:hAnsi="Tahoma" w:cs="Tahoma"/>
                <w:sz w:val="20"/>
                <w:szCs w:val="20"/>
                <w:lang w:val="pt-BR"/>
              </w:rPr>
              <w:t>Select*</w:t>
            </w:r>
          </w:p>
          <w:p w:rsidR="00394D2B" w:rsidRPr="00734B50" w:rsidRDefault="00394D2B" w:rsidP="00FF3343">
            <w:pPr>
              <w:pStyle w:val="AppendixTableHeadings"/>
              <w:jc w:val="left"/>
              <w:rPr>
                <w:lang w:val="pt-BR"/>
              </w:rPr>
            </w:pPr>
            <w:r w:rsidRPr="00734B50">
              <w:rPr>
                <w:rFonts w:ascii="Tahoma" w:hAnsi="Tahoma" w:cs="Tahoma"/>
                <w:sz w:val="20"/>
                <w:szCs w:val="20"/>
                <w:lang w:val="pt-BR"/>
              </w:rPr>
              <w:t>Contrato Enterprise</w:t>
            </w:r>
          </w:p>
          <w:p w:rsidR="00394D2B" w:rsidRPr="00734B50" w:rsidRDefault="00394D2B" w:rsidP="00FF3343">
            <w:pPr>
              <w:pStyle w:val="AppendixTableHeadings"/>
              <w:jc w:val="left"/>
              <w:rPr>
                <w:lang w:val="pt-BR"/>
              </w:rPr>
            </w:pPr>
            <w:r w:rsidRPr="00734B50">
              <w:rPr>
                <w:rFonts w:ascii="Tahoma" w:hAnsi="Tahoma" w:cs="Tahoma"/>
                <w:sz w:val="20"/>
                <w:szCs w:val="20"/>
                <w:lang w:val="pt-BR"/>
              </w:rPr>
              <w:t>Soluções Educacionais do</w:t>
            </w:r>
            <w:r w:rsidR="005B4C27" w:rsidRPr="00734B50">
              <w:rPr>
                <w:rFonts w:ascii="Tahoma" w:hAnsi="Tahoma" w:cs="Tahoma"/>
                <w:sz w:val="20"/>
                <w:szCs w:val="20"/>
                <w:lang w:val="pt-BR"/>
              </w:rPr>
              <w:t> </w:t>
            </w:r>
            <w:r w:rsidRPr="00734B50">
              <w:rPr>
                <w:rFonts w:ascii="Tahoma" w:hAnsi="Tahoma" w:cs="Tahoma"/>
                <w:sz w:val="20"/>
                <w:szCs w:val="20"/>
                <w:lang w:val="pt-BR"/>
              </w:rPr>
              <w:t>Registro sob o</w:t>
            </w:r>
            <w:r w:rsidR="005B4C27" w:rsidRPr="00734B50">
              <w:rPr>
                <w:rFonts w:ascii="Tahoma" w:hAnsi="Tahoma" w:cs="Tahoma"/>
                <w:sz w:val="20"/>
                <w:szCs w:val="20"/>
                <w:lang w:val="pt-BR"/>
              </w:rPr>
              <w:t> </w:t>
            </w:r>
            <w:r w:rsidRPr="00734B50">
              <w:rPr>
                <w:rFonts w:ascii="Tahoma" w:hAnsi="Tahoma" w:cs="Tahoma"/>
                <w:sz w:val="20"/>
                <w:szCs w:val="20"/>
                <w:lang w:val="pt-BR"/>
              </w:rPr>
              <w:t>Contrato para Campus e o</w:t>
            </w:r>
          </w:p>
          <w:p w:rsidR="00394D2B" w:rsidRPr="00653421" w:rsidRDefault="00394D2B" w:rsidP="00FF3343">
            <w:pPr>
              <w:pStyle w:val="AppendixTableHeadings"/>
              <w:jc w:val="left"/>
              <w:rPr>
                <w:rFonts w:ascii="Tahoma" w:hAnsi="Tahoma" w:cs="Tahoma"/>
                <w:sz w:val="20"/>
                <w:szCs w:val="20"/>
              </w:rPr>
            </w:pPr>
            <w:r w:rsidRPr="00653421">
              <w:rPr>
                <w:rFonts w:ascii="Tahoma" w:hAnsi="Tahoma" w:cs="Tahoma"/>
                <w:sz w:val="20"/>
                <w:szCs w:val="20"/>
              </w:rPr>
              <w:t>Contrato School</w:t>
            </w:r>
          </w:p>
        </w:tc>
        <w:tc>
          <w:tcPr>
            <w:tcW w:w="1080" w:type="dxa"/>
            <w:shd w:val="clear" w:color="auto" w:fill="FFCC99"/>
            <w:vAlign w:val="center"/>
          </w:tcPr>
          <w:p w:rsidR="00394D2B" w:rsidRPr="00653421" w:rsidRDefault="00394D2B" w:rsidP="007E466C">
            <w:pPr>
              <w:pStyle w:val="AppendixTableHeadings"/>
              <w:rPr>
                <w:rFonts w:ascii="Tahoma" w:hAnsi="Tahoma" w:cs="Tahoma"/>
                <w:sz w:val="20"/>
                <w:szCs w:val="20"/>
              </w:rPr>
            </w:pPr>
            <w:r w:rsidRPr="00653421">
              <w:rPr>
                <w:rFonts w:ascii="Tahoma" w:hAnsi="Tahoma" w:cs="Tahoma"/>
                <w:sz w:val="20"/>
                <w:szCs w:val="20"/>
              </w:rPr>
              <w:t>Select Plus</w:t>
            </w:r>
          </w:p>
        </w:tc>
      </w:tr>
      <w:tr w:rsidR="009233CA" w:rsidRPr="00653421" w:rsidTr="005B4C27">
        <w:trPr>
          <w:trHeight w:val="369"/>
        </w:trPr>
        <w:tc>
          <w:tcPr>
            <w:tcW w:w="1447" w:type="dxa"/>
            <w:vAlign w:val="center"/>
          </w:tcPr>
          <w:p w:rsidR="00394D2B" w:rsidRPr="00734B50" w:rsidRDefault="00394D2B">
            <w:pPr>
              <w:pStyle w:val="AppendixTableText"/>
              <w:rPr>
                <w:rFonts w:ascii="Tahoma" w:hAnsi="Tahoma" w:cs="Tahoma"/>
                <w:szCs w:val="20"/>
                <w:lang w:val="pt-BR"/>
              </w:rPr>
            </w:pPr>
            <w:r w:rsidRPr="00734B50">
              <w:rPr>
                <w:rFonts w:ascii="Tahoma" w:hAnsi="Tahoma" w:cs="Tahoma"/>
                <w:szCs w:val="20"/>
                <w:lang w:val="pt-BR"/>
              </w:rPr>
              <w:t>Os benefícios estão disponíveis por:</w:t>
            </w:r>
          </w:p>
        </w:tc>
        <w:tc>
          <w:tcPr>
            <w:tcW w:w="1260" w:type="dxa"/>
            <w:vAlign w:val="center"/>
          </w:tcPr>
          <w:p w:rsidR="00394D2B" w:rsidRPr="00653421" w:rsidRDefault="00394D2B">
            <w:pPr>
              <w:pStyle w:val="AppendixTableText"/>
              <w:rPr>
                <w:rFonts w:ascii="Tahoma" w:hAnsi="Tahoma" w:cs="Tahoma"/>
                <w:szCs w:val="20"/>
              </w:rPr>
            </w:pPr>
            <w:r w:rsidRPr="00653421">
              <w:rPr>
                <w:rFonts w:ascii="Tahoma" w:hAnsi="Tahoma" w:cs="Tahoma"/>
                <w:szCs w:val="20"/>
              </w:rPr>
              <w:t>Número de Licença</w:t>
            </w:r>
          </w:p>
        </w:tc>
        <w:tc>
          <w:tcPr>
            <w:tcW w:w="1350" w:type="dxa"/>
            <w:vAlign w:val="center"/>
          </w:tcPr>
          <w:p w:rsidR="00394D2B" w:rsidRPr="00653421" w:rsidRDefault="00394D2B">
            <w:pPr>
              <w:pStyle w:val="AppendixTableText"/>
              <w:rPr>
                <w:rFonts w:ascii="Tahoma" w:hAnsi="Tahoma" w:cs="Tahoma"/>
                <w:szCs w:val="20"/>
              </w:rPr>
            </w:pPr>
            <w:r w:rsidRPr="00653421">
              <w:rPr>
                <w:rFonts w:ascii="Tahoma" w:hAnsi="Tahoma" w:cs="Tahoma"/>
                <w:szCs w:val="20"/>
              </w:rPr>
              <w:t>Contrato</w:t>
            </w:r>
          </w:p>
        </w:tc>
        <w:tc>
          <w:tcPr>
            <w:tcW w:w="1710" w:type="dxa"/>
            <w:vAlign w:val="center"/>
          </w:tcPr>
          <w:p w:rsidR="00394D2B" w:rsidRPr="00653421" w:rsidRDefault="00394D2B" w:rsidP="00394D2B">
            <w:pPr>
              <w:pStyle w:val="AppendixTableText"/>
              <w:rPr>
                <w:rFonts w:ascii="Tahoma" w:hAnsi="Tahoma" w:cs="Tahoma"/>
                <w:szCs w:val="20"/>
              </w:rPr>
            </w:pPr>
            <w:r w:rsidRPr="00653421">
              <w:rPr>
                <w:rFonts w:ascii="Tahoma" w:hAnsi="Tahoma" w:cs="Tahoma"/>
                <w:szCs w:val="20"/>
              </w:rPr>
              <w:t>Contrato</w:t>
            </w:r>
          </w:p>
        </w:tc>
        <w:tc>
          <w:tcPr>
            <w:tcW w:w="2520" w:type="dxa"/>
            <w:vAlign w:val="center"/>
          </w:tcPr>
          <w:p w:rsidR="00394D2B" w:rsidRPr="00653421" w:rsidRDefault="00394D2B">
            <w:pPr>
              <w:pStyle w:val="AppendixTableText"/>
              <w:rPr>
                <w:rFonts w:ascii="Tahoma" w:hAnsi="Tahoma" w:cs="Tahoma"/>
                <w:szCs w:val="20"/>
              </w:rPr>
            </w:pPr>
            <w:r w:rsidRPr="00653421">
              <w:rPr>
                <w:rFonts w:ascii="Tahoma" w:hAnsi="Tahoma" w:cs="Tahoma"/>
                <w:szCs w:val="20"/>
              </w:rPr>
              <w:t>Qualificado</w:t>
            </w:r>
          </w:p>
        </w:tc>
        <w:tc>
          <w:tcPr>
            <w:tcW w:w="1080" w:type="dxa"/>
          </w:tcPr>
          <w:p w:rsidR="00394D2B" w:rsidRPr="00653421" w:rsidRDefault="00394D2B">
            <w:pPr>
              <w:pStyle w:val="AppendixTableText"/>
              <w:rPr>
                <w:rFonts w:ascii="Tahoma" w:hAnsi="Tahoma" w:cs="Tahoma"/>
                <w:szCs w:val="20"/>
              </w:rPr>
            </w:pPr>
            <w:r w:rsidRPr="00653421">
              <w:rPr>
                <w:rFonts w:ascii="Tahoma" w:hAnsi="Tahoma" w:cs="Tahoma"/>
                <w:szCs w:val="20"/>
              </w:rPr>
              <w:t>Afiliada Registrada</w:t>
            </w:r>
          </w:p>
        </w:tc>
      </w:tr>
    </w:tbl>
    <w:p w:rsidR="00023FE7" w:rsidRPr="00734B50" w:rsidRDefault="00023FE7" w:rsidP="0063466C">
      <w:pPr>
        <w:pStyle w:val="AppendixBodyText"/>
        <w:spacing w:after="0"/>
        <w:ind w:right="403"/>
        <w:rPr>
          <w:lang w:val="pt-BR"/>
        </w:rPr>
      </w:pPr>
      <w:r w:rsidRPr="00734B50">
        <w:rPr>
          <w:rFonts w:ascii="Tahoma" w:hAnsi="Tahoma" w:cs="Tahoma"/>
          <w:b/>
          <w:i/>
          <w:sz w:val="16"/>
          <w:szCs w:val="16"/>
          <w:lang w:val="pt-BR"/>
        </w:rPr>
        <w:t>Observação:</w:t>
      </w:r>
      <w:r w:rsidRPr="00734B50">
        <w:rPr>
          <w:rFonts w:ascii="Tahoma" w:hAnsi="Tahoma" w:cs="Tahoma"/>
          <w:i/>
          <w:sz w:val="16"/>
          <w:szCs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rsidR="00023FE7" w:rsidRPr="00734B50" w:rsidRDefault="00023FE7" w:rsidP="0063466C">
      <w:pPr>
        <w:pStyle w:val="AppendixBodyText"/>
        <w:spacing w:after="0"/>
        <w:rPr>
          <w:lang w:val="pt-BR"/>
        </w:rPr>
      </w:pPr>
    </w:p>
    <w:p w:rsidR="00023FE7" w:rsidRPr="00734B50" w:rsidRDefault="00023FE7" w:rsidP="0063466C">
      <w:pPr>
        <w:pStyle w:val="AppendixBodyText"/>
        <w:spacing w:after="0"/>
        <w:rPr>
          <w:lang w:val="pt-BR"/>
        </w:rPr>
      </w:pPr>
      <w:r w:rsidRPr="00734B50">
        <w:rPr>
          <w:rFonts w:ascii="Tahoma" w:hAnsi="Tahoma" w:cs="Tahoma"/>
          <w:sz w:val="18"/>
          <w:lang w:val="pt-BR"/>
        </w:rPr>
        <w:t>Os Benefícios do Software Assurance e os benefícios dos Serviços Online são exibidos na tabela a seguir.</w:t>
      </w:r>
      <w:r w:rsidR="005A52A2" w:rsidRPr="00734B50">
        <w:rPr>
          <w:rFonts w:ascii="Tahoma" w:hAnsi="Tahoma" w:cs="Tahoma"/>
          <w:sz w:val="18"/>
          <w:lang w:val="pt-BR"/>
        </w:rPr>
        <w:t xml:space="preserve"> </w:t>
      </w:r>
      <w:r w:rsidRPr="00734B50">
        <w:rPr>
          <w:rFonts w:ascii="Tahoma" w:hAnsi="Tahoma" w:cs="Tahoma"/>
          <w:sz w:val="18"/>
          <w:lang w:val="pt-BR"/>
        </w:rPr>
        <w:t>Determinados benefícios correspondem a licenças individuais para as quais o Software Assurance foi adquirido.</w:t>
      </w:r>
      <w:r w:rsidR="005A52A2" w:rsidRPr="00734B50">
        <w:rPr>
          <w:rFonts w:ascii="Tahoma" w:hAnsi="Tahoma" w:cs="Tahoma"/>
          <w:sz w:val="18"/>
          <w:lang w:val="pt-BR"/>
        </w:rPr>
        <w:t xml:space="preserve"> </w:t>
      </w:r>
      <w:r w:rsidRPr="00734B50">
        <w:rPr>
          <w:rFonts w:ascii="Tahoma" w:hAnsi="Tahoma" w:cs="Tahoma"/>
          <w:sz w:val="18"/>
          <w:lang w:val="pt-BR"/>
        </w:rPr>
        <w:t>O</w:t>
      </w:r>
      <w:r w:rsidR="00EF27BD" w:rsidRPr="00734B50">
        <w:rPr>
          <w:rFonts w:ascii="Tahoma" w:hAnsi="Tahoma" w:cs="Tahoma"/>
          <w:sz w:val="18"/>
          <w:lang w:val="pt-BR"/>
        </w:rPr>
        <w:t> </w:t>
      </w:r>
      <w:r w:rsidRPr="00734B50">
        <w:rPr>
          <w:rFonts w:ascii="Tahoma" w:hAnsi="Tahoma" w:cs="Tahoma"/>
          <w:sz w:val="18"/>
          <w:lang w:val="pt-BR"/>
        </w:rPr>
        <w:t>Software Assurance (ou outra proteção de atualização) ativo de qualquer produto qualificado, independentemente da versão do produto que um cliente esteja usando, qualifica o cliente para esses benefícios.</w:t>
      </w:r>
      <w:r w:rsidR="005A52A2" w:rsidRPr="00734B50">
        <w:rPr>
          <w:rFonts w:ascii="Tahoma" w:hAnsi="Tahoma" w:cs="Tahoma"/>
          <w:sz w:val="18"/>
          <w:lang w:val="pt-BR"/>
        </w:rPr>
        <w:t xml:space="preserve"> </w:t>
      </w:r>
      <w:r w:rsidRPr="00734B50">
        <w:rPr>
          <w:rFonts w:ascii="Tahoma" w:hAnsi="Tahoma" w:cs="Tahoma"/>
          <w:sz w:val="18"/>
          <w:lang w:val="pt-BR"/>
        </w:rPr>
        <w:t>Os produtos qualificados estão identificados na seção de cada produto.</w:t>
      </w:r>
      <w:r w:rsidR="005A52A2" w:rsidRPr="00734B50">
        <w:rPr>
          <w:rFonts w:ascii="Tahoma" w:hAnsi="Tahoma" w:cs="Tahoma"/>
          <w:sz w:val="18"/>
          <w:lang w:val="pt-BR"/>
        </w:rPr>
        <w:t xml:space="preserve"> </w:t>
      </w:r>
      <w:r w:rsidRPr="00734B50">
        <w:rPr>
          <w:rFonts w:ascii="Tahoma" w:hAnsi="Tahoma" w:cs="Tahoma"/>
          <w:sz w:val="18"/>
          <w:lang w:val="pt-BR"/>
        </w:rPr>
        <w:t>Alguns benefícios são concedidos com base nos gastos de</w:t>
      </w:r>
      <w:r w:rsidR="00EF27BD" w:rsidRPr="00734B50">
        <w:rPr>
          <w:rFonts w:ascii="Tahoma" w:hAnsi="Tahoma" w:cs="Tahoma"/>
          <w:sz w:val="18"/>
          <w:lang w:val="pt-BR"/>
        </w:rPr>
        <w:t> </w:t>
      </w:r>
      <w:r w:rsidRPr="00734B50">
        <w:rPr>
          <w:rFonts w:ascii="Tahoma" w:hAnsi="Tahoma" w:cs="Tahoma"/>
          <w:sz w:val="18"/>
          <w:lang w:val="pt-BR"/>
        </w:rPr>
        <w:t>SA do Cliente com um determinado conjunto de produtos qualificados de um pool.</w:t>
      </w:r>
      <w:r w:rsidR="005A52A2" w:rsidRPr="00734B50">
        <w:rPr>
          <w:rFonts w:ascii="Tahoma" w:hAnsi="Tahoma" w:cs="Tahoma"/>
          <w:sz w:val="18"/>
          <w:lang w:val="pt-BR"/>
        </w:rPr>
        <w:t xml:space="preserve"> </w:t>
      </w:r>
      <w:r w:rsidRPr="00734B50">
        <w:rPr>
          <w:rFonts w:ascii="Tahoma" w:hAnsi="Tahoma" w:cs="Tahoma"/>
          <w:sz w:val="18"/>
          <w:lang w:val="pt-BR"/>
        </w:rPr>
        <w:t>Para esses fins, “gastos de SA” não são literalmente os gastos reais em dólares do cliente.</w:t>
      </w:r>
      <w:r w:rsidR="005A52A2" w:rsidRPr="00734B50">
        <w:rPr>
          <w:rFonts w:ascii="Tahoma" w:hAnsi="Tahoma" w:cs="Tahoma"/>
          <w:sz w:val="18"/>
          <w:lang w:val="pt-BR"/>
        </w:rPr>
        <w:t xml:space="preserve"> </w:t>
      </w:r>
      <w:r w:rsidRPr="00734B50">
        <w:rPr>
          <w:rFonts w:ascii="Tahoma" w:hAnsi="Tahoma" w:cs="Tahoma"/>
          <w:sz w:val="18"/>
          <w:lang w:val="pt-BR"/>
        </w:rPr>
        <w:t>Em vez disso, eles são uma aproximação da quantia gasta</w:t>
      </w:r>
      <w:r w:rsidR="00EF27BD" w:rsidRPr="00734B50">
        <w:rPr>
          <w:rFonts w:ascii="Tahoma" w:hAnsi="Tahoma" w:cs="Tahoma"/>
          <w:sz w:val="18"/>
          <w:lang w:val="pt-BR"/>
        </w:rPr>
        <w:t> </w:t>
      </w:r>
      <w:r w:rsidRPr="00734B50">
        <w:rPr>
          <w:rFonts w:ascii="Tahoma" w:hAnsi="Tahoma" w:cs="Tahoma"/>
          <w:sz w:val="18"/>
          <w:lang w:val="pt-BR"/>
        </w:rPr>
        <w:t xml:space="preserve">por um cliente em cobertura de Software Assurance para esses produtos sob o Registro Select ou </w:t>
      </w:r>
      <w:r w:rsidRPr="00734B50">
        <w:rPr>
          <w:rFonts w:ascii="Tahoma" w:hAnsi="Tahoma" w:cs="Tahoma"/>
          <w:sz w:val="18"/>
          <w:szCs w:val="18"/>
          <w:lang w:val="pt-BR"/>
        </w:rPr>
        <w:t>Enterprise, o</w:t>
      </w:r>
      <w:r w:rsidR="00EF27BD" w:rsidRPr="00734B50">
        <w:rPr>
          <w:rFonts w:ascii="Tahoma" w:hAnsi="Tahoma" w:cs="Tahoma"/>
          <w:sz w:val="18"/>
          <w:szCs w:val="18"/>
          <w:lang w:val="pt-BR"/>
        </w:rPr>
        <w:t> </w:t>
      </w:r>
      <w:r w:rsidRPr="00734B50">
        <w:rPr>
          <w:rFonts w:ascii="Tahoma" w:hAnsi="Tahoma" w:cs="Tahoma"/>
          <w:sz w:val="18"/>
          <w:szCs w:val="18"/>
          <w:lang w:val="pt-BR"/>
        </w:rPr>
        <w:t>registro Select Plus ou o contrato Open (por exemplo, aquisições apenas de SA e aquisições do componente SA de</w:t>
      </w:r>
      <w:r w:rsidR="00EF27BD" w:rsidRPr="00734B50">
        <w:rPr>
          <w:rFonts w:ascii="Tahoma" w:hAnsi="Tahoma" w:cs="Tahoma"/>
          <w:sz w:val="18"/>
          <w:szCs w:val="18"/>
          <w:lang w:val="pt-BR"/>
        </w:rPr>
        <w:t> </w:t>
      </w:r>
      <w:r w:rsidRPr="00734B50">
        <w:rPr>
          <w:rFonts w:ascii="Tahoma" w:hAnsi="Tahoma" w:cs="Tahoma"/>
          <w:sz w:val="18"/>
          <w:szCs w:val="18"/>
          <w:lang w:val="pt-BR"/>
        </w:rPr>
        <w:t>L&amp;SA (Licença e Software Assurance).</w:t>
      </w:r>
      <w:r w:rsidR="005A52A2" w:rsidRPr="00734B50">
        <w:rPr>
          <w:rFonts w:ascii="Tahoma" w:hAnsi="Tahoma" w:cs="Tahoma"/>
          <w:sz w:val="18"/>
          <w:szCs w:val="18"/>
          <w:lang w:val="pt-BR"/>
        </w:rPr>
        <w:t xml:space="preserve"> </w:t>
      </w:r>
      <w:r w:rsidRPr="00734B50">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w:t>
      </w:r>
      <w:r w:rsidR="00EF27BD" w:rsidRPr="00734B50">
        <w:rPr>
          <w:rFonts w:ascii="Tahoma" w:hAnsi="Tahoma" w:cs="Tahoma"/>
          <w:sz w:val="18"/>
          <w:szCs w:val="18"/>
          <w:lang w:val="pt-BR"/>
        </w:rPr>
        <w:t> </w:t>
      </w:r>
      <w:r w:rsidRPr="00734B50">
        <w:rPr>
          <w:rFonts w:ascii="Tahoma" w:hAnsi="Tahoma" w:cs="Tahoma"/>
          <w:sz w:val="18"/>
          <w:szCs w:val="18"/>
          <w:lang w:val="pt-BR"/>
        </w:rPr>
        <w:t>contrato.</w:t>
      </w:r>
      <w:r w:rsidR="005A52A2" w:rsidRPr="00734B50">
        <w:rPr>
          <w:rFonts w:ascii="Tahoma" w:hAnsi="Tahoma" w:cs="Tahoma"/>
          <w:sz w:val="18"/>
          <w:szCs w:val="18"/>
          <w:lang w:val="pt-BR"/>
        </w:rPr>
        <w:t xml:space="preserve"> </w:t>
      </w:r>
      <w:r w:rsidRPr="00734B50">
        <w:rPr>
          <w:rFonts w:ascii="Tahoma" w:hAnsi="Tahoma" w:cs="Tahoma"/>
          <w:sz w:val="18"/>
          <w:szCs w:val="18"/>
          <w:lang w:val="pt-BR"/>
        </w:rPr>
        <w:t>Outros benefícios correspondem ao Programa de Membros do Software Assurance. O Programa de Membros do Software Assurance para o pool de produtos aplicável qualifica o cliente a esses benefícios.</w:t>
      </w:r>
    </w:p>
    <w:p w:rsidR="00F76ED4" w:rsidRPr="00734B50" w:rsidRDefault="00F76ED4">
      <w:pPr>
        <w:rPr>
          <w:lang w:val="pt-BR"/>
        </w:rPr>
      </w:pPr>
      <w:r w:rsidRPr="00734B50">
        <w:rPr>
          <w:rFonts w:cs="Tahoma"/>
          <w:lang w:val="pt-BR"/>
        </w:rPr>
        <w:br w:type="page"/>
      </w:r>
    </w:p>
    <w:p w:rsidR="00023FE7" w:rsidRPr="00734B50" w:rsidRDefault="00023FE7" w:rsidP="0063466C">
      <w:pPr>
        <w:pStyle w:val="AppendixBodyText"/>
        <w:spacing w:after="0"/>
        <w:rPr>
          <w:lang w:val="pt-BR"/>
        </w:rPr>
      </w:pPr>
    </w:p>
    <w:tbl>
      <w:tblPr>
        <w:tblW w:w="9367" w:type="dxa"/>
        <w:tblInd w:w="101" w:type="dxa"/>
        <w:tblLayout w:type="fixed"/>
        <w:tblLook w:val="0000" w:firstRow="0" w:lastRow="0" w:firstColumn="0" w:lastColumn="0" w:noHBand="0" w:noVBand="0"/>
      </w:tblPr>
      <w:tblGrid>
        <w:gridCol w:w="2167"/>
        <w:gridCol w:w="1530"/>
        <w:gridCol w:w="1530"/>
        <w:gridCol w:w="1530"/>
        <w:gridCol w:w="1530"/>
        <w:gridCol w:w="1080"/>
      </w:tblGrid>
      <w:tr w:rsidR="004B4C79" w:rsidRPr="00653421" w:rsidTr="00F137D5">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53421" w:rsidRDefault="004B4C79" w:rsidP="00E06FE8">
            <w:pPr>
              <w:pStyle w:val="AppendixTableHeadings"/>
              <w:rPr>
                <w:rFonts w:ascii="Tahoma" w:hAnsi="Tahoma" w:cs="Tahoma"/>
                <w:sz w:val="20"/>
                <w:szCs w:val="20"/>
              </w:rPr>
            </w:pPr>
            <w:r w:rsidRPr="00653421">
              <w:rPr>
                <w:rFonts w:ascii="Tahoma" w:hAnsi="Tahoma" w:cs="Tahoma"/>
                <w:sz w:val="20"/>
                <w:szCs w:val="20"/>
              </w:rPr>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53421" w:rsidRDefault="004B4C79" w:rsidP="00E06FE8">
            <w:pPr>
              <w:pStyle w:val="AppendixTableHeadings"/>
              <w:rPr>
                <w:rFonts w:ascii="Tahoma" w:hAnsi="Tahoma" w:cs="Tahoma"/>
                <w:sz w:val="20"/>
                <w:szCs w:val="20"/>
              </w:rPr>
            </w:pPr>
            <w:r w:rsidRPr="00653421">
              <w:rPr>
                <w:rFonts w:ascii="Tahoma" w:hAnsi="Tahoma" w:cs="Tahoma"/>
                <w:sz w:val="20"/>
                <w:szCs w:val="20"/>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53421" w:rsidRDefault="004B4C79" w:rsidP="00E06FE8">
            <w:pPr>
              <w:pStyle w:val="AppendixTableHeadings"/>
              <w:rPr>
                <w:rFonts w:ascii="Tahoma" w:hAnsi="Tahoma" w:cs="Tahoma"/>
                <w:sz w:val="20"/>
                <w:szCs w:val="20"/>
              </w:rPr>
            </w:pPr>
            <w:r w:rsidRPr="00653421">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53421" w:rsidRDefault="004B4C79" w:rsidP="00E06FE8">
            <w:pPr>
              <w:pStyle w:val="AppendixTableHeadings"/>
              <w:rPr>
                <w:rFonts w:ascii="Tahoma" w:hAnsi="Tahoma" w:cs="Tahoma"/>
                <w:sz w:val="20"/>
                <w:szCs w:val="20"/>
              </w:rPr>
            </w:pPr>
            <w:r w:rsidRPr="00653421">
              <w:rPr>
                <w:rFonts w:ascii="Tahoma" w:hAnsi="Tahoma" w:cs="Tahoma"/>
                <w:sz w:val="20"/>
                <w:szCs w:val="20"/>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53421" w:rsidRDefault="006705D4" w:rsidP="00E06FE8">
            <w:pPr>
              <w:pStyle w:val="AppendixTableHeadings"/>
              <w:rPr>
                <w:rFonts w:ascii="Tahoma" w:hAnsi="Tahoma" w:cs="Tahoma"/>
                <w:sz w:val="20"/>
                <w:szCs w:val="20"/>
              </w:rPr>
            </w:pPr>
            <w:r w:rsidRPr="00653421">
              <w:rPr>
                <w:rFonts w:ascii="Tahoma" w:hAnsi="Tahoma" w:cs="Tahoma"/>
                <w:sz w:val="20"/>
                <w:szCs w:val="20"/>
              </w:rPr>
              <w:t>Windows Intune (por dispositivo)</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53421" w:rsidRDefault="004B4C79" w:rsidP="00E06FE8">
            <w:pPr>
              <w:pStyle w:val="AppendixTableHeadings"/>
              <w:rPr>
                <w:rFonts w:ascii="Tahoma" w:hAnsi="Tahoma" w:cs="Tahoma"/>
                <w:sz w:val="20"/>
                <w:szCs w:val="20"/>
              </w:rPr>
            </w:pPr>
            <w:r w:rsidRPr="00653421">
              <w:rPr>
                <w:rFonts w:ascii="Tahoma" w:hAnsi="Tahoma" w:cs="Tahoma"/>
                <w:sz w:val="20"/>
                <w:szCs w:val="20"/>
              </w:rPr>
              <w:t>Office 365</w:t>
            </w:r>
          </w:p>
        </w:tc>
      </w:tr>
      <w:tr w:rsidR="004B4C79" w:rsidRPr="00653421" w:rsidTr="00F137D5">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653421" w:rsidRDefault="004B4C79">
            <w:pPr>
              <w:pStyle w:val="AppendixTableText"/>
              <w:jc w:val="left"/>
              <w:rPr>
                <w:rFonts w:ascii="Tahoma" w:hAnsi="Tahoma" w:cs="Tahoma"/>
              </w:rPr>
            </w:pPr>
            <w:r w:rsidRPr="00653421">
              <w:rPr>
                <w:rFonts w:ascii="Tahoma" w:hAnsi="Tahoma" w:cs="Tahoma"/>
              </w:rPr>
              <w:t>Direitos à Nova Versão</w:t>
            </w:r>
          </w:p>
        </w:tc>
        <w:tc>
          <w:tcPr>
            <w:tcW w:w="1530" w:type="dxa"/>
            <w:tcBorders>
              <w:top w:val="single" w:sz="8" w:space="0" w:color="auto"/>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653421" w:rsidRDefault="00302B84" w:rsidP="00E06FE8">
            <w:pPr>
              <w:pStyle w:val="AppendixTableText"/>
              <w:rPr>
                <w:rFonts w:ascii="Tahoma" w:hAnsi="Tahoma" w:cs="Tahoma"/>
              </w:rPr>
            </w:pPr>
            <w:r w:rsidRPr="00653421">
              <w:rPr>
                <w:rFonts w:ascii="Tahoma" w:hAnsi="Tahoma" w:cs="Tahoma"/>
              </w:rPr>
              <w:t>Sim</w:t>
            </w:r>
          </w:p>
        </w:tc>
        <w:tc>
          <w:tcPr>
            <w:tcW w:w="1080" w:type="dxa"/>
            <w:tcBorders>
              <w:top w:val="single" w:sz="8" w:space="0" w:color="auto"/>
              <w:left w:val="nil"/>
              <w:bottom w:val="single" w:sz="4" w:space="0" w:color="auto"/>
              <w:right w:val="single" w:sz="4" w:space="0" w:color="auto"/>
            </w:tcBorders>
            <w:vAlign w:val="center"/>
          </w:tcPr>
          <w:p w:rsidR="004B4C79" w:rsidRPr="00653421" w:rsidRDefault="00302B84" w:rsidP="00E06FE8">
            <w:pPr>
              <w:pStyle w:val="AppendixTableText"/>
              <w:rPr>
                <w:rFonts w:ascii="Tahoma" w:hAnsi="Tahoma" w:cs="Tahoma"/>
              </w:rPr>
            </w:pPr>
            <w:r w:rsidRPr="00653421">
              <w:rPr>
                <w:rFonts w:ascii="Tahoma" w:hAnsi="Tahoma" w:cs="Tahoma"/>
              </w:rPr>
              <w:t>Sim</w:t>
            </w:r>
          </w:p>
        </w:tc>
      </w:tr>
      <w:tr w:rsidR="004B4C79"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53421" w:rsidRDefault="004B4C79" w:rsidP="00F137D5">
            <w:pPr>
              <w:pStyle w:val="AppendixTableText"/>
              <w:jc w:val="left"/>
              <w:rPr>
                <w:rFonts w:ascii="Tahoma" w:hAnsi="Tahoma" w:cs="Tahoma"/>
              </w:rPr>
            </w:pPr>
            <w:r w:rsidRPr="00653421">
              <w:rPr>
                <w:rFonts w:ascii="Tahoma" w:hAnsi="Tahoma" w:cs="Tahoma"/>
              </w:rPr>
              <w:t>Pacote Multilíngue do</w:t>
            </w:r>
            <w:r w:rsidR="00F137D5" w:rsidRPr="00653421">
              <w:rPr>
                <w:rFonts w:ascii="Tahoma" w:hAnsi="Tahoma" w:cs="Tahoma"/>
              </w:rPr>
              <w:t> </w:t>
            </w:r>
            <w:r w:rsidRPr="00653421">
              <w:rPr>
                <w:rFonts w:ascii="Tahoma" w:hAnsi="Tahoma" w:cs="Tahoma"/>
              </w:rPr>
              <w:t>Office</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Style w:val="CommentReference"/>
                <w:rFonts w:ascii="Tahoma" w:hAnsi="Tahoma" w:cs="Tahoma"/>
                <w:sz w:val="18"/>
                <w:szCs w:val="18"/>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Style w:val="CommentReference"/>
                <w:rFonts w:ascii="Tahoma" w:hAnsi="Tahoma" w:cs="Tahoma"/>
                <w:sz w:val="18"/>
                <w:szCs w:val="18"/>
              </w:rPr>
            </w:pPr>
            <w:r w:rsidRPr="00653421">
              <w:rPr>
                <w:rFonts w:ascii="Tahoma" w:hAnsi="Tahoma" w:cs="Tahoma"/>
              </w:rPr>
              <w:t>Sim</w:t>
            </w:r>
          </w:p>
        </w:tc>
      </w:tr>
      <w:tr w:rsidR="004B4C79"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53421" w:rsidRDefault="00E7419A">
            <w:pPr>
              <w:pStyle w:val="AppendixTableText"/>
              <w:jc w:val="left"/>
              <w:rPr>
                <w:rFonts w:ascii="Tahoma" w:hAnsi="Tahoma" w:cs="Tahoma"/>
              </w:rPr>
            </w:pPr>
            <w:r w:rsidRPr="00653421">
              <w:rPr>
                <w:rFonts w:ascii="Tahoma" w:hAnsi="Tahoma" w:cs="Tahoma"/>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Style w:val="CommentReference"/>
                <w:rFonts w:ascii="Tahoma" w:hAnsi="Tahoma" w:cs="Tahoma"/>
                <w:sz w:val="18"/>
                <w:szCs w:val="18"/>
              </w:rPr>
            </w:pPr>
            <w:r w:rsidRPr="00653421">
              <w:rPr>
                <w:rStyle w:val="CommentReference"/>
                <w:rFonts w:ascii="Tahoma" w:hAnsi="Tahoma" w:cs="Tahoma"/>
                <w:sz w:val="18"/>
                <w:szCs w:val="18"/>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Style w:val="CommentReference"/>
                <w:rFonts w:ascii="Tahoma" w:hAnsi="Tahoma" w:cs="Tahoma"/>
                <w:sz w:val="18"/>
                <w:szCs w:val="18"/>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Style w:val="CommentReference"/>
                <w:rFonts w:ascii="Tahoma" w:hAnsi="Tahoma" w:cs="Tahoma"/>
                <w:sz w:val="18"/>
                <w:szCs w:val="18"/>
              </w:rPr>
            </w:pPr>
          </w:p>
        </w:tc>
      </w:tr>
      <w:tr w:rsidR="004B4C79" w:rsidRPr="00653421" w:rsidTr="00F137D5">
        <w:trPr>
          <w:trHeight w:val="255"/>
        </w:trPr>
        <w:tc>
          <w:tcPr>
            <w:tcW w:w="2167" w:type="dxa"/>
            <w:tcBorders>
              <w:top w:val="nil"/>
              <w:left w:val="single" w:sz="4" w:space="0" w:color="auto"/>
              <w:bottom w:val="single" w:sz="4" w:space="0" w:color="auto"/>
              <w:right w:val="single" w:sz="4" w:space="0" w:color="auto"/>
            </w:tcBorders>
            <w:vAlign w:val="bottom"/>
          </w:tcPr>
          <w:p w:rsidR="004B4C79" w:rsidRPr="00653421" w:rsidRDefault="004B4C79" w:rsidP="0040728D">
            <w:pPr>
              <w:pStyle w:val="AppendixTableText"/>
              <w:jc w:val="left"/>
              <w:rPr>
                <w:rFonts w:ascii="Tahoma" w:hAnsi="Tahoma" w:cs="Tahoma"/>
              </w:rPr>
            </w:pPr>
            <w:r w:rsidRPr="00653421">
              <w:rPr>
                <w:rFonts w:ascii="Tahoma" w:hAnsi="Tahoma" w:cs="Tahoma"/>
              </w:rPr>
              <w:t>Windows 8 Enterprise</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08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4B4C79" w:rsidRPr="00653421" w:rsidTr="00F137D5">
        <w:trPr>
          <w:trHeight w:val="255"/>
        </w:trPr>
        <w:tc>
          <w:tcPr>
            <w:tcW w:w="2167" w:type="dxa"/>
            <w:tcBorders>
              <w:top w:val="nil"/>
              <w:left w:val="single" w:sz="4" w:space="0" w:color="auto"/>
              <w:bottom w:val="single" w:sz="4" w:space="0" w:color="auto"/>
              <w:right w:val="single" w:sz="4" w:space="0" w:color="auto"/>
            </w:tcBorders>
            <w:vAlign w:val="bottom"/>
          </w:tcPr>
          <w:p w:rsidR="004B4C79" w:rsidRPr="00653421" w:rsidRDefault="004B4C79">
            <w:pPr>
              <w:pStyle w:val="AppendixTableText"/>
              <w:jc w:val="left"/>
              <w:rPr>
                <w:rFonts w:ascii="Tahoma" w:hAnsi="Tahoma" w:cs="Tahoma"/>
              </w:rPr>
            </w:pPr>
            <w:r w:rsidRPr="00653421">
              <w:rPr>
                <w:rFonts w:ascii="Tahoma" w:hAnsi="Tahoma" w:cs="Tahoma"/>
              </w:rPr>
              <w:t>Cupons de Treinamento</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4B4C79" w:rsidRPr="00653421" w:rsidTr="00F137D5">
        <w:trPr>
          <w:trHeight w:val="255"/>
        </w:trPr>
        <w:tc>
          <w:tcPr>
            <w:tcW w:w="2167" w:type="dxa"/>
            <w:tcBorders>
              <w:top w:val="nil"/>
              <w:left w:val="single" w:sz="4" w:space="0" w:color="auto"/>
              <w:bottom w:val="single" w:sz="4" w:space="0" w:color="auto"/>
              <w:right w:val="single" w:sz="4" w:space="0" w:color="auto"/>
            </w:tcBorders>
            <w:vAlign w:val="bottom"/>
          </w:tcPr>
          <w:p w:rsidR="004B4C79" w:rsidRPr="00653421" w:rsidRDefault="004B4C79">
            <w:pPr>
              <w:pStyle w:val="AppendixTableText"/>
              <w:jc w:val="left"/>
              <w:rPr>
                <w:rFonts w:ascii="Tahoma" w:hAnsi="Tahoma" w:cs="Tahoma"/>
              </w:rPr>
            </w:pPr>
            <w:r w:rsidRPr="00653421">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08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r>
      <w:tr w:rsidR="004B4C79" w:rsidRPr="00653421" w:rsidTr="00F137D5">
        <w:trPr>
          <w:trHeight w:val="255"/>
        </w:trPr>
        <w:tc>
          <w:tcPr>
            <w:tcW w:w="2167" w:type="dxa"/>
            <w:tcBorders>
              <w:top w:val="nil"/>
              <w:left w:val="single" w:sz="4" w:space="0" w:color="auto"/>
              <w:bottom w:val="single" w:sz="4" w:space="0" w:color="auto"/>
              <w:right w:val="single" w:sz="4" w:space="0" w:color="auto"/>
            </w:tcBorders>
            <w:vAlign w:val="bottom"/>
          </w:tcPr>
          <w:p w:rsidR="004B4C79" w:rsidRPr="00653421" w:rsidRDefault="004B4C79">
            <w:pPr>
              <w:pStyle w:val="AppendixTableText"/>
              <w:jc w:val="left"/>
              <w:rPr>
                <w:rFonts w:ascii="Tahoma" w:hAnsi="Tahoma" w:cs="Tahoma"/>
              </w:rPr>
            </w:pPr>
            <w:r w:rsidRPr="00653421">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4B4C79" w:rsidRPr="00653421" w:rsidTr="00F137D5">
        <w:trPr>
          <w:trHeight w:val="255"/>
        </w:trPr>
        <w:tc>
          <w:tcPr>
            <w:tcW w:w="2167" w:type="dxa"/>
            <w:tcBorders>
              <w:top w:val="nil"/>
              <w:left w:val="single" w:sz="4" w:space="0" w:color="auto"/>
              <w:bottom w:val="single" w:sz="4" w:space="0" w:color="auto"/>
              <w:right w:val="single" w:sz="4" w:space="0" w:color="auto"/>
            </w:tcBorders>
            <w:vAlign w:val="bottom"/>
          </w:tcPr>
          <w:p w:rsidR="004B4C79" w:rsidRPr="00653421" w:rsidRDefault="004B4C79">
            <w:pPr>
              <w:pStyle w:val="AppendixTableText"/>
              <w:jc w:val="left"/>
              <w:rPr>
                <w:rFonts w:ascii="Tahoma" w:hAnsi="Tahoma" w:cs="Tahoma"/>
              </w:rPr>
            </w:pPr>
            <w:r w:rsidRPr="00653421">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4B4C79"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34B50" w:rsidRDefault="004B4C79">
            <w:pPr>
              <w:pStyle w:val="AppendixTableText"/>
              <w:jc w:val="left"/>
              <w:rPr>
                <w:rFonts w:ascii="Tahoma" w:hAnsi="Tahoma" w:cs="Tahoma"/>
                <w:lang w:val="pt-BR"/>
              </w:rPr>
            </w:pPr>
            <w:r w:rsidRPr="00734B50">
              <w:rPr>
                <w:rFonts w:ascii="Tahoma" w:hAnsi="Tahoma" w:cs="Tahoma"/>
                <w:lang w:val="pt-BR"/>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Style w:val="CommentReference"/>
                <w:rFonts w:ascii="Tahoma" w:hAnsi="Tahoma" w:cs="Tahoma"/>
                <w:sz w:val="18"/>
                <w:szCs w:val="18"/>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620185" w:rsidRPr="00653421" w:rsidTr="00F137D5">
        <w:trPr>
          <w:trHeight w:val="255"/>
        </w:trPr>
        <w:tc>
          <w:tcPr>
            <w:tcW w:w="2167" w:type="dxa"/>
            <w:tcBorders>
              <w:top w:val="nil"/>
              <w:left w:val="single" w:sz="4" w:space="0" w:color="auto"/>
              <w:bottom w:val="single" w:sz="4" w:space="0" w:color="auto"/>
              <w:right w:val="single" w:sz="4" w:space="0" w:color="auto"/>
            </w:tcBorders>
            <w:vAlign w:val="bottom"/>
          </w:tcPr>
          <w:p w:rsidR="00620185" w:rsidRPr="00653421" w:rsidRDefault="00620185">
            <w:pPr>
              <w:pStyle w:val="AppendixTableText"/>
              <w:jc w:val="left"/>
              <w:rPr>
                <w:rFonts w:ascii="Tahoma" w:hAnsi="Tahoma" w:cs="Tahoma"/>
              </w:rPr>
            </w:pPr>
            <w:r w:rsidRPr="00653421">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653421"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653421"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653421" w:rsidRDefault="00620185"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620185" w:rsidRPr="00653421" w:rsidRDefault="00620185"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620185" w:rsidRPr="00653421" w:rsidRDefault="00620185" w:rsidP="00E06FE8">
            <w:pPr>
              <w:pStyle w:val="AppendixTableText"/>
              <w:rPr>
                <w:rFonts w:ascii="Tahoma" w:hAnsi="Tahoma" w:cs="Tahoma"/>
              </w:rPr>
            </w:pPr>
          </w:p>
        </w:tc>
      </w:tr>
      <w:tr w:rsidR="00E06FE8" w:rsidRPr="00653421" w:rsidTr="00F137D5">
        <w:trPr>
          <w:trHeight w:val="255"/>
        </w:trPr>
        <w:tc>
          <w:tcPr>
            <w:tcW w:w="2167" w:type="dxa"/>
            <w:tcBorders>
              <w:top w:val="nil"/>
              <w:left w:val="single" w:sz="4" w:space="0" w:color="auto"/>
              <w:bottom w:val="single" w:sz="4" w:space="0" w:color="auto"/>
              <w:right w:val="single" w:sz="4" w:space="0" w:color="auto"/>
            </w:tcBorders>
            <w:vAlign w:val="bottom"/>
          </w:tcPr>
          <w:p w:rsidR="00E06FE8" w:rsidRPr="00653421" w:rsidRDefault="00E06FE8">
            <w:pPr>
              <w:pStyle w:val="AppendixTableText"/>
              <w:jc w:val="left"/>
              <w:rPr>
                <w:rFonts w:ascii="Tahoma" w:hAnsi="Tahoma" w:cs="Tahoma"/>
              </w:rPr>
            </w:pPr>
            <w:r w:rsidRPr="00653421">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653421"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653421"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653421" w:rsidRDefault="00E06FE8"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E06FE8" w:rsidRPr="00653421" w:rsidRDefault="00E06FE8"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E06FE8" w:rsidRPr="00653421" w:rsidRDefault="00E06FE8" w:rsidP="00E06FE8">
            <w:pPr>
              <w:pStyle w:val="AppendixTableText"/>
              <w:rPr>
                <w:rFonts w:ascii="Tahoma" w:hAnsi="Tahoma" w:cs="Tahoma"/>
              </w:rPr>
            </w:pPr>
          </w:p>
        </w:tc>
      </w:tr>
      <w:tr w:rsidR="004B4C79" w:rsidRPr="00653421" w:rsidTr="00F137D5">
        <w:trPr>
          <w:trHeight w:val="255"/>
        </w:trPr>
        <w:tc>
          <w:tcPr>
            <w:tcW w:w="2167" w:type="dxa"/>
            <w:tcBorders>
              <w:top w:val="nil"/>
              <w:left w:val="single" w:sz="4" w:space="0" w:color="auto"/>
              <w:bottom w:val="single" w:sz="4" w:space="0" w:color="auto"/>
              <w:right w:val="single" w:sz="4" w:space="0" w:color="auto"/>
            </w:tcBorders>
            <w:vAlign w:val="bottom"/>
          </w:tcPr>
          <w:p w:rsidR="004B4C79" w:rsidRPr="00734B50" w:rsidRDefault="004B4C79">
            <w:pPr>
              <w:pStyle w:val="AppendixTableText"/>
              <w:jc w:val="left"/>
              <w:rPr>
                <w:rFonts w:ascii="Tahoma" w:hAnsi="Tahoma" w:cs="Tahoma"/>
                <w:lang w:val="pt-BR"/>
              </w:rPr>
            </w:pPr>
            <w:r w:rsidRPr="00734B50">
              <w:rPr>
                <w:rFonts w:ascii="Tahoma" w:hAnsi="Tahoma" w:cs="Tahoma"/>
                <w:lang w:val="pt-BR"/>
              </w:rPr>
              <w:t>Backup Passivo para Recuperação de Desastres</w:t>
            </w:r>
          </w:p>
        </w:tc>
        <w:tc>
          <w:tcPr>
            <w:tcW w:w="1530" w:type="dxa"/>
            <w:tcBorders>
              <w:top w:val="nil"/>
              <w:left w:val="nil"/>
              <w:bottom w:val="single" w:sz="4" w:space="0" w:color="auto"/>
              <w:right w:val="single" w:sz="4" w:space="0" w:color="auto"/>
            </w:tcBorders>
            <w:vAlign w:val="center"/>
          </w:tcPr>
          <w:p w:rsidR="004B4C79" w:rsidRPr="00734B50"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rsidR="004B4C79" w:rsidRPr="00734B50"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4B4C79" w:rsidRPr="00653421" w:rsidTr="00F137D5">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734B50" w:rsidRDefault="004B4C79">
            <w:pPr>
              <w:pStyle w:val="AppendixTableText"/>
              <w:jc w:val="left"/>
              <w:rPr>
                <w:rFonts w:ascii="Tahoma" w:hAnsi="Tahoma" w:cs="Tahoma"/>
                <w:lang w:val="pt-BR"/>
              </w:rPr>
            </w:pPr>
            <w:r w:rsidRPr="00734B50">
              <w:rPr>
                <w:rFonts w:ascii="Tahoma" w:hAnsi="Tahoma" w:cs="Tahoma"/>
                <w:lang w:val="pt-BR"/>
              </w:rPr>
              <w:t>Serviços de Assinatura do TechNet SA</w:t>
            </w:r>
          </w:p>
        </w:tc>
        <w:tc>
          <w:tcPr>
            <w:tcW w:w="1530" w:type="dxa"/>
            <w:tcBorders>
              <w:top w:val="single" w:sz="4" w:space="0" w:color="auto"/>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080" w:type="dxa"/>
            <w:tcBorders>
              <w:top w:val="single" w:sz="4" w:space="0" w:color="auto"/>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4B4C79" w:rsidRPr="00653421" w:rsidTr="00F137D5">
        <w:trPr>
          <w:trHeight w:val="255"/>
        </w:trPr>
        <w:tc>
          <w:tcPr>
            <w:tcW w:w="2167" w:type="dxa"/>
            <w:tcBorders>
              <w:top w:val="nil"/>
              <w:left w:val="single" w:sz="4" w:space="0" w:color="auto"/>
              <w:bottom w:val="single" w:sz="4" w:space="0" w:color="auto"/>
              <w:right w:val="single" w:sz="4" w:space="0" w:color="auto"/>
            </w:tcBorders>
            <w:vAlign w:val="bottom"/>
          </w:tcPr>
          <w:p w:rsidR="004B4C79" w:rsidRPr="00653421" w:rsidRDefault="004B4C79">
            <w:pPr>
              <w:pStyle w:val="AppendixTableText"/>
              <w:jc w:val="left"/>
              <w:rPr>
                <w:rFonts w:ascii="Tahoma" w:hAnsi="Tahoma" w:cs="Tahoma"/>
              </w:rPr>
            </w:pPr>
            <w:r w:rsidRPr="00653421">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4B4C79" w:rsidRPr="00653421" w:rsidTr="00F137D5">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53421" w:rsidRDefault="004B4C79" w:rsidP="005F52C6">
            <w:pPr>
              <w:pStyle w:val="AppendixTableText"/>
              <w:jc w:val="left"/>
              <w:rPr>
                <w:rFonts w:ascii="Tahoma" w:hAnsi="Tahoma" w:cs="Tahoma"/>
              </w:rPr>
            </w:pPr>
            <w:r w:rsidRPr="00653421">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4B4C79"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53421" w:rsidRDefault="004B4C79">
            <w:pPr>
              <w:pStyle w:val="AppendixTableText"/>
              <w:jc w:val="left"/>
              <w:rPr>
                <w:rFonts w:ascii="Tahoma" w:hAnsi="Tahoma" w:cs="Tahoma"/>
              </w:rPr>
            </w:pPr>
            <w:r w:rsidRPr="00653421">
              <w:rPr>
                <w:rFonts w:ascii="Tahoma" w:hAnsi="Tahoma" w:cs="Tahoma"/>
              </w:rPr>
              <w:t>Suporte Estendido a Hotfix</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Style w:val="CommentReference"/>
                <w:rFonts w:ascii="Tahoma" w:hAnsi="Tahoma" w:cs="Tahoma"/>
                <w:sz w:val="18"/>
                <w:szCs w:val="18"/>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4B4C79"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53421" w:rsidRDefault="004B4C79">
            <w:pPr>
              <w:pStyle w:val="AppendixTableText"/>
              <w:jc w:val="left"/>
              <w:rPr>
                <w:rFonts w:ascii="Tahoma" w:hAnsi="Tahoma" w:cs="Tahoma"/>
                <w:color w:val="000000"/>
              </w:rPr>
            </w:pPr>
            <w:r w:rsidRPr="00653421">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spacing w:after="120"/>
              <w:rPr>
                <w:rFonts w:ascii="Tahoma" w:hAnsi="Tahoma" w:cs="Tahoma"/>
                <w:color w:val="000000"/>
              </w:rPr>
            </w:pPr>
            <w:r w:rsidRPr="00653421">
              <w:rPr>
                <w:rFonts w:ascii="Tahoma" w:hAnsi="Tahoma" w:cs="Tahoma"/>
                <w:color w:val="000000"/>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spacing w:before="120"/>
              <w:rPr>
                <w:rFonts w:ascii="Tahoma" w:hAnsi="Tahoma" w:cs="Tahoma"/>
                <w:color w:val="000000"/>
              </w:rPr>
            </w:pPr>
            <w:r w:rsidRPr="00653421">
              <w:rPr>
                <w:rFonts w:ascii="Tahoma" w:hAnsi="Tahoma" w:cs="Tahoma"/>
                <w:color w:val="000000"/>
              </w:rPr>
              <w:t>Sim</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spacing w:before="120"/>
              <w:rPr>
                <w:rFonts w:ascii="Tahoma" w:hAnsi="Tahoma" w:cs="Tahoma"/>
                <w:color w:val="000000"/>
              </w:rPr>
            </w:pPr>
          </w:p>
        </w:tc>
      </w:tr>
      <w:tr w:rsidR="004B4C79"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34B50" w:rsidRDefault="00E7419A" w:rsidP="00E7419A">
            <w:pPr>
              <w:pStyle w:val="AppendixTableText"/>
              <w:jc w:val="left"/>
              <w:rPr>
                <w:rFonts w:ascii="Tahoma" w:hAnsi="Tahoma" w:cs="Tahoma"/>
                <w:color w:val="000000"/>
                <w:lang w:val="pt-BR"/>
              </w:rPr>
            </w:pPr>
            <w:r w:rsidRPr="00734B50">
              <w:rPr>
                <w:rFonts w:ascii="Tahoma" w:hAnsi="Tahoma" w:cs="Tahoma"/>
                <w:color w:val="000000"/>
                <w:lang w:val="pt-BR"/>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34B50" w:rsidRDefault="004B4C79" w:rsidP="00E06FE8">
            <w:pPr>
              <w:pStyle w:val="AppendixTableText"/>
              <w:rPr>
                <w:rFonts w:ascii="Tahoma" w:hAnsi="Tahoma" w:cs="Tahoma"/>
                <w:color w:val="000000"/>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spacing w:after="120"/>
              <w:rPr>
                <w:rFonts w:ascii="Tahoma" w:hAnsi="Tahoma" w:cs="Tahoma"/>
                <w:color w:val="000000"/>
              </w:rPr>
            </w:pPr>
            <w:r w:rsidRPr="00653421">
              <w:rPr>
                <w:rFonts w:ascii="Tahoma" w:hAnsi="Tahoma" w:cs="Tahoma"/>
                <w:color w:val="000000"/>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spacing w:before="120"/>
              <w:rPr>
                <w:rFonts w:ascii="Tahoma" w:hAnsi="Tahoma" w:cs="Tahoma"/>
                <w:color w:val="000000"/>
              </w:rPr>
            </w:pPr>
            <w:r w:rsidRPr="00653421">
              <w:rPr>
                <w:rFonts w:ascii="Tahoma" w:hAnsi="Tahoma" w:cs="Tahoma"/>
                <w:color w:val="000000"/>
              </w:rPr>
              <w:t>Sim</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spacing w:before="120"/>
              <w:rPr>
                <w:rFonts w:ascii="Tahoma" w:hAnsi="Tahoma" w:cs="Tahoma"/>
                <w:color w:val="000000"/>
              </w:rPr>
            </w:pPr>
          </w:p>
        </w:tc>
      </w:tr>
      <w:tr w:rsidR="004B4C79"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53421" w:rsidRDefault="004B4C79">
            <w:pPr>
              <w:pStyle w:val="AppendixTableText"/>
              <w:jc w:val="left"/>
              <w:rPr>
                <w:rFonts w:ascii="Tahoma" w:hAnsi="Tahoma" w:cs="Tahoma"/>
                <w:color w:val="000000"/>
              </w:rPr>
            </w:pPr>
            <w:r w:rsidRPr="00653421">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spacing w:after="120"/>
              <w:rPr>
                <w:rFonts w:ascii="Tahoma" w:hAnsi="Tahoma" w:cs="Tahoma"/>
                <w:color w:val="000000"/>
              </w:rPr>
            </w:pPr>
            <w:r w:rsidRPr="00653421">
              <w:rPr>
                <w:rFonts w:ascii="Tahoma" w:hAnsi="Tahoma" w:cs="Tahoma"/>
                <w:color w:val="000000"/>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spacing w:before="120"/>
              <w:rPr>
                <w:rFonts w:ascii="Tahoma" w:hAnsi="Tahoma" w:cs="Tahoma"/>
                <w:color w:val="000000"/>
              </w:rPr>
            </w:pPr>
            <w:r w:rsidRPr="00653421">
              <w:rPr>
                <w:rFonts w:ascii="Tahoma" w:hAnsi="Tahoma" w:cs="Tahoma"/>
                <w:color w:val="000000"/>
              </w:rPr>
              <w:t>Sim</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spacing w:before="120"/>
              <w:rPr>
                <w:rFonts w:ascii="Tahoma" w:hAnsi="Tahoma" w:cs="Tahoma"/>
                <w:color w:val="000000"/>
              </w:rPr>
            </w:pPr>
          </w:p>
        </w:tc>
      </w:tr>
      <w:tr w:rsidR="004B4C79"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53421" w:rsidRDefault="004B4C79">
            <w:pPr>
              <w:pStyle w:val="AppendixTableText"/>
              <w:jc w:val="left"/>
              <w:rPr>
                <w:rFonts w:ascii="Tahoma" w:hAnsi="Tahoma" w:cs="Tahoma"/>
              </w:rPr>
            </w:pPr>
            <w:r w:rsidRPr="00653421">
              <w:rPr>
                <w:rFonts w:ascii="Tahoma" w:hAnsi="Tahoma" w:cs="Tahoma"/>
              </w:rPr>
              <w:t>Licença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653421" w:rsidRDefault="004B4C79" w:rsidP="00E06FE8">
            <w:pPr>
              <w:pStyle w:val="AppendixTableText"/>
              <w:rPr>
                <w:rFonts w:ascii="Tahoma" w:hAnsi="Tahoma" w:cs="Tahoma"/>
              </w:rPr>
            </w:pPr>
          </w:p>
        </w:tc>
      </w:tr>
      <w:tr w:rsidR="00870095"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653421" w:rsidRDefault="00870095">
            <w:pPr>
              <w:pStyle w:val="AppendixTableText"/>
              <w:jc w:val="left"/>
              <w:rPr>
                <w:rFonts w:ascii="Tahoma" w:hAnsi="Tahoma" w:cs="Tahoma"/>
              </w:rPr>
            </w:pPr>
            <w:r w:rsidRPr="00653421">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653421"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653421" w:rsidRDefault="00870095"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653421"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653421" w:rsidRDefault="00175615" w:rsidP="00E06FE8">
            <w:pPr>
              <w:pStyle w:val="AppendixTableText"/>
              <w:rPr>
                <w:rFonts w:ascii="Tahoma" w:hAnsi="Tahoma" w:cs="Tahoma"/>
              </w:rPr>
            </w:pPr>
            <w:r w:rsidRPr="00653421">
              <w:rPr>
                <w:rFonts w:ascii="Tahoma" w:hAnsi="Tahoma" w:cs="Tahoma"/>
              </w:rPr>
              <w:t>Sim</w:t>
            </w:r>
          </w:p>
        </w:tc>
        <w:tc>
          <w:tcPr>
            <w:tcW w:w="1080" w:type="dxa"/>
            <w:tcBorders>
              <w:top w:val="single" w:sz="6" w:space="0" w:color="auto"/>
              <w:left w:val="single" w:sz="6" w:space="0" w:color="auto"/>
              <w:bottom w:val="single" w:sz="6" w:space="0" w:color="auto"/>
              <w:right w:val="single" w:sz="4" w:space="0" w:color="auto"/>
            </w:tcBorders>
            <w:vAlign w:val="center"/>
          </w:tcPr>
          <w:p w:rsidR="00870095" w:rsidRPr="00653421" w:rsidRDefault="00870095" w:rsidP="00E06FE8">
            <w:pPr>
              <w:pStyle w:val="AppendixTableText"/>
              <w:rPr>
                <w:rFonts w:ascii="Tahoma" w:hAnsi="Tahoma" w:cs="Tahoma"/>
              </w:rPr>
            </w:pPr>
          </w:p>
        </w:tc>
      </w:tr>
      <w:tr w:rsidR="00175615" w:rsidRPr="00653421" w:rsidTr="00F137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734B50" w:rsidRDefault="00175615">
            <w:pPr>
              <w:pStyle w:val="AppendixTableText"/>
              <w:jc w:val="left"/>
              <w:rPr>
                <w:rFonts w:ascii="Tahoma" w:hAnsi="Tahoma" w:cs="Tahoma"/>
                <w:lang w:val="pt-BR"/>
              </w:rPr>
            </w:pPr>
            <w:r w:rsidRPr="00734B50">
              <w:rPr>
                <w:rFonts w:ascii="Tahoma" w:hAnsi="Tahoma" w:cs="Tahoma"/>
                <w:lang w:val="pt-BR"/>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734B50" w:rsidRDefault="00175615" w:rsidP="00E06FE8">
            <w:pPr>
              <w:pStyle w:val="AppendixTableText"/>
              <w:rPr>
                <w:rFonts w:ascii="Tahoma" w:hAnsi="Tahoma" w:cs="Tahoma"/>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653421" w:rsidRDefault="00175615" w:rsidP="00E06FE8">
            <w:pPr>
              <w:pStyle w:val="AppendixTableText"/>
              <w:rPr>
                <w:rFonts w:ascii="Tahoma" w:hAnsi="Tahoma" w:cs="Tahoma"/>
              </w:rPr>
            </w:pPr>
            <w:r w:rsidRPr="00653421">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653421"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653421" w:rsidRDefault="00175615" w:rsidP="00E06FE8">
            <w:pPr>
              <w:pStyle w:val="AppendixTableText"/>
              <w:rPr>
                <w:rFonts w:ascii="Tahoma" w:hAnsi="Tahoma" w:cs="Tahoma"/>
              </w:rPr>
            </w:pPr>
            <w:r w:rsidRPr="00653421">
              <w:rPr>
                <w:rFonts w:ascii="Tahoma" w:hAnsi="Tahoma" w:cs="Tahoma"/>
              </w:rPr>
              <w:t>Sim</w:t>
            </w:r>
          </w:p>
        </w:tc>
        <w:tc>
          <w:tcPr>
            <w:tcW w:w="1080" w:type="dxa"/>
            <w:tcBorders>
              <w:top w:val="single" w:sz="6" w:space="0" w:color="auto"/>
              <w:left w:val="single" w:sz="6" w:space="0" w:color="auto"/>
              <w:bottom w:val="single" w:sz="6" w:space="0" w:color="auto"/>
              <w:right w:val="single" w:sz="4" w:space="0" w:color="auto"/>
            </w:tcBorders>
            <w:vAlign w:val="center"/>
          </w:tcPr>
          <w:p w:rsidR="00175615" w:rsidRPr="00653421" w:rsidRDefault="00175615" w:rsidP="00E06FE8">
            <w:pPr>
              <w:pStyle w:val="AppendixTableText"/>
              <w:rPr>
                <w:rFonts w:ascii="Tahoma" w:hAnsi="Tahoma" w:cs="Tahoma"/>
              </w:rPr>
            </w:pPr>
          </w:p>
        </w:tc>
      </w:tr>
    </w:tbl>
    <w:p w:rsidR="00023FE7" w:rsidRPr="00734B50" w:rsidRDefault="00023FE7">
      <w:pPr>
        <w:pStyle w:val="AppendixBodyText"/>
        <w:ind w:right="180"/>
        <w:rPr>
          <w:lang w:val="pt-BR"/>
        </w:rPr>
      </w:pPr>
      <w:r w:rsidRPr="00734B50">
        <w:rPr>
          <w:rFonts w:ascii="Tahoma" w:hAnsi="Tahoma" w:cs="Tahoma"/>
          <w:i/>
          <w:sz w:val="16"/>
          <w:szCs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rsidR="00023FE7" w:rsidRPr="00734B50" w:rsidRDefault="00023FE7">
      <w:pPr>
        <w:pStyle w:val="AppendixBodyText"/>
        <w:ind w:right="180"/>
        <w:rPr>
          <w:lang w:val="pt-BR"/>
        </w:rPr>
      </w:pPr>
      <w:r w:rsidRPr="00734B50">
        <w:rPr>
          <w:rFonts w:ascii="Tahoma" w:hAnsi="Tahoma" w:cs="Tahoma"/>
          <w:i/>
          <w:sz w:val="16"/>
          <w:szCs w:val="16"/>
          <w:lang w:val="pt-BR"/>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rsidR="00023FE7" w:rsidRPr="00734B50" w:rsidRDefault="00302B84" w:rsidP="0063466C">
      <w:pPr>
        <w:pStyle w:val="AppendixBodyText"/>
        <w:spacing w:after="0"/>
        <w:rPr>
          <w:lang w:val="pt-BR"/>
        </w:rPr>
      </w:pPr>
      <w:r w:rsidRPr="00734B50">
        <w:rPr>
          <w:rFonts w:ascii="Tahoma" w:hAnsi="Tahoma" w:cs="Tahoma"/>
          <w:i/>
          <w:sz w:val="16"/>
          <w:lang w:val="pt-BR"/>
        </w:rPr>
        <w:t>***Geralmente, as ofertas de assinatura que abrangem componentes de software compostos de software adaptado incluirão direitos da nova versão para esses componentes.</w:t>
      </w:r>
    </w:p>
    <w:p w:rsidR="00F76ED4" w:rsidRPr="00734B50" w:rsidRDefault="00F76ED4">
      <w:pPr>
        <w:rPr>
          <w:lang w:val="pt-BR"/>
        </w:rPr>
      </w:pPr>
      <w:r w:rsidRPr="00734B50">
        <w:rPr>
          <w:rFonts w:cs="Tahoma"/>
          <w:lang w:val="pt-BR"/>
        </w:rPr>
        <w:br w:type="page"/>
      </w:r>
    </w:p>
    <w:p w:rsidR="00302B84" w:rsidRPr="00734B50" w:rsidRDefault="00302B84" w:rsidP="0063466C">
      <w:pPr>
        <w:pStyle w:val="AppendixBodyText"/>
        <w:spacing w:after="0"/>
        <w:rPr>
          <w:lang w:val="pt-B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04628" w:rsidTr="0044720D">
        <w:trPr>
          <w:trHeight w:val="60"/>
        </w:trPr>
        <w:tc>
          <w:tcPr>
            <w:tcW w:w="8280" w:type="dxa"/>
            <w:shd w:val="clear" w:color="auto" w:fill="FFCC99"/>
            <w:vAlign w:val="center"/>
          </w:tcPr>
          <w:p w:rsidR="00AD6AD6" w:rsidRPr="00734B50" w:rsidRDefault="00AD6AD6" w:rsidP="004B54F7">
            <w:pPr>
              <w:pStyle w:val="AppendixTableHeadings"/>
              <w:rPr>
                <w:rFonts w:ascii="Tahoma" w:hAnsi="Tahoma" w:cs="Tahoma"/>
                <w:sz w:val="20"/>
                <w:szCs w:val="20"/>
                <w:lang w:val="pt-BR"/>
              </w:rPr>
            </w:pPr>
            <w:r w:rsidRPr="00734B50">
              <w:rPr>
                <w:rFonts w:ascii="Tahoma" w:hAnsi="Tahoma" w:cs="Tahoma"/>
                <w:sz w:val="20"/>
                <w:szCs w:val="20"/>
                <w:lang w:val="pt-BR"/>
              </w:rPr>
              <w:t>Produtos do Pool de Aplicativos do Office System</w:t>
            </w:r>
          </w:p>
        </w:tc>
      </w:tr>
      <w:tr w:rsidR="00AD6AD6" w:rsidRPr="00653421" w:rsidTr="0044720D">
        <w:trPr>
          <w:trHeight w:val="438"/>
        </w:trPr>
        <w:tc>
          <w:tcPr>
            <w:tcW w:w="8280" w:type="dxa"/>
            <w:vAlign w:val="center"/>
          </w:tcPr>
          <w:p w:rsidR="00AD6AD6" w:rsidRPr="00653421" w:rsidRDefault="00AD6AD6" w:rsidP="004B54F7">
            <w:pPr>
              <w:spacing w:line="240" w:lineRule="atLeast"/>
            </w:pPr>
            <w:r w:rsidRPr="00653421">
              <w:rPr>
                <w:rFonts w:cs="Tahoma"/>
                <w:color w:val="000000"/>
                <w:szCs w:val="18"/>
              </w:rPr>
              <w:t>Office Standard 2013</w:t>
            </w:r>
          </w:p>
          <w:p w:rsidR="00AD6AD6" w:rsidRPr="00653421" w:rsidRDefault="00AD6AD6" w:rsidP="004B54F7">
            <w:pPr>
              <w:spacing w:line="240" w:lineRule="atLeast"/>
            </w:pPr>
            <w:r w:rsidRPr="00653421">
              <w:rPr>
                <w:rFonts w:cs="Tahoma"/>
                <w:color w:val="000000"/>
                <w:szCs w:val="18"/>
              </w:rPr>
              <w:t>Office Professional Plus 2013</w:t>
            </w:r>
          </w:p>
          <w:p w:rsidR="00AD6AD6" w:rsidRPr="00653421" w:rsidRDefault="00AD6AD6" w:rsidP="004B54F7">
            <w:pPr>
              <w:spacing w:line="240" w:lineRule="atLeast"/>
            </w:pPr>
            <w:r w:rsidRPr="00653421">
              <w:rPr>
                <w:rFonts w:cs="Tahoma"/>
                <w:color w:val="000000"/>
                <w:szCs w:val="18"/>
              </w:rPr>
              <w:t>Project Standard 2013</w:t>
            </w:r>
          </w:p>
          <w:p w:rsidR="00AD6AD6" w:rsidRPr="00653421" w:rsidRDefault="00AD6AD6" w:rsidP="004B54F7">
            <w:pPr>
              <w:spacing w:line="240" w:lineRule="atLeast"/>
            </w:pPr>
            <w:r w:rsidRPr="00653421">
              <w:rPr>
                <w:rFonts w:cs="Tahoma"/>
                <w:color w:val="000000"/>
                <w:szCs w:val="18"/>
              </w:rPr>
              <w:t>Project Professional 2013</w:t>
            </w:r>
          </w:p>
          <w:p w:rsidR="00AD6AD6" w:rsidRPr="00653421" w:rsidRDefault="00AD6AD6" w:rsidP="004B54F7">
            <w:pPr>
              <w:spacing w:line="240" w:lineRule="atLeast"/>
            </w:pPr>
            <w:r w:rsidRPr="00653421">
              <w:rPr>
                <w:rFonts w:cs="Tahoma"/>
                <w:color w:val="000000"/>
                <w:szCs w:val="18"/>
              </w:rPr>
              <w:t>Visio</w:t>
            </w:r>
            <w:r w:rsidRPr="00653421">
              <w:rPr>
                <w:rFonts w:cs="Tahoma"/>
                <w:color w:val="000000"/>
                <w:szCs w:val="18"/>
                <w:vertAlign w:val="superscript"/>
              </w:rPr>
              <w:t>®</w:t>
            </w:r>
            <w:r w:rsidRPr="00653421">
              <w:rPr>
                <w:rFonts w:cs="Tahoma"/>
                <w:color w:val="000000"/>
                <w:szCs w:val="18"/>
              </w:rPr>
              <w:t xml:space="preserve"> Standard 2013</w:t>
            </w:r>
          </w:p>
          <w:p w:rsidR="00AD6AD6" w:rsidRPr="00653421" w:rsidRDefault="00AD6AD6" w:rsidP="004B54F7">
            <w:pPr>
              <w:spacing w:line="240" w:lineRule="atLeast"/>
            </w:pPr>
            <w:r w:rsidRPr="00653421">
              <w:rPr>
                <w:rFonts w:cs="Tahoma"/>
                <w:color w:val="000000"/>
                <w:szCs w:val="18"/>
              </w:rPr>
              <w:t>Visio</w:t>
            </w:r>
            <w:r w:rsidRPr="00653421">
              <w:rPr>
                <w:rFonts w:cs="Tahoma"/>
                <w:color w:val="000000"/>
                <w:szCs w:val="18"/>
                <w:vertAlign w:val="superscript"/>
              </w:rPr>
              <w:t>®</w:t>
            </w:r>
            <w:r w:rsidRPr="00653421">
              <w:rPr>
                <w:rFonts w:cs="Tahoma"/>
                <w:color w:val="000000"/>
                <w:szCs w:val="18"/>
              </w:rPr>
              <w:t xml:space="preserve"> Professional 2013</w:t>
            </w:r>
          </w:p>
          <w:p w:rsidR="00AD6AD6" w:rsidRPr="00653421" w:rsidRDefault="00AD6AD6" w:rsidP="004B54F7">
            <w:pPr>
              <w:spacing w:line="240" w:lineRule="atLeast"/>
            </w:pPr>
            <w:r w:rsidRPr="00653421">
              <w:rPr>
                <w:rFonts w:cs="Tahoma"/>
                <w:color w:val="000000"/>
                <w:szCs w:val="18"/>
              </w:rPr>
              <w:t>Access 2013</w:t>
            </w:r>
          </w:p>
          <w:p w:rsidR="00AD6AD6" w:rsidRPr="00653421" w:rsidRDefault="00AD6AD6" w:rsidP="004B54F7">
            <w:pPr>
              <w:spacing w:line="240" w:lineRule="atLeast"/>
            </w:pPr>
            <w:r w:rsidRPr="00653421">
              <w:rPr>
                <w:rFonts w:cs="Tahoma"/>
                <w:color w:val="000000"/>
                <w:szCs w:val="18"/>
              </w:rPr>
              <w:t xml:space="preserve">Excel 2013 </w:t>
            </w:r>
          </w:p>
          <w:p w:rsidR="00AD6AD6" w:rsidRPr="00653421" w:rsidRDefault="00AD6AD6" w:rsidP="004B54F7">
            <w:pPr>
              <w:spacing w:line="240" w:lineRule="atLeast"/>
            </w:pPr>
            <w:r w:rsidRPr="00653421">
              <w:rPr>
                <w:rFonts w:cs="Tahoma"/>
                <w:color w:val="000000"/>
                <w:szCs w:val="18"/>
              </w:rPr>
              <w:t>InfoPath</w:t>
            </w:r>
            <w:r w:rsidRPr="00653421">
              <w:rPr>
                <w:rFonts w:cs="Tahoma"/>
                <w:color w:val="000000"/>
                <w:szCs w:val="18"/>
                <w:vertAlign w:val="superscript"/>
              </w:rPr>
              <w:t>®</w:t>
            </w:r>
            <w:r w:rsidRPr="00653421">
              <w:rPr>
                <w:rFonts w:cs="Tahoma"/>
                <w:color w:val="000000"/>
                <w:szCs w:val="18"/>
              </w:rPr>
              <w:t xml:space="preserve"> 2013</w:t>
            </w:r>
          </w:p>
          <w:p w:rsidR="00AD6AD6" w:rsidRPr="00653421" w:rsidRDefault="00AD6AD6" w:rsidP="004B54F7">
            <w:pPr>
              <w:spacing w:line="240" w:lineRule="atLeast"/>
            </w:pPr>
            <w:r w:rsidRPr="00653421">
              <w:rPr>
                <w:rFonts w:cs="Tahoma"/>
                <w:color w:val="000000"/>
                <w:szCs w:val="18"/>
              </w:rPr>
              <w:t>Lync 2013</w:t>
            </w:r>
          </w:p>
          <w:p w:rsidR="00AD6AD6" w:rsidRPr="00653421" w:rsidRDefault="00AD6AD6" w:rsidP="004B54F7">
            <w:pPr>
              <w:spacing w:line="240" w:lineRule="atLeast"/>
            </w:pPr>
            <w:r w:rsidRPr="00653421">
              <w:rPr>
                <w:rFonts w:cs="Tahoma"/>
                <w:color w:val="000000"/>
                <w:szCs w:val="18"/>
              </w:rPr>
              <w:t>OneNote™ 2013</w:t>
            </w:r>
          </w:p>
          <w:p w:rsidR="00AD6AD6" w:rsidRPr="00653421" w:rsidRDefault="00AD6AD6" w:rsidP="004B54F7">
            <w:pPr>
              <w:spacing w:line="240" w:lineRule="atLeast"/>
            </w:pPr>
            <w:r w:rsidRPr="00653421">
              <w:rPr>
                <w:rFonts w:cs="Tahoma"/>
                <w:color w:val="000000"/>
                <w:szCs w:val="18"/>
              </w:rPr>
              <w:t>Outlook</w:t>
            </w:r>
            <w:r w:rsidRPr="00653421">
              <w:rPr>
                <w:rFonts w:cs="Tahoma"/>
                <w:color w:val="000000"/>
                <w:szCs w:val="18"/>
                <w:vertAlign w:val="superscript"/>
              </w:rPr>
              <w:t>®</w:t>
            </w:r>
            <w:r w:rsidRPr="00653421">
              <w:rPr>
                <w:rFonts w:cs="Tahoma"/>
                <w:color w:val="000000"/>
                <w:szCs w:val="18"/>
              </w:rPr>
              <w:t xml:space="preserve"> 2013</w:t>
            </w:r>
          </w:p>
          <w:p w:rsidR="00AD6AD6" w:rsidRPr="00653421" w:rsidRDefault="00AD6AD6" w:rsidP="004B54F7">
            <w:pPr>
              <w:spacing w:line="240" w:lineRule="atLeast"/>
            </w:pPr>
            <w:r w:rsidRPr="00653421">
              <w:rPr>
                <w:rFonts w:cs="Tahoma"/>
                <w:color w:val="000000"/>
                <w:szCs w:val="18"/>
              </w:rPr>
              <w:t>PowerPoint</w:t>
            </w:r>
            <w:r w:rsidRPr="00653421">
              <w:rPr>
                <w:rFonts w:cs="Tahoma"/>
                <w:color w:val="000000"/>
                <w:szCs w:val="18"/>
                <w:vertAlign w:val="superscript"/>
              </w:rPr>
              <w:t>®</w:t>
            </w:r>
            <w:r w:rsidRPr="00653421">
              <w:rPr>
                <w:rFonts w:cs="Tahoma"/>
                <w:color w:val="000000"/>
                <w:szCs w:val="18"/>
              </w:rPr>
              <w:t xml:space="preserve"> 2013</w:t>
            </w:r>
          </w:p>
          <w:p w:rsidR="00AD6AD6" w:rsidRPr="00653421" w:rsidRDefault="00AD6AD6" w:rsidP="004B54F7">
            <w:pPr>
              <w:spacing w:line="240" w:lineRule="atLeast"/>
            </w:pPr>
            <w:r w:rsidRPr="00653421">
              <w:rPr>
                <w:rFonts w:cs="Tahoma"/>
                <w:color w:val="000000"/>
                <w:szCs w:val="18"/>
              </w:rPr>
              <w:t>Publisher 2013</w:t>
            </w:r>
          </w:p>
          <w:p w:rsidR="00AD6AD6" w:rsidRPr="00653421" w:rsidRDefault="00AD6AD6" w:rsidP="004B54F7">
            <w:pPr>
              <w:spacing w:line="240" w:lineRule="atLeast"/>
            </w:pPr>
            <w:r w:rsidRPr="00653421">
              <w:rPr>
                <w:rFonts w:cs="Tahoma"/>
                <w:color w:val="000000"/>
                <w:szCs w:val="18"/>
              </w:rPr>
              <w:t>Word 2013</w:t>
            </w:r>
          </w:p>
          <w:p w:rsidR="00AD6AD6" w:rsidRPr="00653421" w:rsidRDefault="00AD6AD6" w:rsidP="004B54F7">
            <w:pPr>
              <w:spacing w:line="240" w:lineRule="atLeast"/>
            </w:pPr>
            <w:r w:rsidRPr="00653421">
              <w:rPr>
                <w:rFonts w:cs="Tahoma"/>
                <w:color w:val="000000"/>
                <w:szCs w:val="18"/>
              </w:rPr>
              <w:t xml:space="preserve">Office para Mac Standard 2011 </w:t>
            </w:r>
          </w:p>
          <w:p w:rsidR="00AD6AD6" w:rsidRPr="00734B50" w:rsidRDefault="00AD6AD6" w:rsidP="004B54F7">
            <w:pPr>
              <w:spacing w:line="240" w:lineRule="atLeast"/>
              <w:rPr>
                <w:lang w:val="pt-BR"/>
              </w:rPr>
            </w:pPr>
            <w:r w:rsidRPr="00734B50">
              <w:rPr>
                <w:rFonts w:cs="Tahoma"/>
                <w:color w:val="000000"/>
                <w:szCs w:val="18"/>
                <w:lang w:val="pt-BR"/>
              </w:rPr>
              <w:t>Lync para Mac 2011</w:t>
            </w:r>
          </w:p>
          <w:p w:rsidR="00061A45" w:rsidRPr="00734B50" w:rsidRDefault="007C4ADB" w:rsidP="004B54F7">
            <w:pPr>
              <w:spacing w:line="240" w:lineRule="atLeast"/>
              <w:rPr>
                <w:lang w:val="pt-BR"/>
              </w:rPr>
            </w:pPr>
            <w:r w:rsidRPr="00734B50">
              <w:rPr>
                <w:rFonts w:cs="Tahoma"/>
                <w:color w:val="000000"/>
                <w:szCs w:val="18"/>
                <w:lang w:val="pt-BR"/>
              </w:rPr>
              <w:t>Outlook para Mac 2011</w:t>
            </w:r>
          </w:p>
          <w:p w:rsidR="00AD6AD6" w:rsidRPr="00653421" w:rsidRDefault="00AD6AD6" w:rsidP="004B54F7">
            <w:pPr>
              <w:spacing w:line="240" w:lineRule="atLeast"/>
            </w:pPr>
            <w:r w:rsidRPr="00653421">
              <w:rPr>
                <w:rFonts w:cs="Tahoma"/>
                <w:color w:val="000000"/>
                <w:szCs w:val="18"/>
              </w:rPr>
              <w:t>PowerPoint para Mac 2011</w:t>
            </w:r>
          </w:p>
          <w:p w:rsidR="00AD6AD6" w:rsidRPr="00653421" w:rsidRDefault="00AD6AD6" w:rsidP="004B54F7">
            <w:pPr>
              <w:spacing w:line="240" w:lineRule="atLeast"/>
            </w:pPr>
            <w:r w:rsidRPr="00653421">
              <w:rPr>
                <w:rFonts w:cs="Tahoma"/>
                <w:color w:val="000000"/>
                <w:szCs w:val="18"/>
              </w:rPr>
              <w:t>Excel para Mac 2011</w:t>
            </w:r>
          </w:p>
          <w:p w:rsidR="00AD6AD6" w:rsidRPr="00653421" w:rsidRDefault="00AD6AD6" w:rsidP="004B54F7">
            <w:pPr>
              <w:spacing w:line="240" w:lineRule="atLeast"/>
              <w:rPr>
                <w:rFonts w:cs="Tahoma"/>
                <w:color w:val="000000"/>
                <w:szCs w:val="18"/>
              </w:rPr>
            </w:pPr>
            <w:r w:rsidRPr="00653421">
              <w:rPr>
                <w:rFonts w:cs="Tahoma"/>
                <w:color w:val="000000"/>
                <w:szCs w:val="18"/>
              </w:rPr>
              <w:t>Word para Mac 2011</w:t>
            </w:r>
          </w:p>
        </w:tc>
      </w:tr>
    </w:tbl>
    <w:p w:rsidR="00D8064F" w:rsidRPr="00734B50" w:rsidRDefault="00AD6AD6" w:rsidP="0044720D">
      <w:pPr>
        <w:pStyle w:val="AppendixBodyText"/>
        <w:spacing w:after="0"/>
        <w:ind w:firstLine="550"/>
        <w:rPr>
          <w:lang w:val="pt-BR"/>
        </w:rPr>
      </w:pPr>
      <w:r w:rsidRPr="00734B50">
        <w:rPr>
          <w:rFonts w:ascii="Tahoma" w:hAnsi="Tahoma" w:cs="Tahoma"/>
          <w:b/>
          <w:i/>
          <w:sz w:val="16"/>
          <w:szCs w:val="16"/>
          <w:lang w:val="pt-BR"/>
        </w:rPr>
        <w:t>Observação:</w:t>
      </w:r>
      <w:r w:rsidRPr="00734B50">
        <w:rPr>
          <w:rFonts w:ascii="Tahoma" w:hAnsi="Tahoma" w:cs="Tahoma"/>
          <w:i/>
          <w:sz w:val="16"/>
          <w:szCs w:val="16"/>
          <w:lang w:val="pt-BR"/>
        </w:rPr>
        <w:t xml:space="preserve"> a lista de produtos do Pool de Aplicativos do Office System está sujeita a alterações.</w:t>
      </w:r>
    </w:p>
    <w:p w:rsidR="00BA0707" w:rsidRPr="00734B50" w:rsidRDefault="00BA0707" w:rsidP="0063466C">
      <w:pPr>
        <w:pStyle w:val="AppendixBodyText"/>
        <w:spacing w:after="0"/>
        <w:rPr>
          <w:lang w:val="pt-BR"/>
        </w:rPr>
      </w:pPr>
    </w:p>
    <w:p w:rsidR="00023FE7" w:rsidRPr="00734B50" w:rsidRDefault="00023FE7">
      <w:pPr>
        <w:pStyle w:val="Heading2"/>
        <w:ind w:left="0"/>
        <w:rPr>
          <w:lang w:val="pt-BR"/>
        </w:rPr>
      </w:pPr>
      <w:bookmarkStart w:id="772" w:name="_Toc336338228"/>
      <w:bookmarkStart w:id="773" w:name="_Toc353470876"/>
      <w:r w:rsidRPr="00734B50">
        <w:rPr>
          <w:rFonts w:ascii="Tahoma" w:hAnsi="Tahoma"/>
          <w:lang w:val="pt-BR"/>
        </w:rPr>
        <w:t>Direitos à Nova Versão</w:t>
      </w:r>
      <w:bookmarkEnd w:id="772"/>
      <w:bookmarkEnd w:id="773"/>
    </w:p>
    <w:p w:rsidR="00023FE7" w:rsidRPr="00734B50" w:rsidRDefault="00023FE7" w:rsidP="00BA0707">
      <w:pPr>
        <w:rPr>
          <w:lang w:val="pt-BR"/>
        </w:rPr>
      </w:pPr>
    </w:p>
    <w:p w:rsidR="00023FE7" w:rsidRPr="00734B50" w:rsidRDefault="00023FE7" w:rsidP="0063466C">
      <w:pPr>
        <w:pStyle w:val="AppendixBodyText"/>
        <w:spacing w:after="0"/>
        <w:rPr>
          <w:lang w:val="pt-BR"/>
        </w:rPr>
      </w:pPr>
      <w:r w:rsidRPr="00734B50">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w:t>
      </w:r>
      <w:r w:rsidR="005A52A2" w:rsidRPr="00734B50">
        <w:rPr>
          <w:rFonts w:ascii="Tahoma" w:hAnsi="Tahoma" w:cs="Tahoma"/>
          <w:color w:val="000000"/>
          <w:sz w:val="18"/>
          <w:lang w:val="pt-BR"/>
        </w:rPr>
        <w:t xml:space="preserve"> </w:t>
      </w:r>
      <w:r w:rsidRPr="00734B50">
        <w:rPr>
          <w:rFonts w:ascii="Tahoma" w:hAnsi="Tahoma" w:cs="Tahoma"/>
          <w:color w:val="000000"/>
          <w:sz w:val="18"/>
          <w:lang w:val="pt-BR"/>
        </w:rPr>
        <w:t>“Direitos à Nova Versão” significa, para qualquer produto subjacente licenciado para o qual a cobertura do Software Assurance é solicitada, o direito de</w:t>
      </w:r>
      <w:r w:rsidR="00F137D5" w:rsidRPr="00734B50">
        <w:rPr>
          <w:rFonts w:ascii="Tahoma" w:hAnsi="Tahoma" w:cs="Tahoma"/>
          <w:color w:val="000000"/>
          <w:sz w:val="18"/>
          <w:lang w:val="pt-BR"/>
        </w:rPr>
        <w:t> </w:t>
      </w:r>
      <w:r w:rsidRPr="00734B50">
        <w:rPr>
          <w:rFonts w:ascii="Tahoma" w:hAnsi="Tahoma" w:cs="Tahoma"/>
          <w:color w:val="000000"/>
          <w:sz w:val="18"/>
          <w:lang w:val="pt-BR"/>
        </w:rPr>
        <w:t>atualizar para, e executar em lugar do produto subjacente licenciado, a versão mais recente desse produto disponibilizado durante o período da cobertura.</w:t>
      </w:r>
      <w:r w:rsidR="005A52A2" w:rsidRPr="00734B50">
        <w:rPr>
          <w:rFonts w:ascii="Tahoma" w:hAnsi="Tahoma" w:cs="Tahoma"/>
          <w:color w:val="000000"/>
          <w:sz w:val="18"/>
          <w:lang w:val="pt-BR"/>
        </w:rPr>
        <w:t xml:space="preserve"> </w:t>
      </w:r>
      <w:r w:rsidRPr="00734B50">
        <w:rPr>
          <w:rFonts w:ascii="Tahoma" w:hAnsi="Tahoma" w:cs="Tahoma"/>
          <w:color w:val="000000"/>
          <w:sz w:val="18"/>
          <w:lang w:val="pt-BR"/>
        </w:rPr>
        <w:t>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rsidR="00BA0707" w:rsidRPr="00734B50" w:rsidRDefault="00BA0707" w:rsidP="0063466C">
      <w:pPr>
        <w:pStyle w:val="AppendixBodyText"/>
        <w:spacing w:after="0"/>
        <w:rPr>
          <w:lang w:val="pt-BR"/>
        </w:rPr>
      </w:pPr>
    </w:p>
    <w:p w:rsidR="00023FE7" w:rsidRPr="00734B50" w:rsidRDefault="00023FE7">
      <w:pPr>
        <w:pStyle w:val="Heading2"/>
        <w:ind w:left="0"/>
        <w:rPr>
          <w:lang w:val="pt-BR"/>
        </w:rPr>
      </w:pPr>
      <w:bookmarkStart w:id="774" w:name="_Toc336338229"/>
      <w:bookmarkStart w:id="775" w:name="_Toc353470877"/>
      <w:r w:rsidRPr="00734B50">
        <w:rPr>
          <w:rFonts w:ascii="Tahoma" w:hAnsi="Tahoma"/>
          <w:lang w:val="pt-BR"/>
        </w:rPr>
        <w:t>Pacote Multilíngue do Office</w:t>
      </w:r>
      <w:bookmarkEnd w:id="774"/>
      <w:bookmarkEnd w:id="775"/>
    </w:p>
    <w:p w:rsidR="00023FE7" w:rsidRPr="00734B50" w:rsidRDefault="00023FE7" w:rsidP="00BA0707">
      <w:pPr>
        <w:rPr>
          <w:lang w:val="pt-BR"/>
        </w:rPr>
      </w:pPr>
    </w:p>
    <w:p w:rsidR="0063466C" w:rsidRPr="00734B50" w:rsidRDefault="00E7419A" w:rsidP="0063466C">
      <w:pPr>
        <w:spacing w:after="60"/>
        <w:jc w:val="both"/>
        <w:rPr>
          <w:lang w:val="pt-BR"/>
        </w:rPr>
      </w:pPr>
      <w:r w:rsidRPr="00734B50">
        <w:rPr>
          <w:rFonts w:cs="Tahoma"/>
          <w:b/>
          <w:szCs w:val="18"/>
          <w:lang w:val="pt-BR"/>
        </w:rPr>
        <w:t>Clientes do Software Assurance</w:t>
      </w:r>
    </w:p>
    <w:p w:rsidR="00E7419A" w:rsidRPr="00734B50" w:rsidRDefault="00E7419A" w:rsidP="00E7419A">
      <w:pPr>
        <w:jc w:val="both"/>
        <w:rPr>
          <w:lang w:val="pt-BR"/>
        </w:rPr>
      </w:pPr>
      <w:r w:rsidRPr="00734B50">
        <w:rPr>
          <w:rFonts w:cs="Tahoma"/>
          <w:szCs w:val="18"/>
          <w:lang w:val="pt-BR"/>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rsidR="0063466C" w:rsidRPr="00734B50" w:rsidRDefault="0063466C" w:rsidP="00E7419A">
      <w:pPr>
        <w:jc w:val="both"/>
        <w:rPr>
          <w:lang w:val="pt-BR"/>
        </w:rPr>
      </w:pPr>
    </w:p>
    <w:p w:rsidR="0063466C" w:rsidRPr="00734B50" w:rsidRDefault="00E7419A" w:rsidP="0063466C">
      <w:pPr>
        <w:spacing w:after="60"/>
        <w:jc w:val="both"/>
        <w:rPr>
          <w:lang w:val="pt-BR"/>
        </w:rPr>
      </w:pPr>
      <w:r w:rsidRPr="00734B50">
        <w:rPr>
          <w:rFonts w:cs="Tahoma"/>
          <w:b/>
          <w:szCs w:val="18"/>
          <w:lang w:val="pt-BR"/>
        </w:rPr>
        <w:t>Clientes qualificados para os Benefícios de Serviços Online</w:t>
      </w:r>
    </w:p>
    <w:p w:rsidR="00E7419A" w:rsidRPr="00734B50" w:rsidRDefault="00E7419A" w:rsidP="00E7419A">
      <w:pPr>
        <w:jc w:val="both"/>
        <w:rPr>
          <w:lang w:val="pt-BR"/>
        </w:rPr>
      </w:pPr>
      <w:r w:rsidRPr="00734B50">
        <w:rPr>
          <w:rFonts w:cs="Tahoma"/>
          <w:szCs w:val="18"/>
          <w:lang w:val="pt-BR"/>
        </w:rPr>
        <w:t xml:space="preserve">Clientes com o Office ProPlus para Office 365 e Office 365 Enterprise E3 e E4 estão qualificados para usar esse benefício durante o prazo de seu respectivo registro. </w:t>
      </w:r>
    </w:p>
    <w:p w:rsidR="00023FE7" w:rsidRPr="00734B50" w:rsidRDefault="00023FE7" w:rsidP="00BA0707">
      <w:pPr>
        <w:jc w:val="both"/>
        <w:rPr>
          <w:lang w:val="pt-BR"/>
        </w:rPr>
      </w:pPr>
    </w:p>
    <w:p w:rsidR="00023FE7" w:rsidRPr="00734B50" w:rsidRDefault="00023FE7">
      <w:pPr>
        <w:jc w:val="both"/>
        <w:rPr>
          <w:lang w:val="pt-BR"/>
        </w:rPr>
      </w:pPr>
      <w:r w:rsidRPr="00734B50">
        <w:rPr>
          <w:lang w:val="pt-BR"/>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5A52A2" w:rsidRPr="00734B50">
        <w:rPr>
          <w:lang w:val="pt-BR"/>
        </w:rPr>
        <w:t xml:space="preserve"> </w:t>
      </w:r>
      <w:r w:rsidRPr="00734B50">
        <w:rPr>
          <w:lang w:val="pt-BR"/>
        </w:rPr>
        <w:t xml:space="preserve">Caso contrário, o direito de uso do Pacote Multilíngue do Office se encerrará no término dos direitos concedidos sob a licença qualificada do Office System. </w:t>
      </w:r>
    </w:p>
    <w:p w:rsidR="00BA0707" w:rsidRPr="00734B50" w:rsidRDefault="00BA0707" w:rsidP="00BA0707">
      <w:pPr>
        <w:jc w:val="both"/>
        <w:rPr>
          <w:lang w:val="pt-BR"/>
        </w:rPr>
      </w:pPr>
    </w:p>
    <w:p w:rsidR="00F76ED4" w:rsidRPr="00734B50" w:rsidRDefault="00F76ED4">
      <w:pPr>
        <w:rPr>
          <w:lang w:val="pt-BR"/>
        </w:rPr>
      </w:pPr>
      <w:bookmarkStart w:id="776" w:name="_Toc291204555"/>
      <w:r w:rsidRPr="00734B50">
        <w:rPr>
          <w:b/>
          <w:sz w:val="24"/>
          <w:szCs w:val="24"/>
          <w:lang w:val="pt-BR"/>
        </w:rPr>
        <w:br w:type="page"/>
      </w:r>
    </w:p>
    <w:p w:rsidR="000D4ECA" w:rsidRPr="00734B50" w:rsidRDefault="000D4ECA" w:rsidP="000D4ECA">
      <w:pPr>
        <w:outlineLvl w:val="1"/>
        <w:rPr>
          <w:lang w:val="pt-BR"/>
        </w:rPr>
      </w:pPr>
      <w:r w:rsidRPr="00734B50">
        <w:rPr>
          <w:b/>
          <w:sz w:val="24"/>
          <w:szCs w:val="24"/>
          <w:lang w:val="pt-BR"/>
        </w:rPr>
        <w:lastRenderedPageBreak/>
        <w:t>Serviços de Planejamento</w:t>
      </w:r>
      <w:bookmarkEnd w:id="776"/>
    </w:p>
    <w:p w:rsidR="000D4ECA" w:rsidRPr="00734B50" w:rsidRDefault="000D4ECA" w:rsidP="000D4ECA">
      <w:pPr>
        <w:rPr>
          <w:lang w:val="pt-BR"/>
        </w:rPr>
      </w:pPr>
    </w:p>
    <w:p w:rsidR="000D4ECA" w:rsidRPr="00653421" w:rsidRDefault="000D4ECA" w:rsidP="000D4ECA">
      <w:pPr>
        <w:spacing w:after="60"/>
      </w:pPr>
      <w:r w:rsidRPr="00734B50">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w:t>
      </w:r>
      <w:r w:rsidR="005A52A2" w:rsidRPr="00734B50">
        <w:rPr>
          <w:rFonts w:cs="Tahoma"/>
          <w:color w:val="000000"/>
          <w:szCs w:val="18"/>
          <w:lang w:val="pt-BR"/>
        </w:rPr>
        <w:t xml:space="preserve"> </w:t>
      </w:r>
      <w:r w:rsidRPr="00734B50">
        <w:rPr>
          <w:rFonts w:cs="Tahoma"/>
          <w:color w:val="000000"/>
          <w:szCs w:val="18"/>
          <w:lang w:val="pt-BR"/>
        </w:rPr>
        <w:t>O benefício Serviços de Planejamento fornece aos clientes qualificados ofertas de serviços personalizados predefinidas.</w:t>
      </w:r>
      <w:r w:rsidR="005A52A2" w:rsidRPr="00734B50">
        <w:rPr>
          <w:rFonts w:cs="Tahoma"/>
          <w:color w:val="000000"/>
          <w:szCs w:val="18"/>
          <w:lang w:val="pt-BR"/>
        </w:rPr>
        <w:t xml:space="preserve"> </w:t>
      </w:r>
      <w:r w:rsidRPr="00653421">
        <w:rPr>
          <w:rFonts w:cs="Tahoma"/>
          <w:color w:val="000000"/>
          <w:szCs w:val="18"/>
        </w:rPr>
        <w:t>As ofertas disponíveis incluem:</w:t>
      </w:r>
    </w:p>
    <w:p w:rsidR="000D4ECA" w:rsidRPr="00653421" w:rsidRDefault="000D4ECA" w:rsidP="0063466C"/>
    <w:p w:rsidR="000D4ECA" w:rsidRPr="00653421" w:rsidRDefault="000D4ECA" w:rsidP="00024C3C">
      <w:pPr>
        <w:numPr>
          <w:ilvl w:val="0"/>
          <w:numId w:val="10"/>
        </w:numPr>
        <w:spacing w:after="60" w:line="276" w:lineRule="auto"/>
      </w:pPr>
      <w:r w:rsidRPr="00653421">
        <w:rPr>
          <w:rFonts w:cs="Tahoma"/>
          <w:color w:val="000000"/>
          <w:szCs w:val="18"/>
        </w:rPr>
        <w:t>Desktop Deployment Planning Services (DDPS)</w:t>
      </w:r>
    </w:p>
    <w:p w:rsidR="000D4ECA" w:rsidRPr="00734B50" w:rsidRDefault="000D4ECA" w:rsidP="002C1048">
      <w:pPr>
        <w:numPr>
          <w:ilvl w:val="1"/>
          <w:numId w:val="130"/>
        </w:numPr>
        <w:spacing w:after="60" w:line="276" w:lineRule="auto"/>
        <w:ind w:left="1980"/>
        <w:rPr>
          <w:lang w:val="pt-BR"/>
        </w:rPr>
      </w:pPr>
      <w:r w:rsidRPr="00734B50">
        <w:rPr>
          <w:rFonts w:cs="Tahoma"/>
          <w:color w:val="000000"/>
          <w:szCs w:val="18"/>
          <w:lang w:val="pt-BR"/>
        </w:rPr>
        <w:t>Descrição: O DDPS fornece aos clientes a análise fundamental, os procedimentos técnicos e</w:t>
      </w:r>
      <w:r w:rsidR="00F137D5" w:rsidRPr="00734B50">
        <w:rPr>
          <w:rFonts w:cs="Tahoma"/>
          <w:color w:val="000000"/>
          <w:szCs w:val="18"/>
          <w:lang w:val="pt-BR"/>
        </w:rPr>
        <w:t> </w:t>
      </w:r>
      <w:r w:rsidRPr="00734B50">
        <w:rPr>
          <w:rFonts w:cs="Tahoma"/>
          <w:color w:val="000000"/>
          <w:szCs w:val="18"/>
          <w:lang w:val="pt-BR"/>
        </w:rPr>
        <w:t>de planejamento necessários para iniciar a implantação do desktop com o Office 2010 e</w:t>
      </w:r>
      <w:r w:rsidR="00F137D5" w:rsidRPr="00734B50">
        <w:rPr>
          <w:rFonts w:cs="Tahoma"/>
          <w:color w:val="000000"/>
          <w:szCs w:val="18"/>
          <w:lang w:val="pt-BR"/>
        </w:rPr>
        <w:t> </w:t>
      </w:r>
      <w:r w:rsidRPr="00734B50">
        <w:rPr>
          <w:rFonts w:cs="Tahoma"/>
          <w:color w:val="000000"/>
          <w:szCs w:val="18"/>
          <w:lang w:val="pt-BR"/>
        </w:rPr>
        <w:t>o</w:t>
      </w:r>
      <w:r w:rsidR="00F137D5" w:rsidRPr="00734B50">
        <w:rPr>
          <w:rFonts w:cs="Tahoma"/>
          <w:color w:val="000000"/>
          <w:szCs w:val="18"/>
          <w:lang w:val="pt-BR"/>
        </w:rPr>
        <w:t> </w:t>
      </w:r>
      <w:r w:rsidRPr="00734B50">
        <w:rPr>
          <w:rFonts w:cs="Tahoma"/>
          <w:color w:val="000000"/>
          <w:szCs w:val="18"/>
          <w:lang w:val="pt-BR"/>
        </w:rPr>
        <w:t>Windows 8. Essa oferta é baseada nas práticas recomendadas da Microsoft para implantação de desktop e ajuda os clientes e reduzir o custo, o risco e a complexidade das implantações por meio de altos níveis de processo e automação. O DDPS também pode auxiliar as organizações a avaliar o Office 365 abordando a consideração e os requisitos para adoção de um ambiente de desktop preparado para nuvem.</w:t>
      </w:r>
    </w:p>
    <w:p w:rsidR="000D4ECA" w:rsidRPr="00653421" w:rsidRDefault="000D4ECA" w:rsidP="002C1048">
      <w:pPr>
        <w:numPr>
          <w:ilvl w:val="1"/>
          <w:numId w:val="130"/>
        </w:numPr>
        <w:spacing w:after="60" w:line="276" w:lineRule="auto"/>
        <w:ind w:left="1980"/>
      </w:pPr>
      <w:r w:rsidRPr="00653421">
        <w:rPr>
          <w:rFonts w:cs="Tahoma"/>
          <w:color w:val="000000"/>
          <w:szCs w:val="18"/>
        </w:rPr>
        <w:t>Níveis de Serviço: 1, 3, 5, 10 ou 15 dias</w:t>
      </w:r>
    </w:p>
    <w:p w:rsidR="000D4ECA" w:rsidRPr="00653421" w:rsidRDefault="000D4ECA" w:rsidP="00024C3C">
      <w:pPr>
        <w:numPr>
          <w:ilvl w:val="0"/>
          <w:numId w:val="11"/>
        </w:numPr>
        <w:spacing w:after="60" w:line="276" w:lineRule="auto"/>
        <w:ind w:left="1440"/>
      </w:pPr>
      <w:r w:rsidRPr="00653421">
        <w:rPr>
          <w:rFonts w:cs="Tahoma"/>
          <w:color w:val="000000"/>
          <w:szCs w:val="18"/>
        </w:rPr>
        <w:t>SharePoint Deployment Planning Services (SDPS)</w:t>
      </w:r>
    </w:p>
    <w:p w:rsidR="000D4ECA" w:rsidRPr="00734B50" w:rsidRDefault="000D4ECA" w:rsidP="002C1048">
      <w:pPr>
        <w:numPr>
          <w:ilvl w:val="1"/>
          <w:numId w:val="131"/>
        </w:numPr>
        <w:spacing w:after="60" w:line="276" w:lineRule="auto"/>
        <w:ind w:left="1980"/>
        <w:rPr>
          <w:lang w:val="pt-BR"/>
        </w:rPr>
      </w:pPr>
      <w:r w:rsidRPr="00734B50">
        <w:rPr>
          <w:rFonts w:cs="Tahoma"/>
          <w:color w:val="000000"/>
          <w:szCs w:val="18"/>
          <w:lang w:val="pt-BR"/>
        </w:rPr>
        <w:t>Descrição: o SDPS permite que parceiros qualificados e consultores da Microsoft ajudem os clientes a desenvolver um plano de implantação do SharePoint Portal Server personalizado para o ambiente específico e avaliar os custos gerais da implantação da tecnologia.</w:t>
      </w:r>
      <w:r w:rsidR="005A52A2" w:rsidRPr="00734B50">
        <w:rPr>
          <w:rFonts w:cs="Tahoma"/>
          <w:color w:val="000000"/>
          <w:szCs w:val="18"/>
          <w:lang w:val="pt-BR"/>
        </w:rPr>
        <w:t xml:space="preserve"> </w:t>
      </w:r>
      <w:r w:rsidRPr="00734B50">
        <w:rPr>
          <w:rFonts w:cs="Tahoma"/>
          <w:color w:val="000000"/>
          <w:szCs w:val="18"/>
          <w:lang w:val="pt-BR"/>
        </w:rPr>
        <w:t>O SDPS também pode ajudar os clientes com o planejamento do desenvolvimento com o objetivo de</w:t>
      </w:r>
      <w:r w:rsidR="00F137D5" w:rsidRPr="00734B50">
        <w:rPr>
          <w:rFonts w:cs="Tahoma"/>
          <w:color w:val="000000"/>
          <w:szCs w:val="18"/>
          <w:lang w:val="pt-BR"/>
        </w:rPr>
        <w:t> </w:t>
      </w:r>
      <w:r w:rsidRPr="00734B50">
        <w:rPr>
          <w:rFonts w:cs="Tahoma"/>
          <w:color w:val="000000"/>
          <w:szCs w:val="18"/>
          <w:lang w:val="pt-BR"/>
        </w:rPr>
        <w:t>auxiliar na transição para o Office 365, concentrando-se no SharePoint Online.</w:t>
      </w:r>
      <w:r w:rsidR="005A52A2" w:rsidRPr="00734B50">
        <w:rPr>
          <w:rFonts w:cs="Tahoma"/>
          <w:color w:val="000000"/>
          <w:szCs w:val="18"/>
          <w:lang w:val="pt-BR"/>
        </w:rPr>
        <w:t xml:space="preserve"> </w:t>
      </w:r>
    </w:p>
    <w:p w:rsidR="000D4ECA" w:rsidRPr="00653421" w:rsidRDefault="000D4ECA" w:rsidP="002C1048">
      <w:pPr>
        <w:numPr>
          <w:ilvl w:val="1"/>
          <w:numId w:val="131"/>
        </w:numPr>
        <w:spacing w:after="60" w:line="276" w:lineRule="auto"/>
        <w:ind w:left="1980"/>
      </w:pPr>
      <w:r w:rsidRPr="00653421">
        <w:rPr>
          <w:rFonts w:cs="Tahoma"/>
          <w:color w:val="000000"/>
          <w:szCs w:val="18"/>
        </w:rPr>
        <w:t>Níveis de Serviço: 1, 3, 5, 10 ou 15 dias</w:t>
      </w:r>
    </w:p>
    <w:p w:rsidR="000D4ECA" w:rsidRPr="00653421" w:rsidRDefault="000D4ECA" w:rsidP="00024C3C">
      <w:pPr>
        <w:numPr>
          <w:ilvl w:val="0"/>
          <w:numId w:val="10"/>
        </w:numPr>
        <w:spacing w:after="60" w:line="276" w:lineRule="auto"/>
      </w:pPr>
      <w:r w:rsidRPr="00653421">
        <w:rPr>
          <w:rFonts w:cs="Tahoma"/>
          <w:color w:val="000000"/>
          <w:szCs w:val="18"/>
        </w:rPr>
        <w:t>Lync e Exchange Deployment Planning Services (L&amp;EDPS)</w:t>
      </w:r>
    </w:p>
    <w:p w:rsidR="000D4ECA" w:rsidRPr="00734B50" w:rsidRDefault="000D4ECA" w:rsidP="002C1048">
      <w:pPr>
        <w:numPr>
          <w:ilvl w:val="1"/>
          <w:numId w:val="132"/>
        </w:numPr>
        <w:spacing w:after="60" w:line="276" w:lineRule="auto"/>
        <w:ind w:left="1980"/>
        <w:rPr>
          <w:lang w:val="pt-BR"/>
        </w:rPr>
      </w:pPr>
      <w:r w:rsidRPr="00734B50">
        <w:rPr>
          <w:rFonts w:cs="Tahoma"/>
          <w:color w:val="000000"/>
          <w:szCs w:val="18"/>
          <w:lang w:val="pt-BR"/>
        </w:rPr>
        <w:t>Descrição: O L&amp;EDPS permite que parceiros qualificados e os consultores da Microsoft orientem os clientes pelas fases de planejamento da implantação e valor das implementações do Lync e do Exchange 2010, inclusive a análise do ambiente da organização do cliente e o compartilhamento de práticas recomendadas para soluções locais</w:t>
      </w:r>
      <w:r w:rsidR="00F137D5" w:rsidRPr="00734B50">
        <w:rPr>
          <w:rFonts w:cs="Tahoma"/>
          <w:color w:val="000000"/>
          <w:szCs w:val="18"/>
          <w:lang w:val="pt-BR"/>
        </w:rPr>
        <w:t> </w:t>
      </w:r>
      <w:r w:rsidRPr="00734B50">
        <w:rPr>
          <w:rFonts w:cs="Tahoma"/>
          <w:color w:val="000000"/>
          <w:szCs w:val="18"/>
          <w:lang w:val="pt-BR"/>
        </w:rPr>
        <w:t>e em nuvem.</w:t>
      </w:r>
      <w:r w:rsidR="005A52A2" w:rsidRPr="00734B50">
        <w:rPr>
          <w:rFonts w:cs="Tahoma"/>
          <w:color w:val="000000"/>
          <w:szCs w:val="18"/>
          <w:lang w:val="pt-BR"/>
        </w:rPr>
        <w:t xml:space="preserve"> </w:t>
      </w:r>
      <w:r w:rsidRPr="00734B50">
        <w:rPr>
          <w:rFonts w:cs="Tahoma"/>
          <w:color w:val="000000"/>
          <w:szCs w:val="18"/>
          <w:lang w:val="pt-BR"/>
        </w:rPr>
        <w:t>O L&amp;EDPS também pode ajudar os clientes com o planejamento do desenvolvimento com o objetivo de auxiliar na transição para o Office 365, concentrando-se</w:t>
      </w:r>
      <w:r w:rsidR="00F137D5" w:rsidRPr="00734B50">
        <w:rPr>
          <w:rFonts w:cs="Tahoma"/>
          <w:color w:val="000000"/>
          <w:szCs w:val="18"/>
          <w:lang w:val="pt-BR"/>
        </w:rPr>
        <w:t> </w:t>
      </w:r>
      <w:r w:rsidRPr="00734B50">
        <w:rPr>
          <w:rFonts w:cs="Tahoma"/>
          <w:color w:val="000000"/>
          <w:szCs w:val="18"/>
          <w:lang w:val="pt-BR"/>
        </w:rPr>
        <w:t>no Lync e no Exchange Online.</w:t>
      </w:r>
    </w:p>
    <w:p w:rsidR="000D4ECA" w:rsidRPr="00653421" w:rsidRDefault="000D4ECA" w:rsidP="002C1048">
      <w:pPr>
        <w:numPr>
          <w:ilvl w:val="1"/>
          <w:numId w:val="132"/>
        </w:numPr>
        <w:spacing w:after="60" w:line="276" w:lineRule="auto"/>
        <w:ind w:left="1980"/>
      </w:pPr>
      <w:r w:rsidRPr="00653421">
        <w:rPr>
          <w:rFonts w:cs="Tahoma"/>
          <w:color w:val="000000"/>
          <w:szCs w:val="18"/>
        </w:rPr>
        <w:t>Níveis de Serviço: 1, 3, 5, 10 ou 15 dias</w:t>
      </w:r>
    </w:p>
    <w:p w:rsidR="000D4ECA" w:rsidRPr="00653421" w:rsidRDefault="000D4ECA" w:rsidP="00024C3C">
      <w:pPr>
        <w:numPr>
          <w:ilvl w:val="0"/>
          <w:numId w:val="10"/>
        </w:numPr>
        <w:spacing w:after="60" w:line="276" w:lineRule="auto"/>
      </w:pPr>
      <w:r w:rsidRPr="00653421">
        <w:rPr>
          <w:rFonts w:cs="Tahoma"/>
          <w:color w:val="000000"/>
          <w:szCs w:val="18"/>
        </w:rPr>
        <w:t>Private Cloud, Management and Virtualization Deployment Planning Services (PVDPS)</w:t>
      </w:r>
    </w:p>
    <w:p w:rsidR="000D4ECA" w:rsidRPr="00734B50" w:rsidRDefault="000D4ECA" w:rsidP="002C1048">
      <w:pPr>
        <w:numPr>
          <w:ilvl w:val="1"/>
          <w:numId w:val="133"/>
        </w:numPr>
        <w:spacing w:after="60" w:line="276" w:lineRule="auto"/>
        <w:ind w:left="1980"/>
        <w:rPr>
          <w:lang w:val="pt-BR"/>
        </w:rPr>
      </w:pPr>
      <w:r w:rsidRPr="00734B50">
        <w:rPr>
          <w:rFonts w:cs="Tahoma"/>
          <w:color w:val="000000"/>
          <w:szCs w:val="18"/>
          <w:lang w:val="pt-BR"/>
        </w:rPr>
        <w:t xml:space="preserve">Descrição: </w:t>
      </w:r>
      <w:r w:rsidRPr="00734B50">
        <w:rPr>
          <w:rFonts w:cs="Tahoma"/>
          <w:szCs w:val="18"/>
          <w:lang w:val="pt-BR"/>
        </w:rPr>
        <w:t>O PVDPS fornece compromissos de consultoria estruturados que ajudam os clientes a aproveitar as soluções de infraestrutura baseadas em Windows Server, Systems Center e Hyper-V. Esse serviço ajudará a reduzir custos de data center, aumentar a agilidade dos negócios e fornecer um controle aperfeiçoado da infraestrutura física, virtual e</w:t>
      </w:r>
      <w:r w:rsidR="00F137D5" w:rsidRPr="00734B50">
        <w:rPr>
          <w:rFonts w:cs="Tahoma"/>
          <w:szCs w:val="18"/>
          <w:lang w:val="pt-BR"/>
        </w:rPr>
        <w:t> </w:t>
      </w:r>
      <w:r w:rsidRPr="00734B50">
        <w:rPr>
          <w:rFonts w:cs="Tahoma"/>
          <w:szCs w:val="18"/>
          <w:lang w:val="pt-BR"/>
        </w:rPr>
        <w:t>híbrida do cliente</w:t>
      </w:r>
      <w:r w:rsidRPr="00734B50">
        <w:rPr>
          <w:rFonts w:cs="Tahoma"/>
          <w:color w:val="000000"/>
          <w:szCs w:val="18"/>
          <w:lang w:val="pt-BR"/>
        </w:rPr>
        <w:t xml:space="preserve">. </w:t>
      </w:r>
    </w:p>
    <w:p w:rsidR="000D4ECA" w:rsidRPr="00653421" w:rsidRDefault="000D4ECA" w:rsidP="002C1048">
      <w:pPr>
        <w:numPr>
          <w:ilvl w:val="1"/>
          <w:numId w:val="133"/>
        </w:numPr>
        <w:spacing w:after="60" w:line="276" w:lineRule="auto"/>
        <w:ind w:left="1980"/>
      </w:pPr>
      <w:r w:rsidRPr="00653421">
        <w:rPr>
          <w:rFonts w:cs="Tahoma"/>
          <w:color w:val="000000"/>
          <w:szCs w:val="18"/>
        </w:rPr>
        <w:t>Níveis de Serviço: 3, 5, 10 ou 15 dias</w:t>
      </w:r>
    </w:p>
    <w:p w:rsidR="000D4ECA" w:rsidRPr="00653421" w:rsidRDefault="000D4ECA" w:rsidP="00024C3C">
      <w:pPr>
        <w:numPr>
          <w:ilvl w:val="0"/>
          <w:numId w:val="10"/>
        </w:numPr>
        <w:spacing w:after="60" w:line="276" w:lineRule="auto"/>
      </w:pPr>
      <w:r w:rsidRPr="00653421">
        <w:rPr>
          <w:rFonts w:cs="Tahoma"/>
          <w:color w:val="000000"/>
          <w:szCs w:val="18"/>
        </w:rPr>
        <w:t>SQL Server Deployment Planning Services (SSDPS)</w:t>
      </w:r>
    </w:p>
    <w:p w:rsidR="000D4ECA" w:rsidRPr="00734B50" w:rsidRDefault="000D4ECA" w:rsidP="002C1048">
      <w:pPr>
        <w:numPr>
          <w:ilvl w:val="1"/>
          <w:numId w:val="134"/>
        </w:numPr>
        <w:spacing w:after="60" w:line="276" w:lineRule="auto"/>
        <w:ind w:left="1980"/>
        <w:rPr>
          <w:lang w:val="pt-BR"/>
        </w:rPr>
      </w:pPr>
      <w:r w:rsidRPr="00734B50">
        <w:rPr>
          <w:rFonts w:cs="Tahoma"/>
          <w:color w:val="000000"/>
          <w:szCs w:val="18"/>
          <w:lang w:val="pt-BR"/>
        </w:rPr>
        <w:t xml:space="preserve">Descrição: </w:t>
      </w:r>
      <w:r w:rsidRPr="00734B50">
        <w:rPr>
          <w:rFonts w:cs="Tahoma"/>
          <w:szCs w:val="18"/>
          <w:lang w:val="pt-BR"/>
        </w:rPr>
        <w:t>O SSDPS fornece uma avaliação aprofundada e o planejamento da implantação para migração para o SQL Server, atualização para a nova versão da solução SQL Server e</w:t>
      </w:r>
      <w:r w:rsidR="00F137D5" w:rsidRPr="00734B50">
        <w:rPr>
          <w:rFonts w:cs="Tahoma"/>
          <w:szCs w:val="18"/>
          <w:lang w:val="pt-BR"/>
        </w:rPr>
        <w:t> </w:t>
      </w:r>
      <w:r w:rsidRPr="00734B50">
        <w:rPr>
          <w:rFonts w:cs="Tahoma"/>
          <w:szCs w:val="18"/>
          <w:lang w:val="pt-BR"/>
        </w:rPr>
        <w:t>SQL Server Business Intelligence.</w:t>
      </w:r>
    </w:p>
    <w:p w:rsidR="000D4ECA" w:rsidRPr="00653421" w:rsidRDefault="000D4ECA" w:rsidP="002C1048">
      <w:pPr>
        <w:numPr>
          <w:ilvl w:val="1"/>
          <w:numId w:val="134"/>
        </w:numPr>
        <w:spacing w:after="60" w:line="276" w:lineRule="auto"/>
        <w:ind w:left="1980"/>
      </w:pPr>
      <w:r w:rsidRPr="00653421">
        <w:rPr>
          <w:rFonts w:cs="Tahoma"/>
          <w:color w:val="000000"/>
          <w:szCs w:val="18"/>
        </w:rPr>
        <w:t>Níveis de Serviço: 3, 5, 10 ou 15 dias</w:t>
      </w:r>
    </w:p>
    <w:p w:rsidR="00F137D5" w:rsidRPr="00653421" w:rsidRDefault="00F137D5" w:rsidP="00F137D5">
      <w:pPr>
        <w:spacing w:after="60" w:line="276" w:lineRule="auto"/>
        <w:ind w:left="1980"/>
        <w:rPr>
          <w:rFonts w:cs="Tahoma"/>
          <w:color w:val="000000"/>
          <w:szCs w:val="18"/>
        </w:rPr>
      </w:pPr>
    </w:p>
    <w:p w:rsidR="00F137D5" w:rsidRPr="00653421" w:rsidRDefault="00F137D5" w:rsidP="00F137D5">
      <w:pPr>
        <w:spacing w:after="60" w:line="276" w:lineRule="auto"/>
        <w:ind w:left="1980"/>
        <w:rPr>
          <w:rFonts w:cs="Tahoma"/>
          <w:color w:val="000000"/>
          <w:szCs w:val="18"/>
        </w:rPr>
      </w:pPr>
    </w:p>
    <w:p w:rsidR="00F137D5" w:rsidRPr="00653421" w:rsidRDefault="00F137D5" w:rsidP="00F137D5">
      <w:pPr>
        <w:spacing w:after="60" w:line="276" w:lineRule="auto"/>
        <w:ind w:left="1980"/>
      </w:pPr>
    </w:p>
    <w:p w:rsidR="000D4ECA" w:rsidRPr="00653421" w:rsidRDefault="000D4ECA" w:rsidP="00024C3C">
      <w:pPr>
        <w:numPr>
          <w:ilvl w:val="0"/>
          <w:numId w:val="10"/>
        </w:numPr>
        <w:spacing w:after="60" w:line="276" w:lineRule="auto"/>
      </w:pPr>
      <w:r w:rsidRPr="00653421">
        <w:rPr>
          <w:rFonts w:cs="Tahoma"/>
          <w:color w:val="000000"/>
          <w:szCs w:val="18"/>
        </w:rPr>
        <w:lastRenderedPageBreak/>
        <w:t>Developer Tools Deployment Planning Services (DTDPS)</w:t>
      </w:r>
    </w:p>
    <w:p w:rsidR="000D4ECA" w:rsidRPr="00734B50" w:rsidRDefault="000D4ECA" w:rsidP="002C1048">
      <w:pPr>
        <w:numPr>
          <w:ilvl w:val="1"/>
          <w:numId w:val="135"/>
        </w:numPr>
        <w:spacing w:after="60" w:line="276" w:lineRule="auto"/>
        <w:ind w:left="1980"/>
        <w:rPr>
          <w:lang w:val="pt-BR"/>
        </w:rPr>
      </w:pPr>
      <w:r w:rsidRPr="00734B50">
        <w:rPr>
          <w:rFonts w:cs="Tahoma"/>
          <w:color w:val="000000"/>
          <w:szCs w:val="18"/>
          <w:lang w:val="pt-BR"/>
        </w:rPr>
        <w:t xml:space="preserve">Descrição: </w:t>
      </w:r>
      <w:r w:rsidRPr="00734B50">
        <w:rPr>
          <w:rFonts w:cs="Tahoma"/>
          <w:szCs w:val="18"/>
          <w:lang w:val="pt-BR"/>
        </w:rPr>
        <w:t>O DTDPS fornece uma análise rigorosa e uma abordagem concentrada em processo a fim de desenvolver um plano de implantação do Visual Studio Team Foundation Server ou do Visual Studio Test Tools.</w:t>
      </w:r>
      <w:r w:rsidR="005A52A2" w:rsidRPr="00734B50">
        <w:rPr>
          <w:rFonts w:cs="Tahoma"/>
          <w:szCs w:val="18"/>
          <w:lang w:val="pt-BR"/>
        </w:rPr>
        <w:t xml:space="preserve"> </w:t>
      </w:r>
      <w:r w:rsidRPr="00734B50">
        <w:rPr>
          <w:rFonts w:cs="Tahoma"/>
          <w:szCs w:val="18"/>
          <w:lang w:val="pt-BR"/>
        </w:rPr>
        <w:t>Seguindo as práticas recomendadas da Microsoft, um</w:t>
      </w:r>
      <w:r w:rsidR="00F137D5" w:rsidRPr="00734B50">
        <w:rPr>
          <w:rFonts w:cs="Tahoma"/>
          <w:szCs w:val="18"/>
          <w:lang w:val="pt-BR"/>
        </w:rPr>
        <w:t> </w:t>
      </w:r>
      <w:r w:rsidRPr="00734B50">
        <w:rPr>
          <w:rFonts w:cs="Tahoma"/>
          <w:szCs w:val="18"/>
          <w:lang w:val="pt-BR"/>
        </w:rPr>
        <w:t>parceiro certificado criará um plano de implantação exclusivo, personalizado de acordo com as necessidades da empresa</w:t>
      </w:r>
      <w:r w:rsidRPr="00734B50">
        <w:rPr>
          <w:rFonts w:cs="Tahoma"/>
          <w:color w:val="000000"/>
          <w:szCs w:val="18"/>
          <w:lang w:val="pt-BR"/>
        </w:rPr>
        <w:t xml:space="preserve">. </w:t>
      </w:r>
    </w:p>
    <w:p w:rsidR="000D4ECA" w:rsidRPr="00653421" w:rsidRDefault="000D4ECA" w:rsidP="002C1048">
      <w:pPr>
        <w:numPr>
          <w:ilvl w:val="1"/>
          <w:numId w:val="135"/>
        </w:numPr>
        <w:spacing w:after="60" w:line="276" w:lineRule="auto"/>
        <w:ind w:left="1980"/>
      </w:pPr>
      <w:r w:rsidRPr="00653421">
        <w:rPr>
          <w:rFonts w:cs="Tahoma"/>
          <w:color w:val="000000"/>
          <w:szCs w:val="18"/>
        </w:rPr>
        <w:t>Níveis de Serviço: 3 ou 5 dias</w:t>
      </w:r>
    </w:p>
    <w:p w:rsidR="000D4ECA" w:rsidRPr="00653421" w:rsidRDefault="000D4ECA" w:rsidP="00024C3C">
      <w:pPr>
        <w:numPr>
          <w:ilvl w:val="0"/>
          <w:numId w:val="10"/>
        </w:numPr>
        <w:spacing w:after="60" w:line="276" w:lineRule="auto"/>
      </w:pPr>
      <w:r w:rsidRPr="00653421">
        <w:rPr>
          <w:rFonts w:cs="Tahoma"/>
          <w:color w:val="000000"/>
          <w:szCs w:val="18"/>
        </w:rPr>
        <w:t>Public Cloud, Azure Deployment Planning Services (AZDPS)</w:t>
      </w:r>
    </w:p>
    <w:p w:rsidR="000D4ECA" w:rsidRPr="00734B50" w:rsidRDefault="000D4ECA" w:rsidP="002C1048">
      <w:pPr>
        <w:numPr>
          <w:ilvl w:val="1"/>
          <w:numId w:val="136"/>
        </w:numPr>
        <w:spacing w:after="60" w:line="276" w:lineRule="auto"/>
        <w:ind w:left="1980"/>
        <w:rPr>
          <w:lang w:val="pt-BR"/>
        </w:rPr>
      </w:pPr>
      <w:r w:rsidRPr="00734B50">
        <w:rPr>
          <w:rFonts w:cs="Tahoma"/>
          <w:color w:val="000000"/>
          <w:szCs w:val="18"/>
          <w:lang w:val="pt-BR"/>
        </w:rPr>
        <w:t xml:space="preserve">Descrição: </w:t>
      </w:r>
      <w:r w:rsidRPr="00734B50">
        <w:rPr>
          <w:rFonts w:cs="Tahoma"/>
          <w:szCs w:val="18"/>
          <w:lang w:val="pt-BR"/>
        </w:rPr>
        <w:t xml:space="preserve">O </w:t>
      </w:r>
      <w:r w:rsidRPr="00734B50">
        <w:rPr>
          <w:rFonts w:cs="Tahoma"/>
          <w:color w:val="1D1B11"/>
          <w:szCs w:val="18"/>
          <w:lang w:val="pt-BR"/>
        </w:rPr>
        <w:t>Public</w:t>
      </w:r>
      <w:r w:rsidRPr="00734B50">
        <w:rPr>
          <w:rFonts w:cs="Tahoma"/>
          <w:szCs w:val="18"/>
          <w:lang w:val="pt-BR"/>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rsidR="000D4ECA" w:rsidRPr="00653421" w:rsidRDefault="000D4ECA" w:rsidP="0063466C">
      <w:pPr>
        <w:numPr>
          <w:ilvl w:val="1"/>
          <w:numId w:val="136"/>
        </w:numPr>
        <w:spacing w:line="276" w:lineRule="auto"/>
        <w:ind w:left="1987"/>
      </w:pPr>
      <w:r w:rsidRPr="00653421">
        <w:rPr>
          <w:rFonts w:cs="Tahoma"/>
          <w:color w:val="000000"/>
          <w:szCs w:val="18"/>
        </w:rPr>
        <w:t>Níveis de Serviço: 3, 5 ou 10 dias</w:t>
      </w:r>
    </w:p>
    <w:p w:rsidR="000D4ECA" w:rsidRPr="00653421" w:rsidRDefault="000D4ECA" w:rsidP="0063466C">
      <w:pPr>
        <w:tabs>
          <w:tab w:val="left" w:pos="8040"/>
        </w:tabs>
      </w:pPr>
    </w:p>
    <w:p w:rsidR="000D4ECA" w:rsidRPr="00734B50" w:rsidRDefault="000D4ECA" w:rsidP="000D4ECA">
      <w:pPr>
        <w:spacing w:after="60"/>
        <w:rPr>
          <w:lang w:val="pt-BR"/>
        </w:rPr>
      </w:pPr>
      <w:r w:rsidRPr="00734B50">
        <w:rPr>
          <w:rFonts w:cs="Tahoma"/>
          <w:color w:val="000000"/>
          <w:szCs w:val="18"/>
          <w:lang w:val="pt-BR"/>
        </w:rPr>
        <w:t>A lista de serviços disponíveis e níveis de serviços associados pode ser alterada a qualquer momento.</w:t>
      </w:r>
      <w:r w:rsidR="005A52A2" w:rsidRPr="00734B50">
        <w:rPr>
          <w:rFonts w:cs="Tahoma"/>
          <w:color w:val="000000"/>
          <w:szCs w:val="18"/>
          <w:lang w:val="pt-BR"/>
        </w:rPr>
        <w:t xml:space="preserve"> </w:t>
      </w:r>
      <w:r w:rsidRPr="00734B50">
        <w:rPr>
          <w:rFonts w:cs="Tahoma"/>
          <w:color w:val="000000"/>
          <w:szCs w:val="18"/>
          <w:lang w:val="pt-BR"/>
        </w:rPr>
        <w:t>Os Provedores Qualificados fornecerão aos clientes uma descrição do Escopo do Trabalho disponível para cada uma das ofertas de serviço acima mediante solicitação.</w:t>
      </w:r>
    </w:p>
    <w:p w:rsidR="000D4ECA" w:rsidRPr="00734B50" w:rsidRDefault="000D4ECA" w:rsidP="0063466C">
      <w:pPr>
        <w:rPr>
          <w:lang w:val="pt-BR"/>
        </w:rPr>
      </w:pPr>
    </w:p>
    <w:p w:rsidR="000D4ECA" w:rsidRPr="00734B50" w:rsidRDefault="000D4ECA" w:rsidP="000D4ECA">
      <w:pPr>
        <w:spacing w:after="60"/>
        <w:rPr>
          <w:lang w:val="pt-BR"/>
        </w:rPr>
      </w:pPr>
      <w:r w:rsidRPr="00734B50">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5A52A2" w:rsidRPr="00734B50">
        <w:rPr>
          <w:rFonts w:cs="Tahoma"/>
          <w:color w:val="000000"/>
          <w:szCs w:val="18"/>
          <w:lang w:val="pt-BR"/>
        </w:rPr>
        <w:t xml:space="preserve"> </w:t>
      </w:r>
      <w:r w:rsidRPr="00734B50">
        <w:rPr>
          <w:rFonts w:cs="Tahoma"/>
          <w:bCs/>
          <w:color w:val="000000"/>
          <w:szCs w:val="18"/>
          <w:lang w:val="pt-BR"/>
        </w:rPr>
        <w:t>A quantidade de dias que um cliente recebe é colocada em um pool de Dias de Serviços de Planejamento a partir do qual o cliente pode criar cupons para as ofertas de serviços acima.</w:t>
      </w:r>
      <w:r w:rsidR="005A52A2" w:rsidRPr="00734B50">
        <w:rPr>
          <w:rFonts w:cs="Tahoma"/>
          <w:bCs/>
          <w:color w:val="000000"/>
          <w:szCs w:val="18"/>
          <w:lang w:val="pt-BR"/>
        </w:rPr>
        <w:t xml:space="preserve"> </w:t>
      </w:r>
      <w:r w:rsidRPr="00734B50">
        <w:rPr>
          <w:rFonts w:cs="Tahoma"/>
          <w:bCs/>
          <w:color w:val="000000"/>
          <w:szCs w:val="18"/>
          <w:lang w:val="pt-BR"/>
        </w:rPr>
        <w:t>Os clientes podem escolher um ou mais dos serviços acima e podem selecionar nos níveis de serviços disponíveis até o número de dias de Serviços de Planejamento que eles têm disponível.</w:t>
      </w:r>
    </w:p>
    <w:p w:rsidR="001C1727" w:rsidRPr="00734B50" w:rsidRDefault="001C1727">
      <w:pPr>
        <w:rPr>
          <w:lang w:val="pt-BR"/>
        </w:rPr>
      </w:pPr>
    </w:p>
    <w:p w:rsidR="000D4ECA" w:rsidRPr="00734B50" w:rsidRDefault="000D4ECA" w:rsidP="000D4ECA">
      <w:pPr>
        <w:spacing w:after="60"/>
        <w:rPr>
          <w:lang w:val="pt-BR"/>
        </w:rPr>
      </w:pPr>
      <w:r w:rsidRPr="00734B50">
        <w:rPr>
          <w:rFonts w:cs="Tahoma"/>
          <w:bCs/>
          <w:color w:val="000000"/>
          <w:szCs w:val="18"/>
          <w:lang w:val="pt-BR"/>
        </w:rPr>
        <w:t>A tabela a seguir lista as licenças de Aplicativos e Servidores qualificados e os pontos associados a cada uma delas:</w:t>
      </w:r>
    </w:p>
    <w:p w:rsidR="0063466C" w:rsidRPr="00734B50" w:rsidRDefault="0063466C" w:rsidP="000D4ECA">
      <w:pPr>
        <w:spacing w:after="60"/>
        <w:rPr>
          <w:lang w:val="pt-B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653421"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34B50" w:rsidRDefault="000D4ECA" w:rsidP="000D4ECA">
            <w:pPr>
              <w:spacing w:after="60"/>
              <w:jc w:val="center"/>
              <w:rPr>
                <w:rFonts w:cs="Tahoma"/>
                <w:szCs w:val="18"/>
                <w:lang w:val="pt-BR"/>
              </w:rPr>
            </w:pPr>
            <w:r w:rsidRPr="00734B50">
              <w:rPr>
                <w:rFonts w:cs="Tahoma"/>
                <w:b/>
                <w:bCs/>
                <w:szCs w:val="18"/>
                <w:lang w:val="pt-BR"/>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b/>
                <w:bCs/>
                <w:szCs w:val="18"/>
              </w:rPr>
              <w:t>Pontos</w:t>
            </w:r>
          </w:p>
        </w:tc>
      </w:tr>
      <w:tr w:rsidR="000D4ECA" w:rsidRPr="00653421"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34B50" w:rsidRDefault="000D4ECA" w:rsidP="00F137D5">
            <w:pPr>
              <w:spacing w:after="60"/>
              <w:jc w:val="center"/>
              <w:rPr>
                <w:rFonts w:cs="Tahoma"/>
                <w:szCs w:val="18"/>
                <w:lang w:val="pt-BR"/>
              </w:rPr>
            </w:pPr>
            <w:r w:rsidRPr="00734B50">
              <w:rPr>
                <w:rFonts w:cs="Tahoma"/>
                <w:szCs w:val="18"/>
                <w:lang w:val="pt-BR"/>
              </w:rPr>
              <w:t>Produtos do Pool de Aplicativos do Office (incluindo pacotes do Office, Project</w:t>
            </w:r>
            <w:r w:rsidR="00F137D5" w:rsidRPr="00734B50">
              <w:rPr>
                <w:rFonts w:cs="Tahoma"/>
                <w:szCs w:val="18"/>
                <w:lang w:val="pt-BR"/>
              </w:rPr>
              <w:t> </w:t>
            </w:r>
            <w:r w:rsidRPr="00734B50">
              <w:rPr>
                <w:rFonts w:cs="Tahoma"/>
                <w:szCs w:val="18"/>
                <w:lang w:val="pt-BR"/>
              </w:rPr>
              <w:t>Standard</w:t>
            </w:r>
            <w:r w:rsidR="00F137D5" w:rsidRPr="00734B50">
              <w:rPr>
                <w:rFonts w:cs="Tahoma"/>
                <w:szCs w:val="18"/>
                <w:lang w:val="pt-BR"/>
              </w:rPr>
              <w:t> </w:t>
            </w:r>
            <w:r w:rsidRPr="00734B50">
              <w:rPr>
                <w:rFonts w:cs="Tahoma"/>
                <w:szCs w:val="18"/>
                <w:lang w:val="pt-BR"/>
              </w:rPr>
              <w:t>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1</w:t>
            </w:r>
          </w:p>
        </w:tc>
      </w:tr>
      <w:tr w:rsidR="000D4ECA" w:rsidRPr="00653421"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34B50" w:rsidRDefault="00F56FC9" w:rsidP="007002E0">
            <w:pPr>
              <w:spacing w:after="60"/>
              <w:jc w:val="center"/>
              <w:rPr>
                <w:rFonts w:cs="Tahoma"/>
                <w:szCs w:val="18"/>
                <w:lang w:val="pt-BR"/>
              </w:rPr>
            </w:pPr>
            <w:r w:rsidRPr="00734B50">
              <w:rPr>
                <w:rFonts w:eastAsia="Calibri" w:cs="Tahoma"/>
                <w:szCs w:val="18"/>
                <w:lang w:val="pt-BR"/>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25</w:t>
            </w:r>
          </w:p>
        </w:tc>
      </w:tr>
      <w:tr w:rsidR="000D4ECA" w:rsidRPr="00653421"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34B50" w:rsidRDefault="00F56FC9" w:rsidP="00AA79A5">
            <w:pPr>
              <w:spacing w:after="60"/>
              <w:jc w:val="center"/>
              <w:rPr>
                <w:rFonts w:cs="Tahoma"/>
                <w:szCs w:val="18"/>
                <w:lang w:val="pt-BR"/>
              </w:rPr>
            </w:pPr>
            <w:r w:rsidRPr="00734B50">
              <w:rPr>
                <w:rFonts w:eastAsia="Calibri" w:cs="Tahoma"/>
                <w:szCs w:val="18"/>
                <w:lang w:val="pt-BR"/>
              </w:rPr>
              <w:t xml:space="preserve">Edições do SQL Server Enterprise, </w:t>
            </w:r>
            <w:r w:rsidRPr="00734B50">
              <w:rPr>
                <w:rFonts w:cs="Tahoma"/>
                <w:szCs w:val="18"/>
                <w:lang w:val="pt-BR"/>
              </w:rPr>
              <w:t xml:space="preserve">SQL Server Business Intelligence, </w:t>
            </w:r>
            <w:r w:rsidRPr="00734B50">
              <w:rPr>
                <w:rFonts w:eastAsia="Calibri" w:cs="Tahoma"/>
                <w:szCs w:val="18"/>
                <w:lang w:val="pt-BR"/>
              </w:rPr>
              <w:t>Windows</w:t>
            </w:r>
            <w:r w:rsidR="00AA79A5" w:rsidRPr="00734B50">
              <w:rPr>
                <w:rFonts w:eastAsia="Calibri" w:cs="Tahoma"/>
                <w:szCs w:val="18"/>
                <w:lang w:val="pt-BR"/>
              </w:rPr>
              <w:t> </w:t>
            </w:r>
            <w:r w:rsidRPr="00734B50">
              <w:rPr>
                <w:rFonts w:eastAsia="Calibri" w:cs="Tahoma"/>
                <w:szCs w:val="18"/>
                <w:lang w:val="pt-BR"/>
              </w:rPr>
              <w:t>Server</w:t>
            </w:r>
            <w:r w:rsidR="00AA79A5" w:rsidRPr="00734B50">
              <w:rPr>
                <w:rFonts w:eastAsia="Calibri" w:cs="Tahoma"/>
                <w:szCs w:val="18"/>
                <w:lang w:val="pt-BR"/>
              </w:rPr>
              <w:t> </w:t>
            </w:r>
            <w:r w:rsidRPr="00734B50">
              <w:rPr>
                <w:rFonts w:eastAsia="Calibri" w:cs="Tahoma"/>
                <w:szCs w:val="18"/>
                <w:lang w:val="pt-BR"/>
              </w:rPr>
              <w:t>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50</w:t>
            </w:r>
          </w:p>
        </w:tc>
      </w:tr>
      <w:tr w:rsidR="000D4ECA" w:rsidRPr="00653421"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34B50" w:rsidRDefault="00F56FC9" w:rsidP="00F137D5">
            <w:pPr>
              <w:spacing w:after="60"/>
              <w:jc w:val="center"/>
              <w:rPr>
                <w:rFonts w:cs="Tahoma"/>
                <w:szCs w:val="18"/>
                <w:lang w:val="pt-BR"/>
              </w:rPr>
            </w:pPr>
            <w:r w:rsidRPr="00734B50">
              <w:rPr>
                <w:rFonts w:eastAsia="Calibri" w:cs="Tahoma"/>
                <w:szCs w:val="18"/>
                <w:lang w:val="pt-BR"/>
              </w:rPr>
              <w:t>Edições do SQL Server Data Center, Windows Server Data Server, Licença de Gerenciamento do System Center 2012 Datacenter Server (2 processadores) e</w:t>
            </w:r>
            <w:r w:rsidR="00F137D5" w:rsidRPr="00734B50">
              <w:rPr>
                <w:rFonts w:eastAsia="Calibri" w:cs="Tahoma"/>
                <w:szCs w:val="18"/>
                <w:lang w:val="pt-BR"/>
              </w:rPr>
              <w:t> </w:t>
            </w:r>
            <w:r w:rsidRPr="00734B50">
              <w:rPr>
                <w:rFonts w:eastAsia="Calibri" w:cs="Tahoma"/>
                <w:szCs w:val="18"/>
                <w:lang w:val="pt-BR"/>
              </w:rPr>
              <w:t>Visual</w:t>
            </w:r>
            <w:r w:rsidR="00F137D5" w:rsidRPr="00734B50">
              <w:rPr>
                <w:rFonts w:eastAsia="Calibri" w:cs="Tahoma"/>
                <w:szCs w:val="18"/>
                <w:lang w:val="pt-BR"/>
              </w:rPr>
              <w:t> </w:t>
            </w:r>
            <w:r w:rsidRPr="00734B50">
              <w:rPr>
                <w:rFonts w:eastAsia="Calibri" w:cs="Tahoma"/>
                <w:szCs w:val="18"/>
                <w:lang w:val="pt-BR"/>
              </w:rPr>
              <w:t>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75</w:t>
            </w:r>
          </w:p>
        </w:tc>
      </w:tr>
    </w:tbl>
    <w:p w:rsidR="000D4ECA" w:rsidRPr="00734B50" w:rsidRDefault="000D4ECA" w:rsidP="0063466C">
      <w:pPr>
        <w:ind w:firstLine="720"/>
        <w:rPr>
          <w:lang w:val="pt-BR"/>
        </w:rPr>
      </w:pPr>
      <w:r w:rsidRPr="00734B50">
        <w:rPr>
          <w:rFonts w:cs="Tahoma"/>
          <w:b/>
          <w:i/>
          <w:sz w:val="16"/>
          <w:szCs w:val="18"/>
          <w:lang w:val="pt-BR"/>
        </w:rPr>
        <w:t>Observação:</w:t>
      </w:r>
      <w:r w:rsidRPr="00734B50">
        <w:rPr>
          <w:rFonts w:cs="Tahoma"/>
          <w:i/>
          <w:sz w:val="16"/>
          <w:szCs w:val="18"/>
          <w:lang w:val="pt-BR"/>
        </w:rPr>
        <w:t xml:space="preserve"> Para CALs, consulte a tabela Pacotes de CALs nesta seção</w:t>
      </w:r>
    </w:p>
    <w:p w:rsidR="00F56FC9" w:rsidRPr="00734B50" w:rsidRDefault="00F56FC9" w:rsidP="0063466C">
      <w:pPr>
        <w:rPr>
          <w:lang w:val="pt-BR"/>
        </w:rPr>
      </w:pPr>
    </w:p>
    <w:p w:rsidR="000D4ECA" w:rsidRPr="00734B50" w:rsidRDefault="000D4ECA" w:rsidP="0063466C">
      <w:pPr>
        <w:rPr>
          <w:lang w:val="pt-BR"/>
        </w:rPr>
      </w:pPr>
      <w:r w:rsidRPr="00734B50">
        <w:rPr>
          <w:rFonts w:cs="Tahoma"/>
          <w:szCs w:val="18"/>
          <w:lang w:val="pt-BR"/>
        </w:rPr>
        <w:t>Quando esses produtos qualificados são comprados por meio do Enrollment for Application Platform (EAP) ou</w:t>
      </w:r>
      <w:r w:rsidR="00C956D0" w:rsidRPr="00734B50">
        <w:rPr>
          <w:rFonts w:cs="Tahoma"/>
          <w:szCs w:val="18"/>
          <w:lang w:val="pt-BR"/>
        </w:rPr>
        <w:t> </w:t>
      </w:r>
      <w:r w:rsidRPr="00734B50">
        <w:rPr>
          <w:rFonts w:cs="Tahoma"/>
          <w:szCs w:val="18"/>
          <w:lang w:val="pt-BR"/>
        </w:rPr>
        <w:t>Enrollment for Core Infrastructure (ECI), cada ponto concedido, coberto pelo EAP e pelo ECI, é multiplicado por</w:t>
      </w:r>
      <w:r w:rsidR="00C956D0" w:rsidRPr="00734B50">
        <w:rPr>
          <w:rFonts w:cs="Tahoma"/>
          <w:szCs w:val="18"/>
          <w:lang w:val="pt-BR"/>
        </w:rPr>
        <w:t> </w:t>
      </w:r>
      <w:r w:rsidRPr="00734B50">
        <w:rPr>
          <w:rFonts w:cs="Tahoma"/>
          <w:szCs w:val="18"/>
          <w:lang w:val="pt-BR"/>
        </w:rPr>
        <w:t>2</w:t>
      </w:r>
      <w:r w:rsidR="00C956D0" w:rsidRPr="00734B50">
        <w:rPr>
          <w:rFonts w:cs="Tahoma"/>
          <w:szCs w:val="18"/>
          <w:lang w:val="pt-BR"/>
        </w:rPr>
        <w:t> </w:t>
      </w:r>
      <w:r w:rsidRPr="00734B50">
        <w:rPr>
          <w:rFonts w:cs="Tahoma"/>
          <w:szCs w:val="18"/>
          <w:lang w:val="pt-BR"/>
        </w:rPr>
        <w:t xml:space="preserve">(dois). </w:t>
      </w:r>
    </w:p>
    <w:p w:rsidR="000D4ECA" w:rsidRPr="00734B50" w:rsidRDefault="000D4ECA" w:rsidP="0063466C">
      <w:pPr>
        <w:rPr>
          <w:lang w:val="pt-BR"/>
        </w:rPr>
      </w:pPr>
    </w:p>
    <w:p w:rsidR="00C956D0" w:rsidRPr="00734B50" w:rsidRDefault="00C956D0" w:rsidP="0063466C">
      <w:pPr>
        <w:rPr>
          <w:lang w:val="pt-BR"/>
        </w:rPr>
      </w:pPr>
    </w:p>
    <w:p w:rsidR="00C956D0" w:rsidRPr="00734B50" w:rsidRDefault="00C956D0" w:rsidP="0063466C">
      <w:pPr>
        <w:rPr>
          <w:lang w:val="pt-BR"/>
        </w:rPr>
      </w:pPr>
    </w:p>
    <w:p w:rsidR="00C956D0" w:rsidRPr="00734B50" w:rsidRDefault="00C956D0" w:rsidP="0063466C">
      <w:pPr>
        <w:rPr>
          <w:lang w:val="pt-BR"/>
        </w:rPr>
      </w:pPr>
    </w:p>
    <w:p w:rsidR="00C956D0" w:rsidRPr="00734B50" w:rsidRDefault="00C956D0" w:rsidP="0063466C">
      <w:pPr>
        <w:rPr>
          <w:lang w:val="pt-BR"/>
        </w:rPr>
      </w:pPr>
    </w:p>
    <w:p w:rsidR="00C956D0" w:rsidRPr="00734B50" w:rsidRDefault="00C956D0" w:rsidP="0063466C">
      <w:pPr>
        <w:rPr>
          <w:lang w:val="pt-BR"/>
        </w:rPr>
      </w:pPr>
    </w:p>
    <w:p w:rsidR="000D4ECA" w:rsidRPr="00734B50" w:rsidRDefault="000D4ECA" w:rsidP="0063466C">
      <w:pPr>
        <w:rPr>
          <w:lang w:val="pt-BR"/>
        </w:rPr>
      </w:pPr>
      <w:r w:rsidRPr="00734B50">
        <w:rPr>
          <w:rFonts w:cs="Tahoma"/>
          <w:szCs w:val="18"/>
          <w:lang w:val="pt-BR"/>
        </w:rPr>
        <w:lastRenderedPageBreak/>
        <w:t>O total de pontos para o qual o cliente é qualificado define as qualificações de Dias de Serviços de Planejamento, conforme mostrado abaixo:</w:t>
      </w:r>
    </w:p>
    <w:p w:rsidR="000D4ECA" w:rsidRPr="00734B50"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04628"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34B50" w:rsidRDefault="000D4ECA" w:rsidP="000D4ECA">
            <w:pPr>
              <w:spacing w:after="60"/>
              <w:jc w:val="center"/>
              <w:rPr>
                <w:rFonts w:cs="Tahoma"/>
                <w:szCs w:val="18"/>
                <w:lang w:val="pt-BR"/>
              </w:rPr>
            </w:pPr>
            <w:r w:rsidRPr="00734B50">
              <w:rPr>
                <w:rFonts w:cs="Tahoma"/>
                <w:b/>
                <w:bCs/>
                <w:szCs w:val="18"/>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34B50" w:rsidRDefault="000D4ECA" w:rsidP="00085D8C">
            <w:pPr>
              <w:spacing w:after="60"/>
              <w:jc w:val="center"/>
              <w:rPr>
                <w:rFonts w:cs="Tahoma"/>
                <w:szCs w:val="18"/>
                <w:lang w:val="pt-BR"/>
              </w:rPr>
            </w:pPr>
            <w:r w:rsidRPr="00734B50">
              <w:rPr>
                <w:rFonts w:cs="Tahoma"/>
                <w:b/>
                <w:bCs/>
                <w:szCs w:val="18"/>
                <w:lang w:val="pt-BR"/>
              </w:rPr>
              <w:t>Dias de Serviços de</w:t>
            </w:r>
            <w:r w:rsidR="00085D8C" w:rsidRPr="00734B50">
              <w:rPr>
                <w:rFonts w:cs="Tahoma"/>
                <w:b/>
                <w:bCs/>
                <w:szCs w:val="18"/>
                <w:lang w:val="pt-BR"/>
              </w:rPr>
              <w:t> </w:t>
            </w:r>
            <w:r w:rsidRPr="00734B50">
              <w:rPr>
                <w:rFonts w:cs="Tahoma"/>
                <w:b/>
                <w:bCs/>
                <w:szCs w:val="18"/>
                <w:lang w:val="pt-BR"/>
              </w:rPr>
              <w:t>Planejamento</w:t>
            </w:r>
          </w:p>
        </w:tc>
      </w:tr>
      <w:tr w:rsidR="000D4ECA" w:rsidRPr="00653421"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200</w:t>
            </w:r>
            <w:r w:rsidR="00AD353C" w:rsidRPr="00653421">
              <w:rPr>
                <w:rFonts w:cs="Tahoma"/>
                <w:szCs w:val="18"/>
              </w:rPr>
              <w:t xml:space="preserve"> – </w:t>
            </w:r>
            <w:r w:rsidRPr="00653421">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1</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C956D0">
            <w:pPr>
              <w:spacing w:after="60"/>
              <w:jc w:val="center"/>
              <w:rPr>
                <w:rFonts w:cs="Tahoma"/>
                <w:szCs w:val="18"/>
              </w:rPr>
            </w:pPr>
            <w:r w:rsidRPr="00653421">
              <w:rPr>
                <w:rFonts w:cs="Tahoma"/>
                <w:szCs w:val="18"/>
              </w:rPr>
              <w:t>500</w:t>
            </w:r>
            <w:r w:rsidR="00AD353C" w:rsidRPr="00653421">
              <w:rPr>
                <w:rFonts w:cs="Tahoma"/>
                <w:szCs w:val="18"/>
              </w:rPr>
              <w:t xml:space="preserve"> – </w:t>
            </w:r>
            <w:r w:rsidRPr="00653421">
              <w:rPr>
                <w:rFonts w:cs="Tahoma"/>
                <w:szCs w:val="18"/>
              </w:rPr>
              <w:t>1</w:t>
            </w:r>
            <w:r w:rsidR="00C956D0"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3</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C956D0">
            <w:pPr>
              <w:spacing w:after="60"/>
              <w:jc w:val="center"/>
              <w:rPr>
                <w:rFonts w:cs="Tahoma"/>
                <w:szCs w:val="18"/>
              </w:rPr>
            </w:pPr>
            <w:r w:rsidRPr="00653421">
              <w:rPr>
                <w:rFonts w:cs="Tahoma"/>
                <w:szCs w:val="18"/>
              </w:rPr>
              <w:t>2</w:t>
            </w:r>
            <w:r w:rsidR="00C956D0" w:rsidRPr="00653421">
              <w:rPr>
                <w:rFonts w:cs="Tahoma"/>
                <w:szCs w:val="18"/>
              </w:rPr>
              <w:t>.</w:t>
            </w:r>
            <w:r w:rsidRPr="00653421">
              <w:rPr>
                <w:rFonts w:cs="Tahoma"/>
                <w:szCs w:val="18"/>
              </w:rPr>
              <w:t>000</w:t>
            </w:r>
            <w:r w:rsidR="00AD353C" w:rsidRPr="00653421">
              <w:rPr>
                <w:rFonts w:cs="Tahoma"/>
                <w:szCs w:val="18"/>
              </w:rPr>
              <w:t xml:space="preserve"> – </w:t>
            </w:r>
            <w:r w:rsidRPr="00653421">
              <w:rPr>
                <w:rFonts w:cs="Tahoma"/>
                <w:szCs w:val="18"/>
              </w:rPr>
              <w:t>3</w:t>
            </w:r>
            <w:r w:rsidR="00C956D0"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5</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C956D0">
            <w:pPr>
              <w:spacing w:after="60"/>
              <w:jc w:val="center"/>
              <w:rPr>
                <w:rFonts w:cs="Tahoma"/>
                <w:szCs w:val="18"/>
              </w:rPr>
            </w:pPr>
            <w:r w:rsidRPr="00653421">
              <w:rPr>
                <w:rFonts w:cs="Tahoma"/>
                <w:szCs w:val="18"/>
              </w:rPr>
              <w:t>4</w:t>
            </w:r>
            <w:r w:rsidR="00C956D0" w:rsidRPr="00653421">
              <w:rPr>
                <w:rFonts w:cs="Tahoma"/>
                <w:szCs w:val="18"/>
              </w:rPr>
              <w:t>.</w:t>
            </w:r>
            <w:r w:rsidRPr="00653421">
              <w:rPr>
                <w:rFonts w:cs="Tahoma"/>
                <w:szCs w:val="18"/>
              </w:rPr>
              <w:t>000 – 29</w:t>
            </w:r>
            <w:r w:rsidR="00C956D0"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10</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C956D0">
            <w:pPr>
              <w:spacing w:after="60"/>
              <w:jc w:val="center"/>
              <w:rPr>
                <w:rFonts w:cs="Tahoma"/>
                <w:szCs w:val="18"/>
              </w:rPr>
            </w:pPr>
            <w:r w:rsidRPr="00653421">
              <w:rPr>
                <w:rFonts w:cs="Tahoma"/>
                <w:szCs w:val="18"/>
              </w:rPr>
              <w:t>30</w:t>
            </w:r>
            <w:r w:rsidR="00C956D0" w:rsidRPr="00653421">
              <w:rPr>
                <w:rFonts w:cs="Tahoma"/>
                <w:szCs w:val="18"/>
              </w:rPr>
              <w:t>.</w:t>
            </w:r>
            <w:r w:rsidRPr="00653421">
              <w:rPr>
                <w:rFonts w:cs="Tahoma"/>
                <w:szCs w:val="18"/>
              </w:rPr>
              <w:t>000 – 49</w:t>
            </w:r>
            <w:r w:rsidR="00C956D0"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15</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C956D0">
            <w:pPr>
              <w:spacing w:after="60"/>
              <w:jc w:val="center"/>
              <w:rPr>
                <w:rFonts w:cs="Tahoma"/>
                <w:szCs w:val="18"/>
              </w:rPr>
            </w:pPr>
            <w:r w:rsidRPr="00653421">
              <w:rPr>
                <w:rFonts w:cs="Tahoma"/>
                <w:szCs w:val="18"/>
              </w:rPr>
              <w:t>50</w:t>
            </w:r>
            <w:r w:rsidR="00C956D0" w:rsidRPr="00653421">
              <w:rPr>
                <w:rFonts w:cs="Tahoma"/>
                <w:szCs w:val="18"/>
              </w:rPr>
              <w:t>.</w:t>
            </w:r>
            <w:r w:rsidRPr="00653421">
              <w:rPr>
                <w:rFonts w:cs="Tahoma"/>
                <w:szCs w:val="18"/>
              </w:rPr>
              <w:t>000 – 99</w:t>
            </w:r>
            <w:r w:rsidR="00C956D0"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20</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C956D0">
            <w:pPr>
              <w:spacing w:after="60"/>
              <w:jc w:val="center"/>
              <w:rPr>
                <w:rFonts w:cs="Tahoma"/>
                <w:szCs w:val="18"/>
              </w:rPr>
            </w:pPr>
            <w:r w:rsidRPr="00653421">
              <w:rPr>
                <w:rFonts w:cs="Tahoma"/>
                <w:szCs w:val="18"/>
              </w:rPr>
              <w:t>100</w:t>
            </w:r>
            <w:r w:rsidR="00C956D0" w:rsidRPr="00653421">
              <w:rPr>
                <w:rFonts w:cs="Tahoma"/>
                <w:szCs w:val="18"/>
              </w:rPr>
              <w:t>.</w:t>
            </w:r>
            <w:r w:rsidRPr="00653421">
              <w:rPr>
                <w:rFonts w:cs="Tahoma"/>
                <w:szCs w:val="18"/>
              </w:rPr>
              <w:t>000 – 199</w:t>
            </w:r>
            <w:r w:rsidR="00C956D0"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30</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C956D0">
            <w:pPr>
              <w:spacing w:after="60"/>
              <w:jc w:val="center"/>
              <w:rPr>
                <w:rFonts w:cs="Tahoma"/>
                <w:szCs w:val="18"/>
              </w:rPr>
            </w:pPr>
            <w:r w:rsidRPr="00653421">
              <w:rPr>
                <w:rFonts w:cs="Tahoma"/>
                <w:szCs w:val="18"/>
              </w:rPr>
              <w:t>200</w:t>
            </w:r>
            <w:r w:rsidR="00C956D0" w:rsidRPr="00653421">
              <w:rPr>
                <w:rFonts w:cs="Tahoma"/>
                <w:szCs w:val="18"/>
              </w:rPr>
              <w:t>.</w:t>
            </w:r>
            <w:r w:rsidRPr="00653421">
              <w:rPr>
                <w:rFonts w:cs="Tahoma"/>
                <w:szCs w:val="18"/>
              </w:rPr>
              <w:t>000 – 399</w:t>
            </w:r>
            <w:r w:rsidR="00C956D0"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40</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C956D0">
            <w:pPr>
              <w:spacing w:after="60"/>
              <w:jc w:val="center"/>
              <w:rPr>
                <w:rFonts w:cs="Tahoma"/>
                <w:szCs w:val="18"/>
              </w:rPr>
            </w:pPr>
            <w:r w:rsidRPr="00653421">
              <w:rPr>
                <w:rFonts w:cs="Tahoma"/>
                <w:szCs w:val="18"/>
              </w:rPr>
              <w:t>400</w:t>
            </w:r>
            <w:r w:rsidR="00C956D0" w:rsidRPr="00653421">
              <w:rPr>
                <w:rFonts w:cs="Tahoma"/>
                <w:szCs w:val="18"/>
              </w:rPr>
              <w:t>.</w:t>
            </w:r>
            <w:r w:rsidRPr="00653421">
              <w:rPr>
                <w:rFonts w:cs="Tahoma"/>
                <w:szCs w:val="18"/>
              </w:rPr>
              <w:t>000 – 599</w:t>
            </w:r>
            <w:r w:rsidR="00C956D0"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50</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C956D0">
            <w:pPr>
              <w:spacing w:after="60"/>
              <w:jc w:val="center"/>
              <w:rPr>
                <w:rFonts w:cs="Tahoma"/>
                <w:szCs w:val="18"/>
              </w:rPr>
            </w:pPr>
            <w:r w:rsidRPr="00653421">
              <w:rPr>
                <w:rFonts w:cs="Tahoma"/>
                <w:szCs w:val="18"/>
              </w:rPr>
              <w:t>600</w:t>
            </w:r>
            <w:r w:rsidR="00C956D0" w:rsidRPr="00653421">
              <w:rPr>
                <w:rFonts w:cs="Tahoma"/>
                <w:szCs w:val="18"/>
              </w:rPr>
              <w:t>.</w:t>
            </w:r>
            <w:r w:rsidRPr="00653421">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75</w:t>
            </w:r>
          </w:p>
        </w:tc>
      </w:tr>
    </w:tbl>
    <w:p w:rsidR="000D4ECA" w:rsidRPr="00653421" w:rsidRDefault="000D4ECA" w:rsidP="0063466C"/>
    <w:p w:rsidR="000D4ECA" w:rsidRPr="00734B50" w:rsidRDefault="000D4ECA" w:rsidP="0063466C">
      <w:pPr>
        <w:rPr>
          <w:lang w:val="pt-BR"/>
        </w:rPr>
      </w:pPr>
      <w:r w:rsidRPr="00734B50">
        <w:rPr>
          <w:rFonts w:cs="Tahoma"/>
          <w:szCs w:val="18"/>
          <w:lang w:val="pt-BR"/>
        </w:rPr>
        <w:t xml:space="preserve">A cobertura do Pacote de CALs Principais e de SA de Pacote de CALs do SQL conta como </w:t>
      </w:r>
      <w:r w:rsidRPr="00734B50">
        <w:rPr>
          <w:rFonts w:cs="Tahoma"/>
          <w:szCs w:val="18"/>
          <w:u w:val="single"/>
          <w:lang w:val="pt-BR"/>
        </w:rPr>
        <w:t>1 (um) ponto</w:t>
      </w:r>
      <w:r w:rsidRPr="00734B50">
        <w:rPr>
          <w:rFonts w:cs="Tahoma"/>
          <w:szCs w:val="18"/>
          <w:lang w:val="pt-BR"/>
        </w:rPr>
        <w:t xml:space="preserve"> em relação aos valores limite na primeira coluna a seguir, e a cobertura de SA de Pacote de CALs Empresariais conta como </w:t>
      </w:r>
      <w:r w:rsidRPr="00734B50">
        <w:rPr>
          <w:rFonts w:cs="Tahoma"/>
          <w:szCs w:val="18"/>
          <w:u w:val="single"/>
          <w:lang w:val="pt-BR"/>
        </w:rPr>
        <w:t>2</w:t>
      </w:r>
      <w:r w:rsidR="00085D8C" w:rsidRPr="00734B50">
        <w:rPr>
          <w:rFonts w:cs="Tahoma"/>
          <w:szCs w:val="18"/>
          <w:u w:val="single"/>
          <w:lang w:val="pt-BR"/>
        </w:rPr>
        <w:t> </w:t>
      </w:r>
      <w:r w:rsidRPr="00734B50">
        <w:rPr>
          <w:rFonts w:cs="Tahoma"/>
          <w:szCs w:val="18"/>
          <w:u w:val="single"/>
          <w:lang w:val="pt-BR"/>
        </w:rPr>
        <w:t>(dois) pontos</w:t>
      </w:r>
      <w:r w:rsidRPr="00734B50">
        <w:rPr>
          <w:rFonts w:cs="Tahoma"/>
          <w:szCs w:val="18"/>
          <w:lang w:val="pt-BR"/>
        </w:rPr>
        <w:t xml:space="preserve"> em relação aos valores limite na primeira coluna a seguir:</w:t>
      </w:r>
    </w:p>
    <w:p w:rsidR="000D4ECA" w:rsidRPr="00734B50"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04628"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34B50" w:rsidRDefault="000D4ECA" w:rsidP="0082569C">
            <w:pPr>
              <w:spacing w:after="60"/>
              <w:rPr>
                <w:rFonts w:cs="Tahoma"/>
                <w:szCs w:val="18"/>
                <w:lang w:val="pt-BR"/>
              </w:rPr>
            </w:pPr>
            <w:r w:rsidRPr="00734B50">
              <w:rPr>
                <w:rFonts w:cs="Tahoma"/>
                <w:b/>
                <w:bCs/>
                <w:szCs w:val="18"/>
                <w:lang w:val="pt-BR"/>
              </w:rPr>
              <w:t>Dias de Serviços de</w:t>
            </w:r>
            <w:r w:rsidR="0082569C" w:rsidRPr="00734B50">
              <w:rPr>
                <w:rFonts w:cs="Tahoma"/>
                <w:b/>
                <w:bCs/>
                <w:szCs w:val="18"/>
                <w:lang w:val="pt-BR"/>
              </w:rPr>
              <w:t> </w:t>
            </w:r>
            <w:r w:rsidRPr="00734B50">
              <w:rPr>
                <w:rFonts w:cs="Tahoma"/>
                <w:b/>
                <w:bCs/>
                <w:szCs w:val="18"/>
                <w:lang w:val="pt-BR"/>
              </w:rPr>
              <w:t xml:space="preserve">Planejamento </w:t>
            </w:r>
          </w:p>
        </w:tc>
      </w:tr>
      <w:tr w:rsidR="000D4ECA" w:rsidRPr="00653421"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85D8C">
            <w:pPr>
              <w:spacing w:after="60"/>
              <w:jc w:val="center"/>
              <w:rPr>
                <w:rFonts w:cs="Tahoma"/>
                <w:szCs w:val="18"/>
              </w:rPr>
            </w:pPr>
            <w:r w:rsidRPr="00653421">
              <w:rPr>
                <w:rFonts w:cs="Tahoma"/>
                <w:szCs w:val="18"/>
              </w:rPr>
              <w:t>200</w:t>
            </w:r>
            <w:r w:rsidR="00AD353C" w:rsidRPr="00653421">
              <w:rPr>
                <w:rFonts w:cs="Tahoma"/>
                <w:szCs w:val="18"/>
              </w:rPr>
              <w:t xml:space="preserve"> – </w:t>
            </w:r>
            <w:r w:rsidRPr="00653421">
              <w:rPr>
                <w:rFonts w:cs="Tahoma"/>
                <w:szCs w:val="18"/>
              </w:rPr>
              <w:t>3</w:t>
            </w:r>
            <w:r w:rsidR="00085D8C"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1</w:t>
            </w:r>
          </w:p>
        </w:tc>
      </w:tr>
      <w:tr w:rsidR="000D4ECA" w:rsidRPr="00653421"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85D8C">
            <w:pPr>
              <w:spacing w:after="60"/>
              <w:jc w:val="center"/>
              <w:rPr>
                <w:rFonts w:cs="Tahoma"/>
                <w:szCs w:val="18"/>
              </w:rPr>
            </w:pPr>
            <w:r w:rsidRPr="00653421">
              <w:rPr>
                <w:rFonts w:cs="Tahoma"/>
                <w:szCs w:val="18"/>
              </w:rPr>
              <w:t>4</w:t>
            </w:r>
            <w:r w:rsidR="00085D8C" w:rsidRPr="00653421">
              <w:rPr>
                <w:rFonts w:cs="Tahoma"/>
                <w:szCs w:val="18"/>
              </w:rPr>
              <w:t>.</w:t>
            </w:r>
            <w:r w:rsidRPr="00653421">
              <w:rPr>
                <w:rFonts w:cs="Tahoma"/>
                <w:szCs w:val="18"/>
              </w:rPr>
              <w:t>000 – 9</w:t>
            </w:r>
            <w:r w:rsidR="00085D8C"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3</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85D8C">
            <w:pPr>
              <w:spacing w:after="60"/>
              <w:jc w:val="center"/>
              <w:rPr>
                <w:rFonts w:cs="Tahoma"/>
                <w:szCs w:val="18"/>
              </w:rPr>
            </w:pPr>
            <w:r w:rsidRPr="00653421">
              <w:rPr>
                <w:rFonts w:cs="Tahoma"/>
                <w:szCs w:val="18"/>
              </w:rPr>
              <w:t>10</w:t>
            </w:r>
            <w:r w:rsidR="00085D8C" w:rsidRPr="00653421">
              <w:rPr>
                <w:rFonts w:cs="Tahoma"/>
                <w:szCs w:val="18"/>
              </w:rPr>
              <w:t>.</w:t>
            </w:r>
            <w:r w:rsidRPr="00653421">
              <w:rPr>
                <w:rFonts w:cs="Tahoma"/>
                <w:szCs w:val="18"/>
              </w:rPr>
              <w:t>000 – 99</w:t>
            </w:r>
            <w:r w:rsidR="00085D8C"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5</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85D8C">
            <w:pPr>
              <w:spacing w:after="60"/>
              <w:jc w:val="center"/>
              <w:rPr>
                <w:rFonts w:cs="Tahoma"/>
                <w:szCs w:val="18"/>
              </w:rPr>
            </w:pPr>
            <w:r w:rsidRPr="00653421">
              <w:rPr>
                <w:rFonts w:cs="Tahoma"/>
                <w:szCs w:val="18"/>
              </w:rPr>
              <w:t>100</w:t>
            </w:r>
            <w:r w:rsidR="00085D8C" w:rsidRPr="00653421">
              <w:rPr>
                <w:rFonts w:cs="Tahoma"/>
                <w:szCs w:val="18"/>
              </w:rPr>
              <w:t>.</w:t>
            </w:r>
            <w:r w:rsidRPr="00653421">
              <w:rPr>
                <w:rFonts w:cs="Tahoma"/>
                <w:szCs w:val="18"/>
              </w:rPr>
              <w:t>000 – 299</w:t>
            </w:r>
            <w:r w:rsidR="00085D8C"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7</w:t>
            </w:r>
          </w:p>
        </w:tc>
      </w:tr>
      <w:tr w:rsidR="000D4ECA" w:rsidRPr="00653421"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85D8C">
            <w:pPr>
              <w:spacing w:after="60"/>
              <w:jc w:val="center"/>
              <w:rPr>
                <w:rFonts w:cs="Tahoma"/>
                <w:szCs w:val="18"/>
              </w:rPr>
            </w:pPr>
            <w:r w:rsidRPr="00653421">
              <w:rPr>
                <w:rFonts w:cs="Tahoma"/>
                <w:szCs w:val="18"/>
              </w:rPr>
              <w:t>300</w:t>
            </w:r>
            <w:r w:rsidR="00085D8C" w:rsidRPr="00653421">
              <w:rPr>
                <w:rFonts w:cs="Tahoma"/>
                <w:szCs w:val="18"/>
              </w:rPr>
              <w:t>.</w:t>
            </w:r>
            <w:r w:rsidRPr="00653421">
              <w:rPr>
                <w:rFonts w:cs="Tahoma"/>
                <w:szCs w:val="18"/>
              </w:rPr>
              <w:t>000 – 599</w:t>
            </w:r>
            <w:r w:rsidR="00085D8C" w:rsidRPr="00653421">
              <w:rPr>
                <w:rFonts w:cs="Tahoma"/>
                <w:szCs w:val="18"/>
              </w:rPr>
              <w:t>.</w:t>
            </w:r>
            <w:r w:rsidRPr="006534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10</w:t>
            </w:r>
          </w:p>
        </w:tc>
      </w:tr>
      <w:tr w:rsidR="000D4ECA" w:rsidRPr="006534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85D8C">
            <w:pPr>
              <w:spacing w:after="60"/>
              <w:jc w:val="center"/>
              <w:rPr>
                <w:rFonts w:cs="Tahoma"/>
                <w:szCs w:val="18"/>
              </w:rPr>
            </w:pPr>
            <w:r w:rsidRPr="00653421">
              <w:rPr>
                <w:rFonts w:cs="Tahoma"/>
                <w:szCs w:val="18"/>
              </w:rPr>
              <w:t>600</w:t>
            </w:r>
            <w:r w:rsidR="00085D8C" w:rsidRPr="00653421">
              <w:rPr>
                <w:rFonts w:cs="Tahoma"/>
                <w:szCs w:val="18"/>
              </w:rPr>
              <w:t>.</w:t>
            </w:r>
            <w:r w:rsidRPr="00653421">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53421" w:rsidRDefault="000D4ECA" w:rsidP="000D4ECA">
            <w:pPr>
              <w:spacing w:after="60"/>
              <w:jc w:val="center"/>
              <w:rPr>
                <w:rFonts w:cs="Tahoma"/>
                <w:szCs w:val="18"/>
              </w:rPr>
            </w:pPr>
            <w:r w:rsidRPr="00653421">
              <w:rPr>
                <w:rFonts w:cs="Tahoma"/>
                <w:szCs w:val="18"/>
              </w:rPr>
              <w:t>12</w:t>
            </w:r>
          </w:p>
        </w:tc>
      </w:tr>
    </w:tbl>
    <w:p w:rsidR="001C1727" w:rsidRPr="00653421" w:rsidRDefault="001C1727"/>
    <w:p w:rsidR="000D4ECA" w:rsidRPr="00653421" w:rsidRDefault="000D4ECA" w:rsidP="000D4ECA">
      <w:pPr>
        <w:spacing w:after="60"/>
      </w:pPr>
      <w:r w:rsidRPr="00653421">
        <w:rPr>
          <w:rFonts w:cs="Tahoma"/>
          <w:szCs w:val="20"/>
        </w:rPr>
        <w:t>Exemplos</w:t>
      </w:r>
    </w:p>
    <w:p w:rsidR="000D4ECA" w:rsidRPr="00653421" w:rsidRDefault="000D4ECA" w:rsidP="000D4ECA">
      <w:pPr>
        <w:spacing w:after="60"/>
      </w:pPr>
      <w:r w:rsidRPr="00653421">
        <w:rPr>
          <w:rFonts w:cs="Tahoma"/>
          <w:szCs w:val="20"/>
        </w:rPr>
        <w:t>Contrato Open Value com:</w:t>
      </w:r>
    </w:p>
    <w:p w:rsidR="000D4ECA" w:rsidRPr="00734B50" w:rsidRDefault="000D4ECA" w:rsidP="000D4ECA">
      <w:pPr>
        <w:spacing w:after="60"/>
        <w:rPr>
          <w:lang w:val="fr-FR"/>
        </w:rPr>
      </w:pPr>
      <w:r w:rsidRPr="00734B50">
        <w:rPr>
          <w:rFonts w:cs="Tahoma"/>
          <w:szCs w:val="20"/>
          <w:lang w:val="fr-FR"/>
        </w:rPr>
        <w:t>150 L&amp;SA do Office Professional Plus</w:t>
      </w:r>
    </w:p>
    <w:p w:rsidR="000D4ECA" w:rsidRPr="00734B50" w:rsidRDefault="000D4ECA" w:rsidP="000D4ECA">
      <w:pPr>
        <w:spacing w:after="60"/>
        <w:rPr>
          <w:lang w:val="pt-BR"/>
        </w:rPr>
      </w:pPr>
      <w:r w:rsidRPr="00734B50">
        <w:rPr>
          <w:rFonts w:cs="Tahoma"/>
          <w:szCs w:val="20"/>
          <w:u w:val="single"/>
          <w:lang w:val="pt-BR"/>
        </w:rPr>
        <w:t>+ 50 SA do Visio Standard</w:t>
      </w:r>
      <w:r w:rsidRPr="00734B50">
        <w:rPr>
          <w:rFonts w:cs="Tahoma"/>
          <w:szCs w:val="20"/>
          <w:u w:val="single"/>
          <w:lang w:val="pt-BR"/>
        </w:rPr>
        <w:tab/>
      </w:r>
    </w:p>
    <w:p w:rsidR="000D4ECA" w:rsidRPr="00734B50" w:rsidRDefault="000D4ECA" w:rsidP="000D4ECA">
      <w:pPr>
        <w:spacing w:after="60"/>
        <w:rPr>
          <w:lang w:val="pt-BR"/>
        </w:rPr>
      </w:pPr>
      <w:r w:rsidRPr="00734B50">
        <w:rPr>
          <w:rFonts w:cs="Tahoma"/>
          <w:szCs w:val="20"/>
          <w:lang w:val="pt-BR"/>
        </w:rPr>
        <w:t>200 Pontos Cobertos de Licenças de Aplicativos e/ou Servidores Office = 1 dia</w:t>
      </w:r>
    </w:p>
    <w:p w:rsidR="000D4ECA" w:rsidRPr="00734B50" w:rsidRDefault="000D4ECA" w:rsidP="00077CE5">
      <w:pPr>
        <w:rPr>
          <w:lang w:val="pt-BR"/>
        </w:rPr>
      </w:pPr>
    </w:p>
    <w:p w:rsidR="000D4ECA" w:rsidRPr="00734B50" w:rsidRDefault="000D4ECA" w:rsidP="000D4ECA">
      <w:pPr>
        <w:spacing w:after="60"/>
        <w:rPr>
          <w:lang w:val="pt-BR"/>
        </w:rPr>
      </w:pPr>
      <w:r w:rsidRPr="00734B50">
        <w:rPr>
          <w:rFonts w:cs="Tahoma"/>
          <w:szCs w:val="20"/>
          <w:lang w:val="pt-BR"/>
        </w:rPr>
        <w:t>Registro Select ou Select Plus do SAM com:</w:t>
      </w:r>
    </w:p>
    <w:p w:rsidR="000D4ECA" w:rsidRPr="00734B50" w:rsidRDefault="000D4ECA" w:rsidP="000D4ECA">
      <w:pPr>
        <w:spacing w:after="60"/>
        <w:rPr>
          <w:lang w:val="pt-BR"/>
        </w:rPr>
      </w:pPr>
      <w:r w:rsidRPr="00734B50">
        <w:rPr>
          <w:rFonts w:cs="Tahoma"/>
          <w:szCs w:val="20"/>
          <w:lang w:val="pt-BR"/>
        </w:rPr>
        <w:t>3.500 SA de Pacote CAL Empresarial</w:t>
      </w:r>
    </w:p>
    <w:p w:rsidR="000D4ECA" w:rsidRPr="00734B50" w:rsidRDefault="000D4ECA" w:rsidP="000D4ECA">
      <w:pPr>
        <w:spacing w:after="60"/>
        <w:rPr>
          <w:lang w:val="pt-BR"/>
        </w:rPr>
      </w:pPr>
      <w:r w:rsidRPr="00734B50">
        <w:rPr>
          <w:rFonts w:cs="Tahoma"/>
          <w:szCs w:val="20"/>
          <w:u w:val="single"/>
          <w:lang w:val="pt-BR"/>
        </w:rPr>
        <w:t>x 2 pontos cada</w:t>
      </w:r>
      <w:r w:rsidRPr="00734B50">
        <w:rPr>
          <w:rFonts w:cs="Tahoma"/>
          <w:szCs w:val="20"/>
          <w:u w:val="single"/>
          <w:lang w:val="pt-BR"/>
        </w:rPr>
        <w:tab/>
      </w:r>
      <w:r w:rsidRPr="00734B50">
        <w:rPr>
          <w:rFonts w:cs="Tahoma"/>
          <w:szCs w:val="20"/>
          <w:u w:val="single"/>
          <w:lang w:val="pt-BR"/>
        </w:rPr>
        <w:tab/>
      </w:r>
      <w:r w:rsidRPr="00734B50">
        <w:rPr>
          <w:rFonts w:cs="Tahoma"/>
          <w:szCs w:val="20"/>
          <w:lang w:val="pt-BR"/>
        </w:rPr>
        <w:t xml:space="preserve"> </w:t>
      </w:r>
    </w:p>
    <w:p w:rsidR="000D4ECA" w:rsidRPr="00734B50" w:rsidRDefault="000D4ECA" w:rsidP="000D4ECA">
      <w:pPr>
        <w:spacing w:after="60"/>
        <w:rPr>
          <w:lang w:val="pt-BR"/>
        </w:rPr>
      </w:pPr>
      <w:r w:rsidRPr="00734B50">
        <w:rPr>
          <w:rFonts w:cs="Tahoma"/>
          <w:szCs w:val="20"/>
          <w:lang w:val="pt-BR"/>
        </w:rPr>
        <w:t xml:space="preserve">7.000 pontos de CAL = 3 dias </w:t>
      </w:r>
    </w:p>
    <w:p w:rsidR="000D4ECA" w:rsidRPr="00734B50" w:rsidRDefault="000D4ECA" w:rsidP="00077CE5">
      <w:pPr>
        <w:rPr>
          <w:lang w:val="pt-BR"/>
        </w:rPr>
      </w:pPr>
    </w:p>
    <w:p w:rsidR="000D4ECA" w:rsidRPr="00653421" w:rsidRDefault="000D4ECA" w:rsidP="000D4ECA">
      <w:pPr>
        <w:spacing w:after="60"/>
      </w:pPr>
      <w:r w:rsidRPr="00653421">
        <w:rPr>
          <w:rFonts w:cs="Tahoma"/>
          <w:szCs w:val="20"/>
        </w:rPr>
        <w:t>Registro EA com:</w:t>
      </w:r>
    </w:p>
    <w:p w:rsidR="000D4ECA" w:rsidRPr="00653421" w:rsidRDefault="000D4ECA" w:rsidP="000D4ECA">
      <w:pPr>
        <w:spacing w:after="60"/>
      </w:pPr>
      <w:r w:rsidRPr="00653421">
        <w:rPr>
          <w:rFonts w:cs="Tahoma"/>
          <w:szCs w:val="20"/>
        </w:rPr>
        <w:t>3.500 Desktops Empresariais</w:t>
      </w:r>
    </w:p>
    <w:p w:rsidR="000D4ECA" w:rsidRPr="00653421" w:rsidRDefault="000D4ECA" w:rsidP="002C1048">
      <w:pPr>
        <w:numPr>
          <w:ilvl w:val="0"/>
          <w:numId w:val="88"/>
        </w:numPr>
        <w:tabs>
          <w:tab w:val="left" w:pos="720"/>
        </w:tabs>
        <w:spacing w:after="60" w:line="276" w:lineRule="auto"/>
      </w:pPr>
      <w:r w:rsidRPr="00653421">
        <w:rPr>
          <w:rFonts w:cs="Tahoma"/>
          <w:szCs w:val="20"/>
        </w:rPr>
        <w:t xml:space="preserve">3.500 Office Professional </w:t>
      </w:r>
      <w:r w:rsidRPr="00653421">
        <w:rPr>
          <w:rFonts w:cs="Tahoma"/>
          <w:color w:val="000000"/>
          <w:szCs w:val="20"/>
        </w:rPr>
        <w:t>Plus</w:t>
      </w:r>
    </w:p>
    <w:p w:rsidR="000D4ECA" w:rsidRPr="00653421" w:rsidRDefault="000D4ECA" w:rsidP="002C1048">
      <w:pPr>
        <w:numPr>
          <w:ilvl w:val="0"/>
          <w:numId w:val="88"/>
        </w:numPr>
        <w:spacing w:after="60" w:line="276" w:lineRule="auto"/>
      </w:pPr>
      <w:r w:rsidRPr="00653421">
        <w:rPr>
          <w:rFonts w:cs="Tahoma"/>
          <w:color w:val="000000"/>
          <w:szCs w:val="20"/>
        </w:rPr>
        <w:t>3.500 Pacotes CAL Empresarial</w:t>
      </w:r>
    </w:p>
    <w:p w:rsidR="000D4ECA" w:rsidRPr="00734B50" w:rsidRDefault="000D4ECA" w:rsidP="000D4ECA">
      <w:pPr>
        <w:spacing w:after="60"/>
        <w:rPr>
          <w:lang w:val="pt-BR"/>
        </w:rPr>
      </w:pPr>
      <w:r w:rsidRPr="00734B50">
        <w:rPr>
          <w:rFonts w:cs="Tahoma"/>
          <w:szCs w:val="20"/>
          <w:lang w:val="pt-BR"/>
        </w:rPr>
        <w:t>+50 Windows Server Enterprise Edition (x 50 pontos cada = 2.500 pontos)</w:t>
      </w:r>
    </w:p>
    <w:p w:rsidR="000D4ECA" w:rsidRPr="00734B50" w:rsidRDefault="000D4ECA" w:rsidP="000D4ECA">
      <w:pPr>
        <w:spacing w:after="60"/>
        <w:rPr>
          <w:lang w:val="pt-BR"/>
        </w:rPr>
      </w:pPr>
      <w:r w:rsidRPr="00734B50">
        <w:rPr>
          <w:rFonts w:cs="Tahoma"/>
          <w:szCs w:val="20"/>
          <w:u w:val="single"/>
          <w:lang w:val="pt-BR"/>
        </w:rPr>
        <w:t>+ 600 SA do Visio Standard</w:t>
      </w:r>
      <w:r w:rsidRPr="00734B50">
        <w:rPr>
          <w:rFonts w:cs="Tahoma"/>
          <w:szCs w:val="20"/>
          <w:u w:val="single"/>
          <w:lang w:val="pt-BR"/>
        </w:rPr>
        <w:tab/>
      </w:r>
    </w:p>
    <w:p w:rsidR="000D4ECA" w:rsidRPr="00734B50" w:rsidRDefault="000D4ECA" w:rsidP="000D4ECA">
      <w:pPr>
        <w:spacing w:after="60"/>
        <w:rPr>
          <w:lang w:val="pt-BR"/>
        </w:rPr>
      </w:pPr>
      <w:r w:rsidRPr="00734B50">
        <w:rPr>
          <w:rFonts w:cs="Tahoma"/>
          <w:szCs w:val="20"/>
          <w:lang w:val="pt-BR"/>
        </w:rPr>
        <w:t xml:space="preserve">6.600 Pontos Cobertos de Licenças de Aplicativos e/ou Servidores Office = 10 dias </w:t>
      </w:r>
    </w:p>
    <w:p w:rsidR="000D4ECA" w:rsidRPr="00734B50" w:rsidRDefault="000D4ECA" w:rsidP="000D4ECA">
      <w:pPr>
        <w:spacing w:after="60"/>
        <w:rPr>
          <w:lang w:val="pt-BR"/>
        </w:rPr>
      </w:pPr>
      <w:r w:rsidRPr="00734B50">
        <w:rPr>
          <w:rFonts w:cs="Tahoma"/>
          <w:szCs w:val="20"/>
          <w:lang w:val="pt-BR"/>
        </w:rPr>
        <w:lastRenderedPageBreak/>
        <w:t>7.000 pontos de Pacote CAL com Cobertura = 3 dias</w:t>
      </w:r>
    </w:p>
    <w:p w:rsidR="000D4ECA" w:rsidRPr="00734B50" w:rsidRDefault="000D4ECA" w:rsidP="002C1048">
      <w:pPr>
        <w:numPr>
          <w:ilvl w:val="0"/>
          <w:numId w:val="89"/>
        </w:numPr>
        <w:spacing w:after="60"/>
        <w:ind w:left="720"/>
        <w:rPr>
          <w:lang w:val="pt-BR"/>
        </w:rPr>
      </w:pPr>
      <w:r w:rsidRPr="00734B50">
        <w:rPr>
          <w:rFonts w:cs="Tahoma"/>
          <w:szCs w:val="20"/>
          <w:lang w:val="pt-BR"/>
        </w:rPr>
        <w:t>Total de 13 Dias de Serviços de Planejamento</w:t>
      </w:r>
    </w:p>
    <w:p w:rsidR="000D4ECA" w:rsidRPr="00653421" w:rsidRDefault="000D4ECA" w:rsidP="000D4ECA">
      <w:pPr>
        <w:spacing w:after="60"/>
      </w:pPr>
      <w:r w:rsidRPr="00653421">
        <w:rPr>
          <w:rFonts w:cs="Tahoma"/>
          <w:szCs w:val="20"/>
        </w:rPr>
        <w:t>Registro ECI com:</w:t>
      </w:r>
    </w:p>
    <w:p w:rsidR="00316AE2" w:rsidRPr="00653421" w:rsidRDefault="00316AE2" w:rsidP="00316AE2">
      <w:pPr>
        <w:spacing w:after="60"/>
      </w:pPr>
      <w:r w:rsidRPr="00653421">
        <w:rPr>
          <w:rFonts w:cs="Tahoma"/>
          <w:szCs w:val="20"/>
        </w:rPr>
        <w:t xml:space="preserve">100 ECI Datacenter </w:t>
      </w:r>
    </w:p>
    <w:p w:rsidR="00316AE2" w:rsidRPr="00734B50" w:rsidRDefault="00316AE2" w:rsidP="002C1048">
      <w:pPr>
        <w:numPr>
          <w:ilvl w:val="0"/>
          <w:numId w:val="89"/>
        </w:numPr>
        <w:spacing w:after="60"/>
        <w:ind w:left="720"/>
        <w:rPr>
          <w:lang w:val="pt-BR"/>
        </w:rPr>
      </w:pPr>
      <w:r w:rsidRPr="00734B50">
        <w:rPr>
          <w:rFonts w:cs="Tahoma"/>
          <w:szCs w:val="20"/>
          <w:lang w:val="pt-BR"/>
        </w:rPr>
        <w:t>100 Windows Server Datacenter Edition (x 75 pontos cada x 2 pontos = 15.000 pontos)</w:t>
      </w:r>
    </w:p>
    <w:p w:rsidR="00316AE2" w:rsidRPr="00734B50" w:rsidRDefault="00316AE2" w:rsidP="002C1048">
      <w:pPr>
        <w:numPr>
          <w:ilvl w:val="0"/>
          <w:numId w:val="89"/>
        </w:numPr>
        <w:spacing w:after="60"/>
        <w:ind w:left="720"/>
        <w:rPr>
          <w:lang w:val="pt-BR"/>
        </w:rPr>
      </w:pPr>
      <w:r w:rsidRPr="00734B50">
        <w:rPr>
          <w:rFonts w:cs="Tahoma"/>
          <w:szCs w:val="20"/>
          <w:u w:val="single"/>
          <w:lang w:val="pt-BR"/>
        </w:rPr>
        <w:t>100 System Center 2012 Datacenter Edition (x 75 pontos cada x 2 pontos = 15.000 pontos)</w:t>
      </w:r>
    </w:p>
    <w:p w:rsidR="000D4ECA" w:rsidRPr="00734B50" w:rsidRDefault="00316AE2" w:rsidP="00697E59">
      <w:pPr>
        <w:spacing w:after="60"/>
        <w:ind w:firstLine="360"/>
        <w:rPr>
          <w:lang w:val="pt-BR"/>
        </w:rPr>
      </w:pPr>
      <w:r w:rsidRPr="00734B50">
        <w:rPr>
          <w:rFonts w:cs="Tahoma"/>
          <w:szCs w:val="20"/>
          <w:lang w:val="pt-BR"/>
        </w:rPr>
        <w:t>30.000 Pontos Cobertos de licenças de Aplicativos e/ou Servidores Office = 15 dias</w:t>
      </w:r>
    </w:p>
    <w:p w:rsidR="00697E59" w:rsidRPr="00734B50" w:rsidRDefault="00697E59" w:rsidP="00077CE5">
      <w:pPr>
        <w:ind w:firstLine="360"/>
        <w:rPr>
          <w:lang w:val="pt-BR"/>
        </w:rPr>
      </w:pPr>
    </w:p>
    <w:p w:rsidR="00023FE7" w:rsidRPr="00734B50" w:rsidRDefault="00023FE7" w:rsidP="00F528E5">
      <w:pPr>
        <w:pStyle w:val="AppendixBodyText"/>
        <w:spacing w:after="0"/>
        <w:rPr>
          <w:lang w:val="pt-BR"/>
        </w:rPr>
      </w:pPr>
      <w:r w:rsidRPr="00734B50">
        <w:rPr>
          <w:rFonts w:ascii="Tahoma" w:hAnsi="Tahoma" w:cs="Tahoma"/>
          <w:sz w:val="18"/>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5A52A2" w:rsidRPr="00734B50">
        <w:rPr>
          <w:rFonts w:ascii="Tahoma" w:hAnsi="Tahoma" w:cs="Tahoma"/>
          <w:sz w:val="18"/>
          <w:lang w:val="pt-BR"/>
        </w:rPr>
        <w:t xml:space="preserve"> </w:t>
      </w:r>
      <w:r w:rsidRPr="00734B50">
        <w:rPr>
          <w:rFonts w:ascii="Tahoma" w:hAnsi="Tahoma" w:cs="Tahoma"/>
          <w:sz w:val="18"/>
          <w:lang w:val="pt-BR"/>
        </w:rPr>
        <w:t xml:space="preserve">Os clientes qualificados podem converter os dias não utilizados do Cupom de Treinamento em dias do Serviço de Planejamento em uma proporção 3:1 (três dias de Cupom de Treinamento = um dia de Serviços de Planejamento). </w:t>
      </w:r>
      <w:r w:rsidRPr="00734B50">
        <w:rPr>
          <w:rFonts w:ascii="Tahoma" w:hAnsi="Tahoma" w:cs="Tahoma"/>
          <w:bCs/>
          <w:sz w:val="18"/>
          <w:lang w:val="pt-BR"/>
        </w:rPr>
        <w:t>OBSERVAÇÃO: os clientes que desejarem usar seus</w:t>
      </w:r>
      <w:r w:rsidR="0082569C" w:rsidRPr="00734B50">
        <w:rPr>
          <w:rFonts w:ascii="Tahoma" w:hAnsi="Tahoma" w:cs="Tahoma"/>
          <w:bCs/>
          <w:sz w:val="18"/>
          <w:lang w:val="pt-BR"/>
        </w:rPr>
        <w:t> </w:t>
      </w:r>
      <w:r w:rsidRPr="00734B50">
        <w:rPr>
          <w:rFonts w:ascii="Tahoma" w:hAnsi="Tahoma" w:cs="Tahoma"/>
          <w:bCs/>
          <w:sz w:val="18"/>
          <w:lang w:val="pt-BR"/>
        </w:rPr>
        <w:t xml:space="preserve">dias do Cupom de Treinamento em Serviços de Planejamento não devem criar Cupons de Treinamento com esses dias. [Geralmente, </w:t>
      </w:r>
      <w:r w:rsidRPr="00734B50">
        <w:rPr>
          <w:rFonts w:ascii="Tahoma" w:hAnsi="Tahoma" w:cs="Tahoma"/>
          <w:sz w:val="18"/>
          <w:lang w:val="pt-BR"/>
        </w:rPr>
        <w:t>os dias dos Serviços de Planejamento</w:t>
      </w:r>
      <w:r w:rsidRPr="00734B50">
        <w:rPr>
          <w:rFonts w:ascii="Tahoma" w:hAnsi="Tahoma" w:cs="Tahoma"/>
          <w:bCs/>
          <w:sz w:val="18"/>
          <w:lang w:val="pt-BR"/>
        </w:rPr>
        <w:t xml:space="preserve"> não podem ser convertidos em dias do Cupom de Treinamento.] Entretanto, se um cliente desejar reverter uma conversão de dias do Cupom de Treinamento, os dias</w:t>
      </w:r>
      <w:r w:rsidR="0082569C" w:rsidRPr="00734B50">
        <w:rPr>
          <w:rFonts w:ascii="Tahoma" w:hAnsi="Tahoma" w:cs="Tahoma"/>
          <w:bCs/>
          <w:sz w:val="18"/>
          <w:lang w:val="pt-BR"/>
        </w:rPr>
        <w:t> </w:t>
      </w:r>
      <w:r w:rsidRPr="00734B50">
        <w:rPr>
          <w:rFonts w:ascii="Tahoma" w:hAnsi="Tahoma" w:cs="Tahoma"/>
          <w:bCs/>
          <w:sz w:val="18"/>
          <w:lang w:val="pt-BR"/>
        </w:rPr>
        <w:t>dos Serviços de Planejamento deverão ser convertidos de volta em dias do Cupom de Treinamento. Após a</w:t>
      </w:r>
      <w:r w:rsidR="0082569C" w:rsidRPr="00734B50">
        <w:rPr>
          <w:rFonts w:ascii="Tahoma" w:hAnsi="Tahoma" w:cs="Tahoma"/>
          <w:bCs/>
          <w:sz w:val="18"/>
          <w:lang w:val="pt-BR"/>
        </w:rPr>
        <w:t> </w:t>
      </w:r>
      <w:r w:rsidRPr="00734B50">
        <w:rPr>
          <w:rFonts w:ascii="Tahoma" w:hAnsi="Tahoma" w:cs="Tahoma"/>
          <w:bCs/>
          <w:sz w:val="18"/>
          <w:lang w:val="pt-BR"/>
        </w:rPr>
        <w:t>conversão de dias do Cupom de Treinamento em dias de Serviços de Planejamento, os dias de Serviços de Planejamento serão exibidos no pool de dias de Serviços de Planejamento do cliente.</w:t>
      </w:r>
      <w:r w:rsidR="005A52A2" w:rsidRPr="00734B50">
        <w:rPr>
          <w:rFonts w:ascii="Tahoma" w:hAnsi="Tahoma" w:cs="Tahoma"/>
          <w:bCs/>
          <w:sz w:val="18"/>
          <w:lang w:val="pt-BR"/>
        </w:rPr>
        <w:t xml:space="preserve"> </w:t>
      </w:r>
      <w:r w:rsidRPr="00734B50">
        <w:rPr>
          <w:rFonts w:ascii="Tahoma" w:hAnsi="Tahoma" w:cs="Tahoma"/>
          <w:bCs/>
          <w:sz w:val="18"/>
          <w:lang w:val="pt-BR"/>
        </w:rPr>
        <w:t>Esses dias poderão ser usados</w:t>
      </w:r>
      <w:r w:rsidR="0082569C" w:rsidRPr="00734B50">
        <w:rPr>
          <w:rFonts w:ascii="Tahoma" w:hAnsi="Tahoma" w:cs="Tahoma"/>
          <w:bCs/>
          <w:sz w:val="18"/>
          <w:lang w:val="pt-BR"/>
        </w:rPr>
        <w:t> </w:t>
      </w:r>
      <w:r w:rsidRPr="00734B50">
        <w:rPr>
          <w:rFonts w:ascii="Tahoma" w:hAnsi="Tahoma" w:cs="Tahoma"/>
          <w:bCs/>
          <w:sz w:val="18"/>
          <w:lang w:val="pt-BR"/>
        </w:rPr>
        <w:t>para criar cupom(ns) para serviços disponíveis (como o DDPS ou o SDPS).</w:t>
      </w:r>
      <w:r w:rsidR="005A52A2" w:rsidRPr="00734B50">
        <w:rPr>
          <w:rFonts w:ascii="Tahoma" w:hAnsi="Tahoma" w:cs="Tahoma"/>
          <w:bCs/>
          <w:sz w:val="18"/>
          <w:lang w:val="pt-BR"/>
        </w:rPr>
        <w:t xml:space="preserve"> </w:t>
      </w:r>
      <w:r w:rsidRPr="00734B50">
        <w:rPr>
          <w:rFonts w:ascii="Tahoma" w:hAnsi="Tahoma" w:cs="Tahoma"/>
          <w:bCs/>
          <w:sz w:val="18"/>
          <w:lang w:val="pt-BR"/>
        </w:rPr>
        <w:t>*A qualificação dos clientes para</w:t>
      </w:r>
      <w:r w:rsidR="0082569C" w:rsidRPr="00734B50">
        <w:rPr>
          <w:rFonts w:ascii="Tahoma" w:hAnsi="Tahoma" w:cs="Tahoma"/>
          <w:bCs/>
          <w:sz w:val="18"/>
          <w:lang w:val="pt-BR"/>
        </w:rPr>
        <w:t> </w:t>
      </w:r>
      <w:r w:rsidRPr="00734B50">
        <w:rPr>
          <w:rFonts w:ascii="Tahoma" w:hAnsi="Tahoma" w:cs="Tahoma"/>
          <w:bCs/>
          <w:sz w:val="18"/>
          <w:lang w:val="pt-BR"/>
        </w:rPr>
        <w:t>converter dias de volta em dias de Cupom de Treinamento é limitada com base no número de dias disponíveis no nível Dias de Serviços de Planejamento.</w:t>
      </w:r>
      <w:r w:rsidR="005A52A2" w:rsidRPr="00734B50">
        <w:rPr>
          <w:rFonts w:ascii="Tahoma" w:hAnsi="Tahoma" w:cs="Tahoma"/>
          <w:bCs/>
          <w:sz w:val="18"/>
          <w:lang w:val="pt-BR"/>
        </w:rPr>
        <w:t xml:space="preserve"> </w:t>
      </w:r>
      <w:r w:rsidRPr="00734B50">
        <w:rPr>
          <w:rFonts w:ascii="Tahoma" w:hAnsi="Tahoma" w:cs="Tahoma"/>
          <w:bCs/>
          <w:sz w:val="18"/>
          <w:lang w:val="pt-BR"/>
        </w:rPr>
        <w:t>Se um cliente desejar converter de volta 10 dias, mas houver apenas 8</w:t>
      </w:r>
      <w:r w:rsidR="0082569C" w:rsidRPr="00734B50">
        <w:rPr>
          <w:rFonts w:ascii="Tahoma" w:hAnsi="Tahoma" w:cs="Tahoma"/>
          <w:bCs/>
          <w:sz w:val="18"/>
          <w:lang w:val="pt-BR"/>
        </w:rPr>
        <w:t> </w:t>
      </w:r>
      <w:r w:rsidRPr="00734B50">
        <w:rPr>
          <w:rFonts w:ascii="Tahoma" w:hAnsi="Tahoma" w:cs="Tahoma"/>
          <w:bCs/>
          <w:sz w:val="18"/>
          <w:lang w:val="pt-BR"/>
        </w:rPr>
        <w:t>Dias de Serviços de Planejamento em seu pool, ele poderá converter apenas 8 dias.</w:t>
      </w:r>
      <w:r w:rsidR="005A52A2" w:rsidRPr="00734B50">
        <w:rPr>
          <w:rFonts w:ascii="Tahoma" w:hAnsi="Tahoma" w:cs="Tahoma"/>
          <w:bCs/>
          <w:sz w:val="18"/>
          <w:lang w:val="pt-BR"/>
        </w:rPr>
        <w:t xml:space="preserve"> </w:t>
      </w:r>
    </w:p>
    <w:p w:rsidR="00F528E5" w:rsidRPr="00734B50" w:rsidRDefault="00F528E5" w:rsidP="00F528E5">
      <w:pPr>
        <w:pStyle w:val="AppendixBodyText"/>
        <w:spacing w:after="0"/>
        <w:rPr>
          <w:lang w:val="pt-BR"/>
        </w:rPr>
      </w:pPr>
    </w:p>
    <w:p w:rsidR="00023FE7" w:rsidRPr="00734B50" w:rsidRDefault="00023FE7" w:rsidP="00F528E5">
      <w:pPr>
        <w:pStyle w:val="AppendixBodyText"/>
        <w:spacing w:after="0"/>
        <w:rPr>
          <w:lang w:val="pt-BR"/>
        </w:rPr>
      </w:pPr>
      <w:r w:rsidRPr="00734B50">
        <w:rPr>
          <w:rFonts w:ascii="Tahoma" w:hAnsi="Tahoma" w:cs="Tahoma"/>
          <w:bCs/>
          <w:sz w:val="18"/>
          <w:lang w:val="pt-BR"/>
        </w:rPr>
        <w:t>Os clientes em contratos de licenciamento por volume qualificados que não atenderem aos valores limite mínimos para receber qualificações do Serviço de Planejamento, mas que atenderem ou excederem os critérios de conversão</w:t>
      </w:r>
      <w:r w:rsidR="0082569C" w:rsidRPr="00734B50">
        <w:rPr>
          <w:rFonts w:ascii="Tahoma" w:hAnsi="Tahoma" w:cs="Tahoma"/>
          <w:bCs/>
          <w:sz w:val="18"/>
          <w:lang w:val="pt-BR"/>
        </w:rPr>
        <w:t> </w:t>
      </w:r>
      <w:r w:rsidRPr="00734B50">
        <w:rPr>
          <w:rFonts w:ascii="Tahoma" w:hAnsi="Tahoma" w:cs="Tahoma"/>
          <w:bCs/>
          <w:sz w:val="18"/>
          <w:lang w:val="pt-BR"/>
        </w:rPr>
        <w:t>de dias do Cupom de Treinamento, poderão converter os dias do Cupom de Treinamento conforme especificado acima.</w:t>
      </w:r>
    </w:p>
    <w:p w:rsidR="00023FE7" w:rsidRPr="00734B50" w:rsidRDefault="00023FE7" w:rsidP="00077CE5">
      <w:pPr>
        <w:pStyle w:val="AppendixBodyText"/>
        <w:spacing w:after="0"/>
        <w:rPr>
          <w:lang w:val="pt-BR"/>
        </w:rPr>
      </w:pPr>
    </w:p>
    <w:p w:rsidR="00023FE7" w:rsidRPr="00734B50" w:rsidRDefault="000D4ECA">
      <w:pPr>
        <w:pStyle w:val="AppendixBodyText"/>
        <w:rPr>
          <w:lang w:val="pt-BR"/>
        </w:rPr>
      </w:pPr>
      <w:r w:rsidRPr="00734B50">
        <w:rPr>
          <w:rFonts w:ascii="Tahoma" w:hAnsi="Tahoma" w:cs="Tahoma"/>
          <w:sz w:val="18"/>
          <w:lang w:val="pt-BR"/>
        </w:rPr>
        <w:t xml:space="preserve">Os Serviços de Planejamento podem ser fornecidos ao cliente por Parceiros da Microsoft ou Serviços </w:t>
      </w:r>
      <w:r w:rsidR="00AD353C" w:rsidRPr="00734B50">
        <w:rPr>
          <w:rFonts w:ascii="Tahoma" w:hAnsi="Tahoma" w:cs="Tahoma"/>
          <w:sz w:val="18"/>
          <w:lang w:val="pt-BR"/>
        </w:rPr>
        <w:br/>
      </w:r>
      <w:r w:rsidRPr="00734B50">
        <w:rPr>
          <w:rFonts w:ascii="Tahoma" w:hAnsi="Tahoma" w:cs="Tahoma"/>
          <w:sz w:val="18"/>
          <w:lang w:val="pt-BR"/>
        </w:rPr>
        <w:t>de Consultoria Microsoft qualificados.</w:t>
      </w:r>
      <w:r w:rsidR="005A52A2" w:rsidRPr="00734B50">
        <w:rPr>
          <w:rFonts w:ascii="Tahoma" w:hAnsi="Tahoma" w:cs="Tahoma"/>
          <w:sz w:val="18"/>
          <w:lang w:val="pt-BR"/>
        </w:rPr>
        <w:t xml:space="preserve"> </w:t>
      </w:r>
      <w:r w:rsidRPr="00734B50">
        <w:rPr>
          <w:rFonts w:ascii="Tahoma" w:hAnsi="Tahoma" w:cs="Tahoma"/>
          <w:sz w:val="18"/>
          <w:lang w:val="pt-BR"/>
        </w:rPr>
        <w:t>Um cliente pode visualizar a lista de Provedores Qualificados aqui: http://directory.partners.extranet.microsoft.com/psbproviders</w:t>
      </w:r>
      <w:r w:rsidR="005A52A2" w:rsidRPr="00734B50">
        <w:rPr>
          <w:rFonts w:ascii="Tahoma" w:hAnsi="Tahoma" w:cs="Tahoma"/>
          <w:sz w:val="18"/>
          <w:lang w:val="pt-BR"/>
        </w:rPr>
        <w:t xml:space="preserve"> </w:t>
      </w:r>
    </w:p>
    <w:p w:rsidR="00EC05F0" w:rsidRPr="00734B50" w:rsidRDefault="00EC05F0">
      <w:pPr>
        <w:rPr>
          <w:lang w:val="pt-BR"/>
        </w:rPr>
      </w:pPr>
    </w:p>
    <w:p w:rsidR="00023FE7" w:rsidRPr="00734B50" w:rsidRDefault="000D4ECA" w:rsidP="005A141F">
      <w:pPr>
        <w:pStyle w:val="AppendixBodyText"/>
        <w:spacing w:after="0"/>
        <w:rPr>
          <w:lang w:val="pt-BR"/>
        </w:rPr>
      </w:pPr>
      <w:r w:rsidRPr="00734B50">
        <w:rPr>
          <w:rFonts w:ascii="Tahoma" w:hAnsi="Tahoma" w:cs="Tahoma"/>
          <w:sz w:val="18"/>
          <w:lang w:val="pt-BR"/>
        </w:rPr>
        <w:t>Os compromissos de Serviços de Planejamento fornecem uma consultoria que abrange um escopo de trabalho predefinido que resulta em um plano de implantação de alto nível; a implantação real do software não pode ser</w:t>
      </w:r>
      <w:r w:rsidR="0082569C" w:rsidRPr="00734B50">
        <w:rPr>
          <w:rFonts w:ascii="Tahoma" w:hAnsi="Tahoma" w:cs="Tahoma"/>
          <w:sz w:val="18"/>
          <w:lang w:val="pt-BR"/>
        </w:rPr>
        <w:t> </w:t>
      </w:r>
      <w:r w:rsidRPr="00734B50">
        <w:rPr>
          <w:rFonts w:ascii="Tahoma" w:hAnsi="Tahoma" w:cs="Tahoma"/>
          <w:sz w:val="18"/>
          <w:lang w:val="pt-BR"/>
        </w:rPr>
        <w:t>incluída.</w:t>
      </w:r>
    </w:p>
    <w:p w:rsidR="00023FE7" w:rsidRPr="00734B50" w:rsidRDefault="00023FE7" w:rsidP="005A141F">
      <w:pPr>
        <w:pStyle w:val="AppendixBodyText"/>
        <w:spacing w:after="0"/>
        <w:rPr>
          <w:lang w:val="pt-BR"/>
        </w:rPr>
      </w:pPr>
    </w:p>
    <w:p w:rsidR="00AC1997" w:rsidRPr="00734B50" w:rsidRDefault="000D4ECA" w:rsidP="002F529F">
      <w:pPr>
        <w:pStyle w:val="AppendixBodyText"/>
        <w:numPr>
          <w:ilvl w:val="0"/>
          <w:numId w:val="1"/>
        </w:numPr>
        <w:tabs>
          <w:tab w:val="clear" w:pos="720"/>
          <w:tab w:val="num" w:pos="1440"/>
        </w:tabs>
        <w:ind w:left="1440"/>
        <w:rPr>
          <w:lang w:val="pt-BR"/>
        </w:rPr>
      </w:pPr>
      <w:r w:rsidRPr="00734B50">
        <w:rPr>
          <w:rFonts w:ascii="Tahoma" w:hAnsi="Tahoma" w:cs="Tahoma"/>
          <w:bCs/>
          <w:sz w:val="18"/>
          <w:lang w:val="pt-BR"/>
        </w:rPr>
        <w:t>Os Serviços de Planejamento não estão disponíveis em todos os idiomas.</w:t>
      </w:r>
    </w:p>
    <w:p w:rsidR="00AC1997" w:rsidRPr="00734B50" w:rsidRDefault="000D4ECA" w:rsidP="002F529F">
      <w:pPr>
        <w:pStyle w:val="AppendixBodyText"/>
        <w:numPr>
          <w:ilvl w:val="0"/>
          <w:numId w:val="1"/>
        </w:numPr>
        <w:tabs>
          <w:tab w:val="clear" w:pos="720"/>
          <w:tab w:val="num" w:pos="1440"/>
        </w:tabs>
        <w:ind w:left="1440"/>
        <w:rPr>
          <w:lang w:val="pt-BR"/>
        </w:rPr>
      </w:pPr>
      <w:r w:rsidRPr="00734B50">
        <w:rPr>
          <w:rFonts w:ascii="Tahoma" w:hAnsi="Tahoma" w:cs="Tahoma"/>
          <w:bCs/>
          <w:color w:val="000000"/>
          <w:sz w:val="18"/>
          <w:lang w:val="pt-BR"/>
        </w:rPr>
        <w:t>Os cupons dos Serviços de Planejamento podem ser resgatados apenas pelo cliente que estiver qualificado para o benefício.</w:t>
      </w:r>
    </w:p>
    <w:p w:rsidR="00AC1997" w:rsidRPr="00734B50" w:rsidRDefault="000D4ECA" w:rsidP="002F529F">
      <w:pPr>
        <w:pStyle w:val="AppendixBodyText"/>
        <w:numPr>
          <w:ilvl w:val="0"/>
          <w:numId w:val="1"/>
        </w:numPr>
        <w:tabs>
          <w:tab w:val="clear" w:pos="720"/>
          <w:tab w:val="num" w:pos="1440"/>
        </w:tabs>
        <w:ind w:left="1440"/>
        <w:rPr>
          <w:lang w:val="pt-BR"/>
        </w:rPr>
      </w:pPr>
      <w:r w:rsidRPr="00734B50">
        <w:rPr>
          <w:rFonts w:ascii="Tahoma" w:hAnsi="Tahoma" w:cs="Tahoma"/>
          <w:bCs/>
          <w:color w:val="000000"/>
          <w:sz w:val="18"/>
          <w:lang w:val="pt-BR"/>
        </w:rPr>
        <w:t>Os cupons dos Serviços de Planejamento não podem ser trocados por dinheiro, valores nem outras considerações de valor.</w:t>
      </w:r>
    </w:p>
    <w:p w:rsidR="00AC1997" w:rsidRPr="00734B50" w:rsidRDefault="00AC1997" w:rsidP="002F529F">
      <w:pPr>
        <w:pStyle w:val="AppendixBodyText"/>
        <w:numPr>
          <w:ilvl w:val="0"/>
          <w:numId w:val="1"/>
        </w:numPr>
        <w:tabs>
          <w:tab w:val="clear" w:pos="720"/>
          <w:tab w:val="num" w:pos="1440"/>
        </w:tabs>
        <w:ind w:left="1440"/>
        <w:rPr>
          <w:lang w:val="pt-BR"/>
        </w:rPr>
      </w:pPr>
      <w:r w:rsidRPr="00734B50">
        <w:rPr>
          <w:rFonts w:ascii="Tahoma" w:hAnsi="Tahoma" w:cs="Tahoma"/>
          <w:bCs/>
          <w:color w:val="000000"/>
          <w:sz w:val="18"/>
          <w:lang w:val="pt-BR"/>
        </w:rPr>
        <w:t xml:space="preserve">Os clientes que estiverem interessados em adquirir serviços adicionais além desses cobertos pelo </w:t>
      </w:r>
      <w:r w:rsidRPr="00734B50">
        <w:rPr>
          <w:rFonts w:ascii="Tahoma" w:hAnsi="Tahoma" w:cs="Tahoma"/>
          <w:color w:val="000000"/>
          <w:sz w:val="18"/>
          <w:szCs w:val="18"/>
          <w:lang w:val="pt-BR"/>
        </w:rPr>
        <w:t>escopo do trabalho do compromisso de cupom atribuído (conforme definido pelo tipo de cupom e nível de serviço)</w:t>
      </w:r>
      <w:r w:rsidRPr="00734B50">
        <w:rPr>
          <w:rFonts w:ascii="Tahoma" w:hAnsi="Tahoma" w:cs="Tahoma"/>
          <w:bCs/>
          <w:color w:val="000000"/>
          <w:sz w:val="18"/>
          <w:lang w:val="pt-BR"/>
        </w:rPr>
        <w:t xml:space="preserve"> devem pagar a seus provedores fora desse programa.</w:t>
      </w:r>
    </w:p>
    <w:p w:rsidR="00AC1997" w:rsidRPr="00734B50" w:rsidRDefault="00AC1997" w:rsidP="002F529F">
      <w:pPr>
        <w:pStyle w:val="AppendixBodyText"/>
        <w:numPr>
          <w:ilvl w:val="0"/>
          <w:numId w:val="1"/>
        </w:numPr>
        <w:tabs>
          <w:tab w:val="clear" w:pos="720"/>
          <w:tab w:val="num" w:pos="1440"/>
        </w:tabs>
        <w:ind w:left="1440"/>
        <w:rPr>
          <w:lang w:val="pt-BR"/>
        </w:rPr>
      </w:pPr>
      <w:r w:rsidRPr="00734B50">
        <w:rPr>
          <w:rFonts w:ascii="Tahoma" w:hAnsi="Tahoma" w:cs="Tahoma"/>
          <w:color w:val="000000"/>
          <w:sz w:val="18"/>
          <w:lang w:val="pt-BR"/>
        </w:rPr>
        <w:t>A redução d</w:t>
      </w:r>
      <w:r w:rsidRPr="00734B50">
        <w:rPr>
          <w:rFonts w:ascii="Tahoma" w:hAnsi="Tahoma" w:cs="Tahoma"/>
          <w:bCs/>
          <w:color w:val="000000"/>
          <w:sz w:val="18"/>
          <w:lang w:val="pt-BR"/>
        </w:rPr>
        <w:t>a</w:t>
      </w:r>
      <w:r w:rsidRPr="00734B50">
        <w:rPr>
          <w:rFonts w:ascii="Tahoma" w:hAnsi="Tahoma" w:cs="Tahoma"/>
          <w:color w:val="000000"/>
          <w:sz w:val="18"/>
          <w:lang w:val="pt-BR"/>
        </w:rPr>
        <w:t xml:space="preserve"> cobertura do SA qualificada como um resultado de devoluções e outros ajustes de cobrança</w:t>
      </w:r>
      <w:r w:rsidRPr="00734B50">
        <w:rPr>
          <w:rFonts w:ascii="Tahoma" w:hAnsi="Tahoma" w:cs="Tahoma"/>
          <w:bCs/>
          <w:color w:val="000000"/>
          <w:sz w:val="18"/>
          <w:lang w:val="pt-BR"/>
        </w:rPr>
        <w:t>,</w:t>
      </w:r>
      <w:r w:rsidRPr="00734B50">
        <w:rPr>
          <w:rFonts w:ascii="Tahoma" w:hAnsi="Tahoma" w:cs="Tahoma"/>
          <w:color w:val="000000"/>
          <w:sz w:val="18"/>
          <w:lang w:val="pt-BR"/>
        </w:rPr>
        <w:t xml:space="preserve"> quando permitidos, </w:t>
      </w:r>
      <w:r w:rsidRPr="00734B50">
        <w:rPr>
          <w:rFonts w:ascii="Tahoma" w:hAnsi="Tahoma" w:cs="Tahoma"/>
          <w:bCs/>
          <w:color w:val="000000"/>
          <w:sz w:val="18"/>
          <w:lang w:val="pt-BR"/>
        </w:rPr>
        <w:t>pode</w:t>
      </w:r>
      <w:r w:rsidRPr="00734B50">
        <w:rPr>
          <w:rFonts w:ascii="Tahoma" w:hAnsi="Tahoma" w:cs="Tahoma"/>
          <w:color w:val="000000"/>
          <w:sz w:val="18"/>
          <w:lang w:val="pt-BR"/>
        </w:rPr>
        <w:t xml:space="preserve"> diminuir os dias de qualificação dos Serviços de Planejamento do </w:t>
      </w:r>
      <w:r w:rsidRPr="00734B50">
        <w:rPr>
          <w:rFonts w:ascii="Tahoma" w:hAnsi="Tahoma" w:cs="Tahoma"/>
          <w:bCs/>
          <w:color w:val="000000"/>
          <w:sz w:val="18"/>
          <w:lang w:val="pt-BR"/>
        </w:rPr>
        <w:t>cliente.</w:t>
      </w:r>
    </w:p>
    <w:p w:rsidR="00762183" w:rsidRPr="00653421" w:rsidRDefault="00AC1997" w:rsidP="002F529F">
      <w:pPr>
        <w:pStyle w:val="AppendixBodyText"/>
        <w:numPr>
          <w:ilvl w:val="0"/>
          <w:numId w:val="24"/>
        </w:numPr>
        <w:tabs>
          <w:tab w:val="num" w:pos="1440"/>
        </w:tabs>
        <w:ind w:left="1440"/>
      </w:pPr>
      <w:r w:rsidRPr="00734B50">
        <w:rPr>
          <w:rFonts w:ascii="Tahoma" w:hAnsi="Tahoma" w:cs="Tahoma"/>
          <w:bCs/>
          <w:color w:val="000000"/>
          <w:sz w:val="18"/>
          <w:lang w:val="pt-BR"/>
        </w:rPr>
        <w:t xml:space="preserve">Os cupons são válidos apenas com </w:t>
      </w:r>
      <w:r w:rsidRPr="00734B50">
        <w:rPr>
          <w:rFonts w:ascii="Tahoma" w:hAnsi="Tahoma" w:cs="Tahoma"/>
          <w:color w:val="000000"/>
          <w:sz w:val="18"/>
          <w:lang w:val="pt-BR"/>
        </w:rPr>
        <w:t xml:space="preserve">Provedores qualificados </w:t>
      </w:r>
      <w:r w:rsidRPr="00734B50">
        <w:rPr>
          <w:rFonts w:ascii="Tahoma" w:hAnsi="Tahoma" w:cs="Tahoma"/>
          <w:bCs/>
          <w:color w:val="000000"/>
          <w:sz w:val="18"/>
          <w:lang w:val="pt-BR"/>
        </w:rPr>
        <w:t xml:space="preserve">para o tipo de serviço específico para o qual o cupom está </w:t>
      </w:r>
      <w:r w:rsidRPr="00734B50">
        <w:rPr>
          <w:rFonts w:ascii="Tahoma" w:hAnsi="Tahoma" w:cs="Tahoma"/>
          <w:bCs/>
          <w:color w:val="000000"/>
          <w:sz w:val="18"/>
          <w:szCs w:val="18"/>
          <w:lang w:val="pt-BR"/>
        </w:rPr>
        <w:t xml:space="preserve">sendo resgatado. </w:t>
      </w:r>
      <w:r w:rsidRPr="00734B50">
        <w:rPr>
          <w:rFonts w:ascii="Tahoma" w:hAnsi="Tahoma" w:cs="Tahoma"/>
          <w:color w:val="000000"/>
          <w:sz w:val="18"/>
          <w:szCs w:val="18"/>
          <w:lang w:val="pt-BR"/>
        </w:rPr>
        <w:t xml:space="preserve">O cupom pode ser usado com qualquer Provedor qualificado de todo o mundo. </w:t>
      </w:r>
      <w:r w:rsidRPr="00653421">
        <w:rPr>
          <w:rFonts w:ascii="Tahoma" w:hAnsi="Tahoma" w:cs="Tahoma"/>
          <w:color w:val="000000"/>
          <w:sz w:val="18"/>
          <w:szCs w:val="18"/>
        </w:rPr>
        <w:t>A participação pode variar.</w:t>
      </w:r>
    </w:p>
    <w:p w:rsidR="0083748D" w:rsidRPr="00734B50" w:rsidRDefault="0083748D" w:rsidP="002F529F">
      <w:pPr>
        <w:pStyle w:val="AppendixBodyText"/>
        <w:numPr>
          <w:ilvl w:val="0"/>
          <w:numId w:val="1"/>
        </w:numPr>
        <w:tabs>
          <w:tab w:val="clear" w:pos="720"/>
          <w:tab w:val="num" w:pos="1440"/>
        </w:tabs>
        <w:ind w:left="1440"/>
        <w:rPr>
          <w:lang w:val="pt-BR"/>
        </w:rPr>
      </w:pPr>
      <w:r w:rsidRPr="00734B50">
        <w:rPr>
          <w:rFonts w:ascii="Tahoma" w:hAnsi="Tahoma" w:cs="Tahoma"/>
          <w:color w:val="000000"/>
          <w:sz w:val="18"/>
          <w:szCs w:val="18"/>
          <w:lang w:val="pt-BR"/>
        </w:rPr>
        <w:t>Os cupons devem ser atribuídos durante o período de cobertura do Software Assurance.</w:t>
      </w:r>
    </w:p>
    <w:p w:rsidR="0083748D" w:rsidRPr="00734B50" w:rsidRDefault="0083748D" w:rsidP="002F529F">
      <w:pPr>
        <w:pStyle w:val="AppendixBodyText"/>
        <w:numPr>
          <w:ilvl w:val="0"/>
          <w:numId w:val="1"/>
        </w:numPr>
        <w:tabs>
          <w:tab w:val="clear" w:pos="720"/>
          <w:tab w:val="num" w:pos="1440"/>
        </w:tabs>
        <w:ind w:left="1440"/>
        <w:rPr>
          <w:lang w:val="pt-BR"/>
        </w:rPr>
      </w:pPr>
      <w:r w:rsidRPr="00734B50">
        <w:rPr>
          <w:rFonts w:ascii="Tahoma" w:hAnsi="Tahoma" w:cs="Tahoma"/>
          <w:color w:val="000000"/>
          <w:sz w:val="18"/>
          <w:szCs w:val="18"/>
          <w:lang w:val="pt-BR"/>
        </w:rPr>
        <w:lastRenderedPageBreak/>
        <w:t>Os cupons expiram após 180 dias da data de atribuição do cupom, independentemente da data de</w:t>
      </w:r>
      <w:r w:rsidR="0082569C" w:rsidRPr="00734B50">
        <w:rPr>
          <w:rFonts w:ascii="Tahoma" w:hAnsi="Tahoma" w:cs="Tahoma"/>
          <w:color w:val="000000"/>
          <w:sz w:val="18"/>
          <w:szCs w:val="18"/>
          <w:lang w:val="pt-BR"/>
        </w:rPr>
        <w:t> </w:t>
      </w:r>
      <w:r w:rsidRPr="00734B50">
        <w:rPr>
          <w:rFonts w:ascii="Tahoma" w:hAnsi="Tahoma" w:cs="Tahoma"/>
          <w:color w:val="000000"/>
          <w:sz w:val="18"/>
          <w:szCs w:val="18"/>
          <w:lang w:val="pt-BR"/>
        </w:rPr>
        <w:t>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rsidR="00AC1997" w:rsidRPr="00734B50" w:rsidRDefault="00AC1997" w:rsidP="002F529F">
      <w:pPr>
        <w:pStyle w:val="AppendixBodyText"/>
        <w:numPr>
          <w:ilvl w:val="0"/>
          <w:numId w:val="21"/>
        </w:numPr>
        <w:tabs>
          <w:tab w:val="num" w:pos="1440"/>
        </w:tabs>
        <w:rPr>
          <w:lang w:val="pt-BR"/>
        </w:rPr>
      </w:pPr>
      <w:r w:rsidRPr="00734B50">
        <w:rPr>
          <w:rFonts w:ascii="Tahoma" w:hAnsi="Tahoma" w:cs="Tahoma"/>
          <w:bCs/>
          <w:color w:val="000000"/>
          <w:sz w:val="18"/>
          <w:szCs w:val="18"/>
          <w:lang w:val="pt-BR"/>
        </w:rPr>
        <w:t>A Microsoft não é responsável</w:t>
      </w:r>
      <w:r w:rsidRPr="00734B50">
        <w:rPr>
          <w:rFonts w:ascii="Tahoma" w:hAnsi="Tahoma" w:cs="Tahoma"/>
          <w:bCs/>
          <w:color w:val="000000"/>
          <w:sz w:val="18"/>
          <w:lang w:val="pt-BR"/>
        </w:rPr>
        <w:t xml:space="preserve"> por cupons perdidos, roubados ou utilizados indevidamente.</w:t>
      </w:r>
    </w:p>
    <w:p w:rsidR="00AC1997" w:rsidRPr="00734B50" w:rsidRDefault="00AC1997" w:rsidP="002F529F">
      <w:pPr>
        <w:pStyle w:val="AppendixBodyText"/>
        <w:numPr>
          <w:ilvl w:val="0"/>
          <w:numId w:val="21"/>
        </w:numPr>
        <w:tabs>
          <w:tab w:val="num" w:pos="1440"/>
        </w:tabs>
        <w:rPr>
          <w:lang w:val="pt-BR"/>
        </w:rPr>
      </w:pPr>
      <w:r w:rsidRPr="00734B50">
        <w:rPr>
          <w:rFonts w:ascii="Tahoma" w:hAnsi="Tahoma" w:cs="Tahoma"/>
          <w:bCs/>
          <w:color w:val="000000"/>
          <w:sz w:val="18"/>
          <w:lang w:val="pt-BR"/>
        </w:rPr>
        <w:t xml:space="preserve">Os serviços fornecidos sob cupons são </w:t>
      </w:r>
      <w:r w:rsidRPr="00734B50">
        <w:rPr>
          <w:rFonts w:ascii="Tahoma" w:hAnsi="Tahoma" w:cs="Tahoma"/>
          <w:color w:val="000000"/>
          <w:sz w:val="18"/>
          <w:lang w:val="pt-BR"/>
        </w:rPr>
        <w:t>oferecidos de acordo com um contrato entre o Cliente e</w:t>
      </w:r>
      <w:r w:rsidR="0082569C" w:rsidRPr="00734B50">
        <w:rPr>
          <w:rFonts w:ascii="Tahoma" w:hAnsi="Tahoma" w:cs="Tahoma"/>
          <w:color w:val="000000"/>
          <w:sz w:val="18"/>
          <w:lang w:val="pt-BR"/>
        </w:rPr>
        <w:t> </w:t>
      </w:r>
      <w:r w:rsidRPr="00734B50">
        <w:rPr>
          <w:rFonts w:ascii="Tahoma" w:hAnsi="Tahoma" w:cs="Tahoma"/>
          <w:color w:val="000000"/>
          <w:sz w:val="18"/>
          <w:lang w:val="pt-BR"/>
        </w:rPr>
        <w:t>o</w:t>
      </w:r>
      <w:r w:rsidR="0082569C" w:rsidRPr="00734B50">
        <w:rPr>
          <w:rFonts w:ascii="Tahoma" w:hAnsi="Tahoma" w:cs="Tahoma"/>
          <w:color w:val="000000"/>
          <w:sz w:val="18"/>
          <w:lang w:val="pt-BR"/>
        </w:rPr>
        <w:t> </w:t>
      </w:r>
      <w:r w:rsidRPr="00734B50">
        <w:rPr>
          <w:rFonts w:ascii="Tahoma" w:hAnsi="Tahoma" w:cs="Tahoma"/>
          <w:color w:val="000000"/>
          <w:sz w:val="18"/>
          <w:lang w:val="pt-BR"/>
        </w:rPr>
        <w:t>Provedor Qualificado. A Microsoft não é responsável por nenhum trabalho ou falha da parte do</w:t>
      </w:r>
      <w:r w:rsidR="0082569C" w:rsidRPr="00734B50">
        <w:rPr>
          <w:rFonts w:ascii="Tahoma" w:hAnsi="Tahoma" w:cs="Tahoma"/>
          <w:color w:val="000000"/>
          <w:sz w:val="18"/>
          <w:lang w:val="pt-BR"/>
        </w:rPr>
        <w:t> </w:t>
      </w:r>
      <w:r w:rsidRPr="00734B50">
        <w:rPr>
          <w:rFonts w:ascii="Tahoma" w:hAnsi="Tahoma" w:cs="Tahoma"/>
          <w:color w:val="000000"/>
          <w:sz w:val="18"/>
          <w:lang w:val="pt-BR"/>
        </w:rPr>
        <w:t>Provedor Qualificado relacionado aos serviços.</w:t>
      </w:r>
    </w:p>
    <w:p w:rsidR="00F643B6" w:rsidRPr="00734B50" w:rsidRDefault="00AC1997" w:rsidP="002C1048">
      <w:pPr>
        <w:pStyle w:val="AppendixBodyText"/>
        <w:numPr>
          <w:ilvl w:val="0"/>
          <w:numId w:val="90"/>
        </w:numPr>
        <w:rPr>
          <w:lang w:val="pt-BR"/>
        </w:rPr>
      </w:pPr>
      <w:r w:rsidRPr="00734B50">
        <w:rPr>
          <w:rFonts w:ascii="Tahoma" w:hAnsi="Tahoma" w:cs="Tahoma"/>
          <w:bCs/>
          <w:color w:val="000000"/>
          <w:sz w:val="18"/>
          <w:lang w:val="pt-BR"/>
        </w:rPr>
        <w:t>Ao aceitar um compromisso de Serviços de Planejamento, os clientes</w:t>
      </w:r>
      <w:r w:rsidRPr="00734B50">
        <w:rPr>
          <w:rFonts w:ascii="Tahoma" w:hAnsi="Tahoma" w:cs="Tahoma"/>
          <w:bCs/>
          <w:sz w:val="18"/>
          <w:lang w:val="pt-BR"/>
        </w:rPr>
        <w:t xml:space="preserve"> reconhecem que receberão uma pesquisa na conclusão do compromisso para fins de controle de qualidade.</w:t>
      </w:r>
    </w:p>
    <w:p w:rsidR="0008036A" w:rsidRPr="00734B50" w:rsidRDefault="00F643B6" w:rsidP="002C1048">
      <w:pPr>
        <w:pStyle w:val="AppendixBodyText"/>
        <w:numPr>
          <w:ilvl w:val="0"/>
          <w:numId w:val="90"/>
        </w:numPr>
        <w:rPr>
          <w:lang w:val="pt-BR"/>
        </w:rPr>
      </w:pPr>
      <w:r w:rsidRPr="00734B50">
        <w:rPr>
          <w:rFonts w:ascii="Tahoma" w:hAnsi="Tahoma" w:cs="Tahoma"/>
          <w:bCs/>
          <w:color w:val="000000"/>
          <w:sz w:val="18"/>
          <w:szCs w:val="18"/>
          <w:lang w:val="pt-BR"/>
        </w:rPr>
        <w:t>As tabelas acima mostram os dias de serviço disponíveis com base em um registro ou contrato integral de 3 anos.</w:t>
      </w:r>
      <w:r w:rsidR="005A52A2" w:rsidRPr="00734B50">
        <w:rPr>
          <w:rFonts w:ascii="Tahoma" w:hAnsi="Tahoma" w:cs="Tahoma"/>
          <w:bCs/>
          <w:color w:val="000000"/>
          <w:sz w:val="18"/>
          <w:szCs w:val="18"/>
          <w:lang w:val="pt-BR"/>
        </w:rPr>
        <w:t xml:space="preserve"> </w:t>
      </w:r>
      <w:r w:rsidRPr="00734B50">
        <w:rPr>
          <w:rFonts w:ascii="Tahoma" w:hAnsi="Tahoma" w:cs="Tahoma"/>
          <w:bCs/>
          <w:color w:val="000000"/>
          <w:sz w:val="18"/>
          <w:szCs w:val="18"/>
          <w:lang w:val="pt-BR"/>
        </w:rPr>
        <w:t>Os clientes que adquirirem a cobertura do Software Assurance por um ano r</w:t>
      </w:r>
      <w:r w:rsidRPr="00734B50">
        <w:rPr>
          <w:rFonts w:ascii="Tahoma" w:hAnsi="Tahoma" w:cs="Tahoma"/>
          <w:color w:val="000000"/>
          <w:sz w:val="18"/>
          <w:szCs w:val="18"/>
          <w:lang w:val="pt-BR"/>
        </w:rPr>
        <w:t>eceberão um terço do número declarado de dias de serviço.</w:t>
      </w:r>
      <w:r w:rsidR="005A52A2"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Os clientes que adquirirem a cobertura do Software Assurance por dois anos receberão dois terços do número declarado de dias</w:t>
      </w:r>
      <w:r w:rsidR="0082569C" w:rsidRPr="00734B50">
        <w:rPr>
          <w:rFonts w:ascii="Tahoma" w:hAnsi="Tahoma" w:cs="Tahoma"/>
          <w:color w:val="000000"/>
          <w:sz w:val="18"/>
          <w:szCs w:val="18"/>
          <w:lang w:val="pt-BR"/>
        </w:rPr>
        <w:t> </w:t>
      </w:r>
      <w:r w:rsidRPr="00734B50">
        <w:rPr>
          <w:rFonts w:ascii="Tahoma" w:hAnsi="Tahoma" w:cs="Tahoma"/>
          <w:color w:val="000000"/>
          <w:sz w:val="18"/>
          <w:szCs w:val="18"/>
          <w:lang w:val="pt-BR"/>
        </w:rPr>
        <w:t>de serviço.</w:t>
      </w:r>
      <w:r w:rsidR="005A52A2" w:rsidRPr="00734B50">
        <w:rPr>
          <w:rFonts w:ascii="Tahoma" w:hAnsi="Tahoma" w:cs="Tahoma"/>
          <w:color w:val="000000"/>
          <w:sz w:val="18"/>
          <w:szCs w:val="18"/>
          <w:lang w:val="pt-BR"/>
        </w:rPr>
        <w:t xml:space="preserve"> </w:t>
      </w:r>
    </w:p>
    <w:p w:rsidR="0008036A" w:rsidRPr="00734B50" w:rsidRDefault="0008036A" w:rsidP="005A141F">
      <w:pPr>
        <w:pStyle w:val="AppendixBodyText"/>
        <w:spacing w:after="0"/>
        <w:rPr>
          <w:lang w:val="pt-BR"/>
        </w:rPr>
      </w:pPr>
    </w:p>
    <w:p w:rsidR="00023FE7" w:rsidRPr="00734B50" w:rsidRDefault="00023FE7">
      <w:pPr>
        <w:pStyle w:val="AppendixBodyText"/>
        <w:rPr>
          <w:lang w:val="pt-BR"/>
        </w:rPr>
      </w:pPr>
      <w:r w:rsidRPr="00734B50">
        <w:rPr>
          <w:rFonts w:ascii="Tahoma" w:hAnsi="Tahoma" w:cs="Tahoma"/>
          <w:bCs/>
          <w:color w:val="000000"/>
          <w:sz w:val="18"/>
          <w:lang w:val="pt-BR"/>
        </w:rPr>
        <w:t>Os resultados finais preenchidos enviados pelo Provedor Qualificado à Microsoft ao final do compromisso poderão ser</w:t>
      </w:r>
      <w:r w:rsidR="0082569C" w:rsidRPr="00734B50">
        <w:rPr>
          <w:rFonts w:ascii="Tahoma" w:hAnsi="Tahoma" w:cs="Tahoma"/>
          <w:bCs/>
          <w:color w:val="000000"/>
          <w:sz w:val="18"/>
          <w:lang w:val="pt-BR"/>
        </w:rPr>
        <w:t> </w:t>
      </w:r>
      <w:r w:rsidRPr="00734B50">
        <w:rPr>
          <w:rFonts w:ascii="Tahoma" w:hAnsi="Tahoma" w:cs="Tahoma"/>
          <w:bCs/>
          <w:color w:val="000000"/>
          <w:sz w:val="18"/>
          <w:lang w:val="pt-BR"/>
        </w:rPr>
        <w:t>usados para fins de controle de qualidade e compartilhados com a equipe de contas Microsoft do cliente para essa finalidade.</w:t>
      </w:r>
    </w:p>
    <w:p w:rsidR="00023FE7" w:rsidRPr="00734B50" w:rsidRDefault="00023FE7" w:rsidP="005A141F">
      <w:pPr>
        <w:pStyle w:val="AppendixBodyText"/>
        <w:spacing w:after="0"/>
        <w:rPr>
          <w:lang w:val="pt-BR"/>
        </w:rPr>
      </w:pPr>
    </w:p>
    <w:p w:rsidR="00023FE7" w:rsidRPr="00734B50" w:rsidRDefault="00023FE7">
      <w:pPr>
        <w:pStyle w:val="Heading3"/>
        <w:rPr>
          <w:lang w:val="pt-BR"/>
        </w:rPr>
      </w:pPr>
      <w:bookmarkStart w:id="777" w:name="_Toc328145999"/>
      <w:bookmarkStart w:id="778" w:name="_Toc336338230"/>
      <w:bookmarkStart w:id="779" w:name="_Toc353470878"/>
      <w:r w:rsidRPr="00734B50">
        <w:rPr>
          <w:rFonts w:ascii="Tahoma" w:hAnsi="Tahoma"/>
          <w:sz w:val="24"/>
          <w:lang w:val="pt-BR"/>
        </w:rPr>
        <w:t>Windows 8 Enterprise</w:t>
      </w:r>
      <w:bookmarkEnd w:id="777"/>
      <w:bookmarkEnd w:id="778"/>
      <w:bookmarkEnd w:id="779"/>
      <w:r w:rsidRPr="00734B50">
        <w:rPr>
          <w:rFonts w:ascii="Tahoma" w:hAnsi="Tahoma"/>
          <w:sz w:val="24"/>
          <w:lang w:val="pt-BR"/>
        </w:rPr>
        <w:t xml:space="preserve"> </w:t>
      </w:r>
    </w:p>
    <w:p w:rsidR="00023FE7" w:rsidRPr="00734B50" w:rsidRDefault="00023FE7" w:rsidP="00077CE5">
      <w:pPr>
        <w:pStyle w:val="AppendixBodyText"/>
        <w:spacing w:after="0"/>
        <w:rPr>
          <w:lang w:val="pt-BR"/>
        </w:rPr>
      </w:pPr>
    </w:p>
    <w:p w:rsidR="005A141F" w:rsidRPr="00734B50" w:rsidRDefault="00324479" w:rsidP="005A141F">
      <w:pPr>
        <w:spacing w:after="60"/>
        <w:jc w:val="both"/>
        <w:rPr>
          <w:lang w:val="pt-BR"/>
        </w:rPr>
      </w:pPr>
      <w:r w:rsidRPr="00734B50">
        <w:rPr>
          <w:rFonts w:cs="Tahoma"/>
          <w:b/>
          <w:szCs w:val="18"/>
          <w:lang w:val="pt-BR"/>
        </w:rPr>
        <w:t>Clientes qualificados do Software Assurance</w:t>
      </w:r>
    </w:p>
    <w:p w:rsidR="00324479" w:rsidRPr="00734B50" w:rsidRDefault="00324479" w:rsidP="00324479">
      <w:pPr>
        <w:jc w:val="both"/>
        <w:rPr>
          <w:lang w:val="pt-BR"/>
        </w:rPr>
      </w:pPr>
      <w:r w:rsidRPr="00734B50">
        <w:rPr>
          <w:rFonts w:cs="Tahoma"/>
          <w:szCs w:val="18"/>
          <w:lang w:val="pt-BR"/>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 Enterprise em vez do Windows 8 Pro nesse dispositivo.</w:t>
      </w:r>
    </w:p>
    <w:p w:rsidR="00324479" w:rsidRPr="00734B50" w:rsidRDefault="00324479" w:rsidP="00324479">
      <w:pPr>
        <w:jc w:val="both"/>
        <w:rPr>
          <w:lang w:val="pt-BR"/>
        </w:rPr>
      </w:pPr>
    </w:p>
    <w:p w:rsidR="00324479" w:rsidRPr="00734B50" w:rsidRDefault="00324479" w:rsidP="00324479">
      <w:pPr>
        <w:jc w:val="both"/>
        <w:rPr>
          <w:lang w:val="pt-BR"/>
        </w:rPr>
      </w:pPr>
      <w:r w:rsidRPr="00734B50">
        <w:rPr>
          <w:rFonts w:cs="Tahoma"/>
          <w:szCs w:val="18"/>
          <w:lang w:val="pt-BR"/>
        </w:rPr>
        <w:t xml:space="preserve">Os clientes qualificados o Software Assurance têm direito de usar o Windows 8 Enterprise conforme descrito nos Direitos de Uso de Produto. Os clientes não podem mover o Windows 8 Enterprise do dispositivo licenciado para outro dispositivo, exceto em conjunção com a reatribuição permitida de sua cobertura do Software Assurance. </w:t>
      </w:r>
    </w:p>
    <w:p w:rsidR="00324479" w:rsidRPr="00734B50" w:rsidRDefault="00324479" w:rsidP="00324479">
      <w:pPr>
        <w:jc w:val="both"/>
        <w:rPr>
          <w:lang w:val="pt-BR"/>
        </w:rPr>
      </w:pPr>
    </w:p>
    <w:p w:rsidR="005A141F" w:rsidRPr="00734B50" w:rsidRDefault="00324479" w:rsidP="005A141F">
      <w:pPr>
        <w:spacing w:after="60"/>
        <w:jc w:val="both"/>
        <w:rPr>
          <w:lang w:val="pt-BR"/>
        </w:rPr>
      </w:pPr>
      <w:r w:rsidRPr="00734B50">
        <w:rPr>
          <w:rFonts w:cs="Tahoma"/>
          <w:b/>
          <w:szCs w:val="18"/>
          <w:lang w:val="pt-BR"/>
        </w:rPr>
        <w:t>Clientes qualificados para os Benefícios de Serviços Online</w:t>
      </w:r>
    </w:p>
    <w:p w:rsidR="00324479" w:rsidRPr="00734B50" w:rsidRDefault="0071258F" w:rsidP="00324479">
      <w:pPr>
        <w:jc w:val="both"/>
        <w:rPr>
          <w:lang w:val="pt-BR"/>
        </w:rPr>
      </w:pPr>
      <w:r w:rsidRPr="00734B50">
        <w:rPr>
          <w:rFonts w:cs="Tahoma"/>
          <w:szCs w:val="18"/>
          <w:lang w:val="pt-BR"/>
        </w:rPr>
        <w:t>Os clientes do Windows Intune (Por Dispositivo) têm direito de usar o Windows 8 Enterprise conforme descrito nos</w:t>
      </w:r>
      <w:r w:rsidR="0082569C" w:rsidRPr="00734B50">
        <w:rPr>
          <w:rFonts w:cs="Tahoma"/>
          <w:szCs w:val="18"/>
          <w:lang w:val="pt-BR"/>
        </w:rPr>
        <w:t> </w:t>
      </w:r>
      <w:r w:rsidRPr="00734B50">
        <w:rPr>
          <w:rFonts w:cs="Tahoma"/>
          <w:szCs w:val="18"/>
          <w:lang w:val="pt-BR"/>
        </w:rPr>
        <w:t>Direitos de Uso de Produto. Consulte na seção Notas do Produto desta Lista de Produtos os termos aplicáveis à</w:t>
      </w:r>
      <w:r w:rsidR="0082569C" w:rsidRPr="00734B50">
        <w:rPr>
          <w:rFonts w:cs="Tahoma"/>
          <w:szCs w:val="18"/>
          <w:lang w:val="pt-BR"/>
        </w:rPr>
        <w:t> </w:t>
      </w:r>
      <w:r w:rsidRPr="00734B50">
        <w:rPr>
          <w:rFonts w:cs="Tahoma"/>
          <w:szCs w:val="18"/>
          <w:lang w:val="pt-BR"/>
        </w:rPr>
        <w:t>aquisição e reatribuição de licenças do Windows Intune (Por Dispositivo).</w:t>
      </w:r>
    </w:p>
    <w:p w:rsidR="005A141F" w:rsidRPr="00734B50" w:rsidDel="008900EB" w:rsidRDefault="005A141F" w:rsidP="00324479">
      <w:pPr>
        <w:jc w:val="both"/>
        <w:rPr>
          <w:lang w:val="pt-BR"/>
        </w:rPr>
      </w:pPr>
    </w:p>
    <w:p w:rsidR="00324479" w:rsidRPr="00734B50" w:rsidRDefault="00324479" w:rsidP="00324479">
      <w:pPr>
        <w:spacing w:after="60"/>
        <w:rPr>
          <w:lang w:val="pt-BR"/>
        </w:rPr>
      </w:pPr>
      <w:r w:rsidRPr="00734B50">
        <w:rPr>
          <w:rFonts w:cs="Tahoma"/>
          <w:szCs w:val="18"/>
          <w:lang w:val="pt-BR"/>
        </w:rPr>
        <w:t>Os clientes do Software Assurance e do Windows Intune (Por Dispositivo) podem usar a edição MUI das versões anteriores do sistema operacional de desktop Windows em vez do Windows 8 Enterprise.</w:t>
      </w:r>
    </w:p>
    <w:p w:rsidR="00870095" w:rsidRPr="00734B50" w:rsidRDefault="00870095" w:rsidP="005A141F">
      <w:pPr>
        <w:pStyle w:val="Heading3"/>
        <w:spacing w:after="60"/>
        <w:rPr>
          <w:lang w:val="pt-BR"/>
        </w:rPr>
      </w:pPr>
    </w:p>
    <w:p w:rsidR="00870095" w:rsidRPr="00734B50" w:rsidRDefault="00870095" w:rsidP="005A141F">
      <w:pPr>
        <w:pStyle w:val="Heading3"/>
        <w:spacing w:after="60"/>
        <w:rPr>
          <w:lang w:val="pt-BR"/>
        </w:rPr>
      </w:pPr>
      <w:bookmarkStart w:id="780" w:name="_Toc336338231"/>
      <w:bookmarkStart w:id="781" w:name="_Toc353470879"/>
      <w:r w:rsidRPr="00734B50">
        <w:rPr>
          <w:rFonts w:ascii="Tahoma" w:hAnsi="Tahoma"/>
          <w:sz w:val="18"/>
          <w:lang w:val="pt-BR"/>
        </w:rPr>
        <w:t>Windows 8 Enterprise Sideloading</w:t>
      </w:r>
      <w:bookmarkEnd w:id="780"/>
      <w:bookmarkEnd w:id="781"/>
    </w:p>
    <w:p w:rsidR="00810479" w:rsidRPr="00734B50" w:rsidRDefault="00870095" w:rsidP="00991DD4">
      <w:pPr>
        <w:jc w:val="both"/>
        <w:rPr>
          <w:lang w:val="pt-BR"/>
        </w:rPr>
      </w:pPr>
      <w:r w:rsidRPr="00734B50">
        <w:rPr>
          <w:rFonts w:cs="Tahoma"/>
          <w:szCs w:val="18"/>
          <w:lang w:val="pt-BR"/>
        </w:rPr>
        <w:t>Consulte a nota do produto Windows 8 Enterprise Sideloading na seção “Notas do Produto” deste documento.</w:t>
      </w:r>
    </w:p>
    <w:p w:rsidR="00BD1A6A" w:rsidRPr="00734B50" w:rsidRDefault="00BD1A6A">
      <w:pPr>
        <w:rPr>
          <w:lang w:val="pt-BR"/>
        </w:rPr>
      </w:pPr>
      <w:bookmarkStart w:id="782" w:name="_Toc336338232"/>
    </w:p>
    <w:p w:rsidR="00EA1BE9" w:rsidRPr="00734B50" w:rsidRDefault="00EA1BE9" w:rsidP="005A141F">
      <w:pPr>
        <w:pStyle w:val="Heading3"/>
        <w:spacing w:after="60"/>
        <w:rPr>
          <w:lang w:val="pt-BR"/>
        </w:rPr>
      </w:pPr>
      <w:bookmarkStart w:id="783" w:name="_Toc353470880"/>
      <w:r w:rsidRPr="00734B50">
        <w:rPr>
          <w:rFonts w:ascii="Tahoma" w:hAnsi="Tahoma"/>
          <w:sz w:val="18"/>
          <w:lang w:val="pt-BR"/>
        </w:rPr>
        <w:t>Licença de Assinatura do Windows Companion</w:t>
      </w:r>
      <w:bookmarkEnd w:id="782"/>
      <w:bookmarkEnd w:id="783"/>
    </w:p>
    <w:p w:rsidR="00EA1BE9" w:rsidRPr="00734B50" w:rsidRDefault="00EA1BE9" w:rsidP="00870095">
      <w:pPr>
        <w:jc w:val="both"/>
        <w:rPr>
          <w:lang w:val="pt-BR"/>
        </w:rPr>
      </w:pPr>
      <w:r w:rsidRPr="00734B50">
        <w:rPr>
          <w:rFonts w:cs="Tahoma"/>
          <w:szCs w:val="18"/>
          <w:lang w:val="pt-BR"/>
        </w:rPr>
        <w:t>Consulte a nota da Licença de Assinatura do Windows Companion na seção “Notas do Produto” deste documento.</w:t>
      </w:r>
    </w:p>
    <w:p w:rsidR="00870095" w:rsidRPr="00734B50" w:rsidRDefault="00870095" w:rsidP="003C56F1">
      <w:pPr>
        <w:jc w:val="both"/>
        <w:rPr>
          <w:lang w:val="pt-BR"/>
        </w:rPr>
      </w:pPr>
    </w:p>
    <w:p w:rsidR="0082569C" w:rsidRPr="00734B50" w:rsidRDefault="0082569C" w:rsidP="003C56F1">
      <w:pPr>
        <w:jc w:val="both"/>
        <w:rPr>
          <w:lang w:val="pt-BR"/>
        </w:rPr>
      </w:pPr>
    </w:p>
    <w:p w:rsidR="0082569C" w:rsidRPr="00734B50" w:rsidRDefault="0082569C" w:rsidP="003C56F1">
      <w:pPr>
        <w:jc w:val="both"/>
        <w:rPr>
          <w:lang w:val="pt-BR"/>
        </w:rPr>
      </w:pPr>
    </w:p>
    <w:p w:rsidR="0082569C" w:rsidRPr="00734B50" w:rsidRDefault="0082569C" w:rsidP="003C56F1">
      <w:pPr>
        <w:jc w:val="both"/>
        <w:rPr>
          <w:lang w:val="pt-BR"/>
        </w:rPr>
      </w:pPr>
    </w:p>
    <w:p w:rsidR="0082569C" w:rsidRPr="00734B50" w:rsidRDefault="0082569C" w:rsidP="003C56F1">
      <w:pPr>
        <w:jc w:val="both"/>
        <w:rPr>
          <w:lang w:val="pt-BR"/>
        </w:rPr>
      </w:pPr>
    </w:p>
    <w:p w:rsidR="0082569C" w:rsidRPr="00734B50" w:rsidRDefault="0082569C" w:rsidP="003C56F1">
      <w:pPr>
        <w:jc w:val="both"/>
        <w:rPr>
          <w:lang w:val="pt-BR"/>
        </w:rPr>
      </w:pPr>
    </w:p>
    <w:p w:rsidR="0082569C" w:rsidRPr="00734B50" w:rsidRDefault="0082569C" w:rsidP="003C56F1">
      <w:pPr>
        <w:jc w:val="both"/>
        <w:rPr>
          <w:lang w:val="pt-BR"/>
        </w:rPr>
      </w:pPr>
    </w:p>
    <w:p w:rsidR="0082569C" w:rsidRPr="00734B50" w:rsidRDefault="0082569C" w:rsidP="003C56F1">
      <w:pPr>
        <w:jc w:val="both"/>
        <w:rPr>
          <w:lang w:val="pt-BR"/>
        </w:rPr>
      </w:pPr>
    </w:p>
    <w:p w:rsidR="0082569C" w:rsidRPr="00734B50" w:rsidRDefault="0082569C" w:rsidP="003C56F1">
      <w:pPr>
        <w:jc w:val="both"/>
        <w:rPr>
          <w:lang w:val="pt-BR"/>
        </w:rPr>
      </w:pPr>
    </w:p>
    <w:p w:rsidR="00023FE7" w:rsidRPr="00734B50" w:rsidRDefault="00023FE7">
      <w:pPr>
        <w:pStyle w:val="Heading3"/>
        <w:rPr>
          <w:lang w:val="pt-BR"/>
        </w:rPr>
      </w:pPr>
      <w:bookmarkStart w:id="784" w:name="_Toc328146000"/>
      <w:bookmarkStart w:id="785" w:name="_Toc336338233"/>
      <w:bookmarkStart w:id="786" w:name="_Toc353470881"/>
      <w:r w:rsidRPr="00734B50">
        <w:rPr>
          <w:rFonts w:ascii="Tahoma" w:hAnsi="Tahoma" w:cs="Tahoma"/>
          <w:sz w:val="24"/>
          <w:lang w:val="pt-BR"/>
        </w:rPr>
        <w:lastRenderedPageBreak/>
        <w:t>Cupons de Treinamento</w:t>
      </w:r>
      <w:bookmarkEnd w:id="784"/>
      <w:bookmarkEnd w:id="785"/>
      <w:bookmarkEnd w:id="786"/>
    </w:p>
    <w:p w:rsidR="00023FE7" w:rsidRPr="00734B50" w:rsidRDefault="00023FE7" w:rsidP="003C56F1">
      <w:pPr>
        <w:pStyle w:val="AppendixBodyText"/>
        <w:spacing w:after="0"/>
        <w:rPr>
          <w:lang w:val="pt-BR"/>
        </w:rPr>
      </w:pPr>
    </w:p>
    <w:p w:rsidR="00023FE7" w:rsidRPr="00734B50" w:rsidRDefault="008A15A8" w:rsidP="00F528E5">
      <w:pPr>
        <w:pStyle w:val="AppendixBodyText"/>
        <w:spacing w:after="0"/>
        <w:rPr>
          <w:lang w:val="pt-BR"/>
        </w:rPr>
      </w:pPr>
      <w:r w:rsidRPr="00734B50">
        <w:rPr>
          <w:rFonts w:ascii="Tahoma" w:hAnsi="Tahoma" w:cs="Tahoma"/>
          <w:sz w:val="18"/>
          <w:szCs w:val="18"/>
          <w:lang w:val="pt-BR"/>
        </w:rPr>
        <w:t>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w:t>
      </w:r>
      <w:r w:rsidR="005A52A2" w:rsidRPr="00734B50">
        <w:rPr>
          <w:rFonts w:ascii="Tahoma" w:hAnsi="Tahoma" w:cs="Tahoma"/>
          <w:sz w:val="18"/>
          <w:szCs w:val="18"/>
          <w:lang w:val="pt-BR"/>
        </w:rPr>
        <w:t xml:space="preserve"> </w:t>
      </w:r>
      <w:r w:rsidRPr="00734B50">
        <w:rPr>
          <w:rFonts w:ascii="Tahoma" w:hAnsi="Tahoma" w:cs="Tahoma"/>
          <w:sz w:val="18"/>
          <w:szCs w:val="18"/>
          <w:lang w:val="pt-BR"/>
        </w:rPr>
        <w:t>Esses cupons qualificam os clientes a receberem cursos de um Microsoft Partner com uma Competência em Aprendizagem (Microsoft Learning Partner) por um número específico de dias de treinamento.</w:t>
      </w:r>
      <w:r w:rsidR="005A52A2" w:rsidRPr="00734B50">
        <w:rPr>
          <w:rFonts w:ascii="Tahoma" w:hAnsi="Tahoma" w:cs="Tahoma"/>
          <w:sz w:val="18"/>
          <w:szCs w:val="18"/>
          <w:lang w:val="pt-BR"/>
        </w:rPr>
        <w:t xml:space="preserve"> </w:t>
      </w:r>
      <w:r w:rsidRPr="00734B50">
        <w:rPr>
          <w:rFonts w:ascii="Tahoma" w:hAnsi="Tahoma" w:cs="Tahoma"/>
          <w:sz w:val="18"/>
          <w:szCs w:val="18"/>
          <w:lang w:val="pt-BR"/>
        </w:rPr>
        <w:t>O número de dias concedidos varia por programa e por número de licenças qualificadas para os quais o Software Assurance tiver sido adquirido.</w:t>
      </w:r>
      <w:r w:rsidR="005A52A2" w:rsidRPr="00734B50">
        <w:rPr>
          <w:rFonts w:ascii="Tahoma" w:hAnsi="Tahoma" w:cs="Tahoma"/>
          <w:sz w:val="18"/>
          <w:szCs w:val="18"/>
          <w:lang w:val="pt-BR"/>
        </w:rPr>
        <w:t xml:space="preserve"> </w:t>
      </w:r>
      <w:r w:rsidRPr="00734B50">
        <w:rPr>
          <w:rFonts w:ascii="Tahoma" w:hAnsi="Tahoma" w:cs="Tahoma"/>
          <w:sz w:val="18"/>
          <w:szCs w:val="18"/>
          <w:lang w:val="pt-BR"/>
        </w:rPr>
        <w:t>Após o</w:t>
      </w:r>
      <w:r w:rsidR="0082569C" w:rsidRPr="00734B50">
        <w:rPr>
          <w:rFonts w:ascii="Tahoma" w:hAnsi="Tahoma" w:cs="Tahoma"/>
          <w:sz w:val="18"/>
          <w:szCs w:val="18"/>
          <w:lang w:val="pt-BR"/>
        </w:rPr>
        <w:t> </w:t>
      </w:r>
      <w:r w:rsidRPr="00734B50">
        <w:rPr>
          <w:rFonts w:ascii="Tahoma" w:hAnsi="Tahoma" w:cs="Tahoma"/>
          <w:sz w:val="18"/>
          <w:szCs w:val="18"/>
          <w:lang w:val="pt-BR"/>
        </w:rPr>
        <w:t>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619"/>
        <w:gridCol w:w="3690"/>
        <w:gridCol w:w="3083"/>
      </w:tblGrid>
      <w:tr w:rsidR="00F76ED4" w:rsidRPr="00653421" w:rsidTr="0082569C">
        <w:trPr>
          <w:cantSplit/>
          <w:trHeight w:val="531"/>
        </w:trPr>
        <w:tc>
          <w:tcPr>
            <w:tcW w:w="2619" w:type="dxa"/>
            <w:shd w:val="clear" w:color="auto" w:fill="FFCC99"/>
            <w:vAlign w:val="center"/>
          </w:tcPr>
          <w:p w:rsidR="00F76ED4" w:rsidRPr="00653421" w:rsidRDefault="00F76ED4" w:rsidP="00F76ED4">
            <w:pPr>
              <w:pStyle w:val="AppendixTableHeadings"/>
              <w:keepNext/>
              <w:rPr>
                <w:rFonts w:ascii="Tahoma" w:hAnsi="Tahoma" w:cs="Tahoma"/>
                <w:sz w:val="20"/>
                <w:szCs w:val="20"/>
              </w:rPr>
            </w:pPr>
            <w:r w:rsidRPr="00653421">
              <w:rPr>
                <w:rFonts w:ascii="Tahoma" w:hAnsi="Tahoma" w:cs="Tahoma"/>
                <w:sz w:val="20"/>
                <w:szCs w:val="20"/>
              </w:rPr>
              <w:t>Programa</w:t>
            </w:r>
          </w:p>
        </w:tc>
        <w:tc>
          <w:tcPr>
            <w:tcW w:w="3690" w:type="dxa"/>
            <w:shd w:val="clear" w:color="auto" w:fill="FFCC99"/>
            <w:vAlign w:val="center"/>
          </w:tcPr>
          <w:p w:rsidR="00F76ED4" w:rsidRPr="00734B50" w:rsidRDefault="00F76ED4" w:rsidP="0082569C">
            <w:pPr>
              <w:pStyle w:val="AppendixTableHeadings"/>
              <w:keepNext/>
              <w:rPr>
                <w:rFonts w:ascii="Tahoma" w:hAnsi="Tahoma" w:cs="Tahoma"/>
                <w:sz w:val="20"/>
                <w:szCs w:val="20"/>
                <w:lang w:val="pt-BR"/>
              </w:rPr>
            </w:pPr>
            <w:r w:rsidRPr="00734B50">
              <w:rPr>
                <w:rFonts w:ascii="Tahoma" w:hAnsi="Tahoma" w:cs="Tahoma"/>
                <w:sz w:val="20"/>
                <w:szCs w:val="20"/>
                <w:lang w:val="pt-BR"/>
              </w:rPr>
              <w:t>Produtos do Pool de Aplicativos do</w:t>
            </w:r>
            <w:r w:rsidR="0082569C" w:rsidRPr="00734B50">
              <w:rPr>
                <w:rFonts w:ascii="Tahoma" w:hAnsi="Tahoma" w:cs="Tahoma"/>
                <w:sz w:val="20"/>
                <w:szCs w:val="20"/>
                <w:lang w:val="pt-BR"/>
              </w:rPr>
              <w:t> </w:t>
            </w:r>
            <w:r w:rsidRPr="00734B50">
              <w:rPr>
                <w:rFonts w:ascii="Tahoma" w:hAnsi="Tahoma" w:cs="Tahoma"/>
                <w:sz w:val="20"/>
                <w:szCs w:val="20"/>
                <w:lang w:val="pt-BR"/>
              </w:rPr>
              <w:t>Office System</w:t>
            </w:r>
            <w:r w:rsidRPr="00734B50">
              <w:rPr>
                <w:rFonts w:ascii="Tahoma" w:hAnsi="Tahoma" w:cs="Tahoma"/>
                <w:b w:val="0"/>
                <w:i/>
                <w:sz w:val="20"/>
                <w:szCs w:val="20"/>
                <w:lang w:val="pt-BR"/>
              </w:rPr>
              <w:t xml:space="preserve"> </w:t>
            </w:r>
          </w:p>
        </w:tc>
        <w:tc>
          <w:tcPr>
            <w:tcW w:w="3083" w:type="dxa"/>
            <w:shd w:val="clear" w:color="auto" w:fill="FFCC99"/>
            <w:vAlign w:val="center"/>
          </w:tcPr>
          <w:p w:rsidR="00F76ED4" w:rsidRPr="00653421" w:rsidRDefault="00F76ED4" w:rsidP="00F76ED4">
            <w:pPr>
              <w:pStyle w:val="AppendixTableHeadings"/>
              <w:keepNext/>
              <w:rPr>
                <w:rFonts w:ascii="Tahoma" w:hAnsi="Tahoma" w:cs="Tahoma"/>
                <w:sz w:val="20"/>
                <w:szCs w:val="20"/>
              </w:rPr>
            </w:pPr>
            <w:r w:rsidRPr="00653421">
              <w:rPr>
                <w:rFonts w:ascii="Tahoma" w:hAnsi="Tahoma" w:cs="Tahoma"/>
                <w:sz w:val="20"/>
                <w:szCs w:val="20"/>
              </w:rPr>
              <w:t>Pool de Sistemas</w:t>
            </w:r>
          </w:p>
        </w:tc>
      </w:tr>
      <w:tr w:rsidR="00F76ED4" w:rsidRPr="00E04628" w:rsidTr="0082569C">
        <w:trPr>
          <w:cantSplit/>
          <w:trHeight w:val="236"/>
        </w:trPr>
        <w:tc>
          <w:tcPr>
            <w:tcW w:w="2619" w:type="dxa"/>
            <w:vAlign w:val="center"/>
          </w:tcPr>
          <w:p w:rsidR="00F76ED4" w:rsidRPr="00653421" w:rsidRDefault="00F76ED4" w:rsidP="00F76ED4">
            <w:pPr>
              <w:pStyle w:val="AppendixTableText"/>
              <w:keepNext/>
              <w:rPr>
                <w:rFonts w:ascii="Tahoma" w:hAnsi="Tahoma" w:cs="Tahoma"/>
              </w:rPr>
            </w:pPr>
            <w:r w:rsidRPr="00653421">
              <w:rPr>
                <w:rFonts w:ascii="Tahoma" w:hAnsi="Tahoma" w:cs="Tahoma"/>
              </w:rPr>
              <w:t>Open Value</w:t>
            </w:r>
          </w:p>
        </w:tc>
        <w:tc>
          <w:tcPr>
            <w:tcW w:w="3690" w:type="dxa"/>
            <w:vAlign w:val="center"/>
          </w:tcPr>
          <w:p w:rsidR="00F76ED4" w:rsidRPr="00734B50" w:rsidRDefault="00F76ED4" w:rsidP="00F76ED4">
            <w:pPr>
              <w:pStyle w:val="AppendixTableText"/>
              <w:keepNext/>
              <w:rPr>
                <w:rFonts w:ascii="Tahoma" w:hAnsi="Tahoma" w:cs="Tahoma"/>
                <w:lang w:val="pt-BR"/>
              </w:rPr>
            </w:pPr>
            <w:r w:rsidRPr="00734B50">
              <w:rPr>
                <w:rFonts w:ascii="Tahoma" w:hAnsi="Tahoma" w:cs="Tahoma"/>
                <w:lang w:val="pt-BR"/>
              </w:rPr>
              <w:t>2 dias por 50 licenças (máximo de 20 dias)</w:t>
            </w:r>
          </w:p>
        </w:tc>
        <w:tc>
          <w:tcPr>
            <w:tcW w:w="3083" w:type="dxa"/>
            <w:vAlign w:val="center"/>
          </w:tcPr>
          <w:p w:rsidR="00F76ED4" w:rsidRPr="00734B50" w:rsidRDefault="00F76ED4" w:rsidP="00F76ED4">
            <w:pPr>
              <w:pStyle w:val="AppendixTableText"/>
              <w:keepNext/>
              <w:rPr>
                <w:lang w:val="pt-BR"/>
              </w:rPr>
            </w:pPr>
            <w:r w:rsidRPr="00734B50">
              <w:rPr>
                <w:rFonts w:ascii="Tahoma" w:hAnsi="Tahoma" w:cs="Tahoma"/>
                <w:lang w:val="pt-BR"/>
              </w:rPr>
              <w:t>1 dia por 50 licenças</w:t>
            </w:r>
          </w:p>
          <w:p w:rsidR="00F76ED4" w:rsidRPr="00734B50" w:rsidRDefault="00F76ED4" w:rsidP="00F76ED4">
            <w:pPr>
              <w:pStyle w:val="AppendixTableText"/>
              <w:keepNext/>
              <w:rPr>
                <w:rFonts w:ascii="Tahoma" w:hAnsi="Tahoma" w:cs="Tahoma"/>
                <w:lang w:val="pt-BR"/>
              </w:rPr>
            </w:pPr>
            <w:r w:rsidRPr="00734B50">
              <w:rPr>
                <w:rFonts w:ascii="Tahoma" w:hAnsi="Tahoma" w:cs="Tahoma"/>
                <w:lang w:val="pt-BR"/>
              </w:rPr>
              <w:t>(máximo de 10 dias)</w:t>
            </w: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F76ED4">
            <w:pPr>
              <w:pStyle w:val="AppendixTableHeadings"/>
              <w:keepNext/>
              <w:rPr>
                <w:rFonts w:ascii="Tahoma" w:hAnsi="Tahoma" w:cs="Tahoma"/>
                <w:b w:val="0"/>
              </w:rPr>
            </w:pPr>
            <w:r w:rsidRPr="00653421">
              <w:rPr>
                <w:rFonts w:ascii="Tahoma" w:hAnsi="Tahoma" w:cs="Tahoma"/>
                <w:b w:val="0"/>
              </w:rPr>
              <w:t>1</w:t>
            </w:r>
            <w:r w:rsidR="00AD353C" w:rsidRPr="00653421">
              <w:rPr>
                <w:rFonts w:ascii="Tahoma" w:hAnsi="Tahoma" w:cs="Tahoma"/>
              </w:rPr>
              <w:t xml:space="preserve"> – </w:t>
            </w:r>
            <w:r w:rsidRPr="00653421">
              <w:rPr>
                <w:rFonts w:ascii="Tahoma" w:hAnsi="Tahoma" w:cs="Tahoma"/>
                <w:b w:val="0"/>
              </w:rPr>
              <w:t>249</w:t>
            </w:r>
          </w:p>
        </w:tc>
        <w:tc>
          <w:tcPr>
            <w:tcW w:w="3690" w:type="dxa"/>
            <w:vAlign w:val="center"/>
          </w:tcPr>
          <w:p w:rsidR="00F76ED4" w:rsidRPr="00653421" w:rsidRDefault="00F76ED4" w:rsidP="00F76ED4">
            <w:pPr>
              <w:pStyle w:val="AppendixTableText"/>
              <w:keepNext/>
              <w:rPr>
                <w:rFonts w:ascii="Tahoma" w:hAnsi="Tahoma" w:cs="Tahoma"/>
              </w:rPr>
            </w:pPr>
            <w:r w:rsidRPr="00653421">
              <w:rPr>
                <w:rFonts w:ascii="Tahoma" w:hAnsi="Tahoma" w:cs="Tahoma"/>
              </w:rPr>
              <w:t>2 dias por 50 licenças</w:t>
            </w:r>
          </w:p>
        </w:tc>
        <w:tc>
          <w:tcPr>
            <w:tcW w:w="3083" w:type="dxa"/>
            <w:vAlign w:val="center"/>
          </w:tcPr>
          <w:p w:rsidR="00F76ED4" w:rsidRPr="00653421" w:rsidRDefault="00F76ED4" w:rsidP="00F76ED4">
            <w:pPr>
              <w:pStyle w:val="AppendixTableText"/>
              <w:keepNext/>
            </w:pPr>
            <w:r w:rsidRPr="00653421">
              <w:rPr>
                <w:rFonts w:ascii="Tahoma" w:hAnsi="Tahoma" w:cs="Tahoma"/>
              </w:rPr>
              <w:t>1 dia por 50 licenças</w:t>
            </w:r>
          </w:p>
          <w:p w:rsidR="00F76ED4" w:rsidRPr="00653421" w:rsidRDefault="00F76ED4" w:rsidP="00F76ED4">
            <w:pPr>
              <w:pStyle w:val="AppendixTableText"/>
              <w:keepNext/>
              <w:rPr>
                <w:rFonts w:ascii="Tahoma" w:hAnsi="Tahoma" w:cs="Tahoma"/>
              </w:rPr>
            </w:pP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82569C">
            <w:pPr>
              <w:pStyle w:val="AppendixTableText"/>
              <w:keepNext/>
              <w:rPr>
                <w:rFonts w:ascii="Tahoma" w:hAnsi="Tahoma" w:cs="Tahoma"/>
              </w:rPr>
            </w:pPr>
            <w:r w:rsidRPr="00653421">
              <w:rPr>
                <w:rFonts w:ascii="Tahoma" w:hAnsi="Tahoma" w:cs="Tahoma"/>
              </w:rPr>
              <w:t>250</w:t>
            </w:r>
            <w:r w:rsidR="00AD353C" w:rsidRPr="00653421">
              <w:rPr>
                <w:rFonts w:ascii="Tahoma" w:hAnsi="Tahoma" w:cs="Tahoma"/>
              </w:rPr>
              <w:t xml:space="preserve"> – </w:t>
            </w:r>
            <w:r w:rsidRPr="00653421">
              <w:rPr>
                <w:rFonts w:ascii="Tahoma" w:hAnsi="Tahoma" w:cs="Tahoma"/>
              </w:rPr>
              <w:t>2</w:t>
            </w:r>
            <w:r w:rsidR="0082569C" w:rsidRPr="00653421">
              <w:rPr>
                <w:rFonts w:ascii="Tahoma" w:hAnsi="Tahoma" w:cs="Tahoma"/>
              </w:rPr>
              <w:t>.</w:t>
            </w:r>
            <w:r w:rsidRPr="00653421">
              <w:rPr>
                <w:rFonts w:ascii="Tahoma" w:hAnsi="Tahoma" w:cs="Tahoma"/>
              </w:rPr>
              <w:t xml:space="preserve">399 </w:t>
            </w:r>
          </w:p>
        </w:tc>
        <w:tc>
          <w:tcPr>
            <w:tcW w:w="3690" w:type="dxa"/>
            <w:vAlign w:val="center"/>
          </w:tcPr>
          <w:p w:rsidR="00F76ED4" w:rsidRPr="00653421" w:rsidRDefault="00F76ED4" w:rsidP="00F76ED4">
            <w:pPr>
              <w:pStyle w:val="AppendixTableText"/>
              <w:keepNext/>
            </w:pPr>
            <w:r w:rsidRPr="00653421">
              <w:rPr>
                <w:rFonts w:ascii="Tahoma" w:hAnsi="Tahoma" w:cs="Tahoma"/>
              </w:rPr>
              <w:t>20 dias por</w:t>
            </w:r>
          </w:p>
          <w:p w:rsidR="00F76ED4" w:rsidRPr="00653421" w:rsidRDefault="00F76ED4" w:rsidP="00F76ED4">
            <w:pPr>
              <w:pStyle w:val="AppendixTableText"/>
              <w:keepNext/>
              <w:rPr>
                <w:rFonts w:ascii="Tahoma" w:hAnsi="Tahoma" w:cs="Tahoma"/>
              </w:rPr>
            </w:pPr>
            <w:r w:rsidRPr="00653421">
              <w:rPr>
                <w:rFonts w:ascii="Tahoma" w:hAnsi="Tahoma" w:cs="Tahoma"/>
              </w:rPr>
              <w:t>registro aplicável</w:t>
            </w:r>
          </w:p>
        </w:tc>
        <w:tc>
          <w:tcPr>
            <w:tcW w:w="3083" w:type="dxa"/>
            <w:vAlign w:val="center"/>
          </w:tcPr>
          <w:p w:rsidR="00F76ED4" w:rsidRPr="00653421" w:rsidRDefault="00F76ED4" w:rsidP="00F76ED4">
            <w:pPr>
              <w:pStyle w:val="AppendixTableText"/>
              <w:keepNext/>
            </w:pPr>
            <w:r w:rsidRPr="00653421">
              <w:rPr>
                <w:rFonts w:ascii="Tahoma" w:hAnsi="Tahoma" w:cs="Tahoma"/>
              </w:rPr>
              <w:t>10 dias por</w:t>
            </w:r>
          </w:p>
          <w:p w:rsidR="00F76ED4" w:rsidRPr="00653421" w:rsidRDefault="00F76ED4" w:rsidP="00F76ED4">
            <w:pPr>
              <w:pStyle w:val="AppendixTableText"/>
              <w:keepNext/>
              <w:rPr>
                <w:rFonts w:ascii="Tahoma" w:hAnsi="Tahoma" w:cs="Tahoma"/>
              </w:rPr>
            </w:pPr>
            <w:r w:rsidRPr="00653421">
              <w:rPr>
                <w:rFonts w:ascii="Tahoma" w:hAnsi="Tahoma" w:cs="Tahoma"/>
              </w:rPr>
              <w:t>registro aplicável</w:t>
            </w: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82569C">
            <w:pPr>
              <w:pStyle w:val="AppendixTableText"/>
              <w:keepNext/>
              <w:rPr>
                <w:rFonts w:ascii="Tahoma" w:hAnsi="Tahoma" w:cs="Tahoma"/>
                <w:i/>
              </w:rPr>
            </w:pPr>
            <w:r w:rsidRPr="00653421">
              <w:rPr>
                <w:rFonts w:ascii="Tahoma" w:hAnsi="Tahoma" w:cs="Tahoma"/>
              </w:rPr>
              <w:t>2</w:t>
            </w:r>
            <w:r w:rsidR="0082569C" w:rsidRPr="00653421">
              <w:rPr>
                <w:rFonts w:ascii="Tahoma" w:hAnsi="Tahoma" w:cs="Tahoma"/>
              </w:rPr>
              <w:t>.</w:t>
            </w:r>
            <w:r w:rsidRPr="00653421">
              <w:rPr>
                <w:rFonts w:ascii="Tahoma" w:hAnsi="Tahoma" w:cs="Tahoma"/>
              </w:rPr>
              <w:t>400</w:t>
            </w:r>
            <w:r w:rsidR="00AD353C" w:rsidRPr="00653421">
              <w:rPr>
                <w:rFonts w:ascii="Tahoma" w:hAnsi="Tahoma" w:cs="Tahoma"/>
              </w:rPr>
              <w:t xml:space="preserve"> – </w:t>
            </w:r>
            <w:r w:rsidRPr="00653421">
              <w:rPr>
                <w:rFonts w:ascii="Tahoma" w:hAnsi="Tahoma" w:cs="Tahoma"/>
              </w:rPr>
              <w:t>5</w:t>
            </w:r>
            <w:r w:rsidR="0082569C" w:rsidRPr="00653421">
              <w:rPr>
                <w:rFonts w:ascii="Tahoma" w:hAnsi="Tahoma" w:cs="Tahoma"/>
              </w:rPr>
              <w:t>.</w:t>
            </w:r>
            <w:r w:rsidRPr="00653421">
              <w:rPr>
                <w:rFonts w:ascii="Tahoma" w:hAnsi="Tahoma" w:cs="Tahoma"/>
              </w:rPr>
              <w:t>999</w:t>
            </w:r>
          </w:p>
        </w:tc>
        <w:tc>
          <w:tcPr>
            <w:tcW w:w="3690" w:type="dxa"/>
            <w:vAlign w:val="center"/>
          </w:tcPr>
          <w:p w:rsidR="00F76ED4" w:rsidRPr="00653421" w:rsidRDefault="00F76ED4" w:rsidP="00F76ED4">
            <w:pPr>
              <w:pStyle w:val="AppendixTableText"/>
              <w:keepNext/>
            </w:pPr>
            <w:r w:rsidRPr="00653421">
              <w:rPr>
                <w:rFonts w:ascii="Tahoma" w:hAnsi="Tahoma" w:cs="Tahoma"/>
              </w:rPr>
              <w:t xml:space="preserve">30 dias* </w:t>
            </w:r>
          </w:p>
          <w:p w:rsidR="00F76ED4" w:rsidRPr="00653421" w:rsidRDefault="00F76ED4" w:rsidP="00F76ED4">
            <w:pPr>
              <w:pStyle w:val="AppendixTableText"/>
              <w:keepNext/>
              <w:rPr>
                <w:rFonts w:ascii="Tahoma" w:hAnsi="Tahoma" w:cs="Tahoma"/>
              </w:rPr>
            </w:pPr>
          </w:p>
        </w:tc>
        <w:tc>
          <w:tcPr>
            <w:tcW w:w="3083" w:type="dxa"/>
            <w:vAlign w:val="center"/>
          </w:tcPr>
          <w:p w:rsidR="00F76ED4" w:rsidRPr="00653421" w:rsidRDefault="00F76ED4" w:rsidP="00F76ED4">
            <w:pPr>
              <w:pStyle w:val="AppendixTableText"/>
              <w:keepNext/>
            </w:pPr>
            <w:r w:rsidRPr="00653421">
              <w:rPr>
                <w:rFonts w:ascii="Tahoma" w:hAnsi="Tahoma" w:cs="Tahoma"/>
              </w:rPr>
              <w:t xml:space="preserve">15 dias* </w:t>
            </w:r>
          </w:p>
          <w:p w:rsidR="00F76ED4" w:rsidRPr="00653421" w:rsidRDefault="00F76ED4" w:rsidP="00F76ED4">
            <w:pPr>
              <w:pStyle w:val="AppendixTableText"/>
              <w:keepNext/>
              <w:rPr>
                <w:rFonts w:ascii="Tahoma" w:hAnsi="Tahoma" w:cs="Tahoma"/>
              </w:rPr>
            </w:pP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82569C">
            <w:pPr>
              <w:pStyle w:val="AppendixTableText"/>
              <w:keepNext/>
              <w:rPr>
                <w:rFonts w:ascii="Tahoma" w:hAnsi="Tahoma" w:cs="Tahoma"/>
                <w:i/>
              </w:rPr>
            </w:pPr>
            <w:r w:rsidRPr="00653421">
              <w:rPr>
                <w:rFonts w:ascii="Tahoma" w:hAnsi="Tahoma" w:cs="Tahoma"/>
              </w:rPr>
              <w:t>6</w:t>
            </w:r>
            <w:r w:rsidR="0082569C" w:rsidRPr="00653421">
              <w:rPr>
                <w:rFonts w:ascii="Tahoma" w:hAnsi="Tahoma" w:cs="Tahoma"/>
              </w:rPr>
              <w:t>.</w:t>
            </w:r>
            <w:r w:rsidRPr="00653421">
              <w:rPr>
                <w:rFonts w:ascii="Tahoma" w:hAnsi="Tahoma" w:cs="Tahoma"/>
              </w:rPr>
              <w:t>000</w:t>
            </w:r>
            <w:r w:rsidR="00AD353C" w:rsidRPr="00653421">
              <w:rPr>
                <w:rFonts w:ascii="Tahoma" w:hAnsi="Tahoma" w:cs="Tahoma"/>
              </w:rPr>
              <w:t xml:space="preserve"> – </w:t>
            </w:r>
            <w:r w:rsidRPr="00653421">
              <w:rPr>
                <w:rFonts w:ascii="Tahoma" w:hAnsi="Tahoma" w:cs="Tahoma"/>
              </w:rPr>
              <w:t>14</w:t>
            </w:r>
            <w:r w:rsidR="0082569C" w:rsidRPr="00653421">
              <w:rPr>
                <w:rFonts w:ascii="Tahoma" w:hAnsi="Tahoma" w:cs="Tahoma"/>
              </w:rPr>
              <w:t>.</w:t>
            </w:r>
            <w:r w:rsidRPr="00653421">
              <w:rPr>
                <w:rFonts w:ascii="Tahoma" w:hAnsi="Tahoma" w:cs="Tahoma"/>
              </w:rPr>
              <w:t>999</w:t>
            </w:r>
          </w:p>
        </w:tc>
        <w:tc>
          <w:tcPr>
            <w:tcW w:w="3690" w:type="dxa"/>
            <w:vAlign w:val="center"/>
          </w:tcPr>
          <w:p w:rsidR="00F76ED4" w:rsidRPr="00653421" w:rsidRDefault="00F76ED4" w:rsidP="00F76ED4">
            <w:pPr>
              <w:pStyle w:val="AppendixTableText"/>
              <w:keepNext/>
            </w:pPr>
            <w:r w:rsidRPr="00653421">
              <w:rPr>
                <w:rFonts w:ascii="Tahoma" w:hAnsi="Tahoma" w:cs="Tahoma"/>
              </w:rPr>
              <w:t xml:space="preserve">50 dias* </w:t>
            </w:r>
          </w:p>
          <w:p w:rsidR="00F76ED4" w:rsidRPr="00653421" w:rsidRDefault="00F76ED4" w:rsidP="00F76ED4">
            <w:pPr>
              <w:pStyle w:val="AppendixTableText"/>
              <w:keepNext/>
              <w:rPr>
                <w:rFonts w:ascii="Tahoma" w:hAnsi="Tahoma" w:cs="Tahoma"/>
              </w:rPr>
            </w:pPr>
          </w:p>
        </w:tc>
        <w:tc>
          <w:tcPr>
            <w:tcW w:w="3083" w:type="dxa"/>
            <w:vAlign w:val="center"/>
          </w:tcPr>
          <w:p w:rsidR="00F76ED4" w:rsidRPr="00653421" w:rsidRDefault="00F76ED4" w:rsidP="00F76ED4">
            <w:pPr>
              <w:pStyle w:val="AppendixTableText"/>
              <w:keepNext/>
            </w:pPr>
            <w:r w:rsidRPr="00653421">
              <w:rPr>
                <w:rFonts w:ascii="Tahoma" w:hAnsi="Tahoma" w:cs="Tahoma"/>
              </w:rPr>
              <w:t xml:space="preserve">25 dias* </w:t>
            </w:r>
          </w:p>
          <w:p w:rsidR="00F76ED4" w:rsidRPr="00653421" w:rsidRDefault="00F76ED4" w:rsidP="00F76ED4">
            <w:pPr>
              <w:pStyle w:val="AppendixTableText"/>
              <w:keepNext/>
              <w:rPr>
                <w:rFonts w:ascii="Tahoma" w:hAnsi="Tahoma" w:cs="Tahoma"/>
              </w:rPr>
            </w:pP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82569C">
            <w:pPr>
              <w:pStyle w:val="AppendixTableText"/>
              <w:keepNext/>
              <w:rPr>
                <w:rFonts w:ascii="Tahoma" w:hAnsi="Tahoma" w:cs="Tahoma"/>
                <w:i/>
              </w:rPr>
            </w:pPr>
            <w:r w:rsidRPr="00653421">
              <w:rPr>
                <w:rFonts w:ascii="Tahoma" w:hAnsi="Tahoma" w:cs="Tahoma"/>
              </w:rPr>
              <w:t>15</w:t>
            </w:r>
            <w:r w:rsidR="0082569C" w:rsidRPr="00653421">
              <w:rPr>
                <w:rFonts w:ascii="Tahoma" w:hAnsi="Tahoma" w:cs="Tahoma"/>
              </w:rPr>
              <w:t>.</w:t>
            </w:r>
            <w:r w:rsidRPr="00653421">
              <w:rPr>
                <w:rFonts w:ascii="Tahoma" w:hAnsi="Tahoma" w:cs="Tahoma"/>
              </w:rPr>
              <w:t>000 – 29</w:t>
            </w:r>
            <w:r w:rsidR="0082569C" w:rsidRPr="00653421">
              <w:rPr>
                <w:rFonts w:ascii="Tahoma" w:hAnsi="Tahoma" w:cs="Tahoma"/>
              </w:rPr>
              <w:t>.</w:t>
            </w:r>
            <w:r w:rsidRPr="00653421">
              <w:rPr>
                <w:rFonts w:ascii="Tahoma" w:hAnsi="Tahoma" w:cs="Tahoma"/>
              </w:rPr>
              <w:t>999</w:t>
            </w:r>
          </w:p>
        </w:tc>
        <w:tc>
          <w:tcPr>
            <w:tcW w:w="3690" w:type="dxa"/>
            <w:vAlign w:val="center"/>
          </w:tcPr>
          <w:p w:rsidR="00F76ED4" w:rsidRPr="00653421" w:rsidRDefault="00F76ED4" w:rsidP="00F76ED4">
            <w:pPr>
              <w:pStyle w:val="AppendixTableText"/>
              <w:keepNext/>
            </w:pPr>
            <w:r w:rsidRPr="00653421">
              <w:rPr>
                <w:rFonts w:ascii="Tahoma" w:hAnsi="Tahoma" w:cs="Tahoma"/>
              </w:rPr>
              <w:t xml:space="preserve">110 dias* </w:t>
            </w:r>
          </w:p>
          <w:p w:rsidR="00F76ED4" w:rsidRPr="00653421" w:rsidRDefault="00F76ED4" w:rsidP="00F76ED4">
            <w:pPr>
              <w:pStyle w:val="AppendixTableText"/>
              <w:keepNext/>
              <w:rPr>
                <w:rFonts w:ascii="Tahoma" w:hAnsi="Tahoma" w:cs="Tahoma"/>
              </w:rPr>
            </w:pPr>
          </w:p>
        </w:tc>
        <w:tc>
          <w:tcPr>
            <w:tcW w:w="3083" w:type="dxa"/>
            <w:vAlign w:val="center"/>
          </w:tcPr>
          <w:p w:rsidR="00F76ED4" w:rsidRPr="00653421" w:rsidRDefault="00F76ED4" w:rsidP="00F76ED4">
            <w:pPr>
              <w:pStyle w:val="AppendixTableText"/>
              <w:keepNext/>
            </w:pPr>
            <w:r w:rsidRPr="00653421">
              <w:rPr>
                <w:rFonts w:ascii="Tahoma" w:hAnsi="Tahoma" w:cs="Tahoma"/>
              </w:rPr>
              <w:t xml:space="preserve">55 dias* </w:t>
            </w:r>
          </w:p>
          <w:p w:rsidR="00F76ED4" w:rsidRPr="00653421" w:rsidRDefault="00F76ED4" w:rsidP="00F76ED4">
            <w:pPr>
              <w:pStyle w:val="AppendixTableText"/>
              <w:keepNext/>
              <w:rPr>
                <w:rFonts w:ascii="Tahoma" w:hAnsi="Tahoma" w:cs="Tahoma"/>
              </w:rPr>
            </w:pP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82569C">
            <w:pPr>
              <w:pStyle w:val="AppendixTableText"/>
              <w:keepNext/>
              <w:rPr>
                <w:rFonts w:ascii="Tahoma" w:hAnsi="Tahoma" w:cs="Tahoma"/>
                <w:i/>
              </w:rPr>
            </w:pPr>
            <w:r w:rsidRPr="00653421">
              <w:rPr>
                <w:rFonts w:ascii="Tahoma" w:hAnsi="Tahoma" w:cs="Tahoma"/>
              </w:rPr>
              <w:t>30</w:t>
            </w:r>
            <w:r w:rsidR="0082569C" w:rsidRPr="00653421">
              <w:rPr>
                <w:rFonts w:ascii="Tahoma" w:hAnsi="Tahoma" w:cs="Tahoma"/>
              </w:rPr>
              <w:t>.</w:t>
            </w:r>
            <w:r w:rsidRPr="00653421">
              <w:rPr>
                <w:rFonts w:ascii="Tahoma" w:hAnsi="Tahoma" w:cs="Tahoma"/>
              </w:rPr>
              <w:t>000 – 49</w:t>
            </w:r>
            <w:r w:rsidR="0082569C" w:rsidRPr="00653421">
              <w:rPr>
                <w:rFonts w:ascii="Tahoma" w:hAnsi="Tahoma" w:cs="Tahoma"/>
              </w:rPr>
              <w:t>.</w:t>
            </w:r>
            <w:r w:rsidRPr="00653421">
              <w:rPr>
                <w:rFonts w:ascii="Tahoma" w:hAnsi="Tahoma" w:cs="Tahoma"/>
              </w:rPr>
              <w:t>999</w:t>
            </w:r>
          </w:p>
        </w:tc>
        <w:tc>
          <w:tcPr>
            <w:tcW w:w="3690" w:type="dxa"/>
            <w:vAlign w:val="center"/>
          </w:tcPr>
          <w:p w:rsidR="00F76ED4" w:rsidRPr="00653421" w:rsidRDefault="00F76ED4" w:rsidP="00F76ED4">
            <w:pPr>
              <w:pStyle w:val="AppendixTableText"/>
              <w:keepNext/>
            </w:pPr>
            <w:r w:rsidRPr="00653421">
              <w:rPr>
                <w:rFonts w:ascii="Tahoma" w:hAnsi="Tahoma" w:cs="Tahoma"/>
              </w:rPr>
              <w:t xml:space="preserve">160 dias* </w:t>
            </w:r>
          </w:p>
          <w:p w:rsidR="00F76ED4" w:rsidRPr="00653421" w:rsidRDefault="00F76ED4" w:rsidP="00F76ED4">
            <w:pPr>
              <w:pStyle w:val="AppendixTableText"/>
              <w:keepNext/>
              <w:rPr>
                <w:rFonts w:ascii="Tahoma" w:hAnsi="Tahoma" w:cs="Tahoma"/>
              </w:rPr>
            </w:pPr>
          </w:p>
        </w:tc>
        <w:tc>
          <w:tcPr>
            <w:tcW w:w="3083" w:type="dxa"/>
            <w:vAlign w:val="center"/>
          </w:tcPr>
          <w:p w:rsidR="00F76ED4" w:rsidRPr="00653421" w:rsidRDefault="00F76ED4" w:rsidP="00F76ED4">
            <w:pPr>
              <w:pStyle w:val="AppendixTableText"/>
              <w:keepNext/>
            </w:pPr>
            <w:r w:rsidRPr="00653421">
              <w:rPr>
                <w:rFonts w:ascii="Tahoma" w:hAnsi="Tahoma" w:cs="Tahoma"/>
              </w:rPr>
              <w:t>80 dias*</w:t>
            </w:r>
          </w:p>
          <w:p w:rsidR="00F76ED4" w:rsidRPr="00653421" w:rsidRDefault="00F76ED4" w:rsidP="00F76ED4">
            <w:pPr>
              <w:pStyle w:val="AppendixTableText"/>
              <w:keepNext/>
              <w:rPr>
                <w:rFonts w:ascii="Tahoma" w:hAnsi="Tahoma" w:cs="Tahoma"/>
              </w:rPr>
            </w:pP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82569C">
            <w:pPr>
              <w:pStyle w:val="AppendixTableText"/>
              <w:keepNext/>
              <w:rPr>
                <w:rFonts w:ascii="Tahoma" w:hAnsi="Tahoma" w:cs="Tahoma"/>
                <w:i/>
              </w:rPr>
            </w:pPr>
            <w:r w:rsidRPr="00653421">
              <w:rPr>
                <w:rFonts w:ascii="Tahoma" w:hAnsi="Tahoma" w:cs="Tahoma"/>
              </w:rPr>
              <w:t>50</w:t>
            </w:r>
            <w:r w:rsidR="0082569C" w:rsidRPr="00653421">
              <w:rPr>
                <w:rFonts w:ascii="Tahoma" w:hAnsi="Tahoma" w:cs="Tahoma"/>
              </w:rPr>
              <w:t>.</w:t>
            </w:r>
            <w:r w:rsidRPr="00653421">
              <w:rPr>
                <w:rFonts w:ascii="Tahoma" w:hAnsi="Tahoma" w:cs="Tahoma"/>
              </w:rPr>
              <w:t>000 – 99</w:t>
            </w:r>
            <w:r w:rsidR="0082569C" w:rsidRPr="00653421">
              <w:rPr>
                <w:rFonts w:ascii="Tahoma" w:hAnsi="Tahoma" w:cs="Tahoma"/>
              </w:rPr>
              <w:t>.</w:t>
            </w:r>
            <w:r w:rsidRPr="00653421">
              <w:rPr>
                <w:rFonts w:ascii="Tahoma" w:hAnsi="Tahoma" w:cs="Tahoma"/>
              </w:rPr>
              <w:t>999</w:t>
            </w:r>
          </w:p>
        </w:tc>
        <w:tc>
          <w:tcPr>
            <w:tcW w:w="3690" w:type="dxa"/>
            <w:vAlign w:val="center"/>
          </w:tcPr>
          <w:p w:rsidR="00F76ED4" w:rsidRPr="00653421" w:rsidRDefault="00F76ED4" w:rsidP="00F76ED4">
            <w:pPr>
              <w:pStyle w:val="AppendixTableText"/>
              <w:keepNext/>
            </w:pPr>
            <w:r w:rsidRPr="00653421">
              <w:rPr>
                <w:rFonts w:ascii="Tahoma" w:hAnsi="Tahoma" w:cs="Tahoma"/>
              </w:rPr>
              <w:t>250 dias*</w:t>
            </w:r>
          </w:p>
          <w:p w:rsidR="00F76ED4" w:rsidRPr="00653421" w:rsidRDefault="00F76ED4" w:rsidP="00F76ED4">
            <w:pPr>
              <w:pStyle w:val="AppendixTableText"/>
              <w:keepNext/>
              <w:rPr>
                <w:rFonts w:ascii="Tahoma" w:hAnsi="Tahoma" w:cs="Tahoma"/>
              </w:rPr>
            </w:pPr>
          </w:p>
        </w:tc>
        <w:tc>
          <w:tcPr>
            <w:tcW w:w="3083" w:type="dxa"/>
            <w:vAlign w:val="center"/>
          </w:tcPr>
          <w:p w:rsidR="00F76ED4" w:rsidRPr="00653421" w:rsidRDefault="00F76ED4" w:rsidP="00F76ED4">
            <w:pPr>
              <w:pStyle w:val="AppendixTableText"/>
              <w:keepNext/>
            </w:pPr>
            <w:r w:rsidRPr="00653421">
              <w:rPr>
                <w:rFonts w:ascii="Tahoma" w:hAnsi="Tahoma" w:cs="Tahoma"/>
              </w:rPr>
              <w:t xml:space="preserve">125 dias* </w:t>
            </w:r>
          </w:p>
          <w:p w:rsidR="00F76ED4" w:rsidRPr="00653421" w:rsidRDefault="00F76ED4" w:rsidP="00F76ED4">
            <w:pPr>
              <w:pStyle w:val="AppendixTableText"/>
              <w:keepNext/>
              <w:rPr>
                <w:rFonts w:ascii="Tahoma" w:hAnsi="Tahoma" w:cs="Tahoma"/>
              </w:rPr>
            </w:pP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82569C" w:rsidP="0082569C">
            <w:pPr>
              <w:pStyle w:val="AppendixTableHeadings"/>
              <w:keepNext/>
              <w:rPr>
                <w:rFonts w:ascii="Tahoma" w:hAnsi="Tahoma" w:cs="Tahoma"/>
                <w:b w:val="0"/>
              </w:rPr>
            </w:pPr>
            <w:r w:rsidRPr="00653421">
              <w:rPr>
                <w:rFonts w:ascii="Tahoma" w:hAnsi="Tahoma" w:cs="Tahoma"/>
                <w:b w:val="0"/>
              </w:rPr>
              <w:t>100.</w:t>
            </w:r>
            <w:r w:rsidR="00F76ED4" w:rsidRPr="00653421">
              <w:rPr>
                <w:rFonts w:ascii="Tahoma" w:hAnsi="Tahoma" w:cs="Tahoma"/>
                <w:b w:val="0"/>
              </w:rPr>
              <w:t>000 – 199</w:t>
            </w:r>
            <w:r w:rsidRPr="00653421">
              <w:rPr>
                <w:rFonts w:ascii="Tahoma" w:hAnsi="Tahoma" w:cs="Tahoma"/>
                <w:b w:val="0"/>
              </w:rPr>
              <w:t>.</w:t>
            </w:r>
            <w:r w:rsidR="00F76ED4" w:rsidRPr="00653421">
              <w:rPr>
                <w:rFonts w:ascii="Tahoma" w:hAnsi="Tahoma" w:cs="Tahoma"/>
                <w:b w:val="0"/>
              </w:rPr>
              <w:t>999</w:t>
            </w:r>
          </w:p>
        </w:tc>
        <w:tc>
          <w:tcPr>
            <w:tcW w:w="3690" w:type="dxa"/>
            <w:vAlign w:val="center"/>
          </w:tcPr>
          <w:p w:rsidR="00F76ED4" w:rsidRPr="00653421" w:rsidRDefault="00F76ED4" w:rsidP="00F76ED4">
            <w:pPr>
              <w:pStyle w:val="AppendixTableText"/>
              <w:keepNext/>
            </w:pPr>
            <w:r w:rsidRPr="00653421">
              <w:rPr>
                <w:rFonts w:ascii="Tahoma" w:hAnsi="Tahoma" w:cs="Tahoma"/>
              </w:rPr>
              <w:t>400 dias*</w:t>
            </w:r>
          </w:p>
          <w:p w:rsidR="00F76ED4" w:rsidRPr="00653421" w:rsidRDefault="00F76ED4" w:rsidP="00F76ED4">
            <w:pPr>
              <w:pStyle w:val="AppendixTableText"/>
              <w:keepNext/>
              <w:rPr>
                <w:rFonts w:ascii="Tahoma" w:hAnsi="Tahoma" w:cs="Tahoma"/>
              </w:rPr>
            </w:pPr>
          </w:p>
        </w:tc>
        <w:tc>
          <w:tcPr>
            <w:tcW w:w="3083" w:type="dxa"/>
            <w:vAlign w:val="center"/>
          </w:tcPr>
          <w:p w:rsidR="00F76ED4" w:rsidRPr="00653421" w:rsidRDefault="00F76ED4" w:rsidP="00F76ED4">
            <w:pPr>
              <w:pStyle w:val="AppendixTableText"/>
              <w:keepNext/>
            </w:pPr>
            <w:r w:rsidRPr="00653421">
              <w:rPr>
                <w:rFonts w:ascii="Tahoma" w:hAnsi="Tahoma" w:cs="Tahoma"/>
              </w:rPr>
              <w:t>200 dias*</w:t>
            </w:r>
          </w:p>
          <w:p w:rsidR="00F76ED4" w:rsidRPr="00653421" w:rsidRDefault="00F76ED4" w:rsidP="00F76ED4">
            <w:pPr>
              <w:pStyle w:val="AppendixTableText"/>
              <w:keepNext/>
              <w:rPr>
                <w:rFonts w:ascii="Tahoma" w:hAnsi="Tahoma" w:cs="Tahoma"/>
              </w:rPr>
            </w:pP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82569C">
            <w:pPr>
              <w:pStyle w:val="AppendixTableHeadings"/>
              <w:keepNext/>
              <w:rPr>
                <w:rFonts w:ascii="Tahoma" w:hAnsi="Tahoma" w:cs="Tahoma"/>
                <w:b w:val="0"/>
              </w:rPr>
            </w:pPr>
            <w:r w:rsidRPr="00653421">
              <w:rPr>
                <w:rFonts w:ascii="Tahoma" w:hAnsi="Tahoma" w:cs="Tahoma"/>
                <w:b w:val="0"/>
              </w:rPr>
              <w:t>200</w:t>
            </w:r>
            <w:r w:rsidR="0082569C" w:rsidRPr="00653421">
              <w:rPr>
                <w:rFonts w:ascii="Tahoma" w:hAnsi="Tahoma" w:cs="Tahoma"/>
                <w:b w:val="0"/>
              </w:rPr>
              <w:t>.</w:t>
            </w:r>
            <w:r w:rsidRPr="00653421">
              <w:rPr>
                <w:rFonts w:ascii="Tahoma" w:hAnsi="Tahoma" w:cs="Tahoma"/>
                <w:b w:val="0"/>
              </w:rPr>
              <w:t>000 – 399</w:t>
            </w:r>
            <w:r w:rsidR="0082569C" w:rsidRPr="00653421">
              <w:rPr>
                <w:rFonts w:ascii="Tahoma" w:hAnsi="Tahoma" w:cs="Tahoma"/>
                <w:b w:val="0"/>
              </w:rPr>
              <w:t>.</w:t>
            </w:r>
            <w:r w:rsidRPr="00653421">
              <w:rPr>
                <w:rFonts w:ascii="Tahoma" w:hAnsi="Tahoma" w:cs="Tahoma"/>
                <w:b w:val="0"/>
              </w:rPr>
              <w:t>999</w:t>
            </w:r>
          </w:p>
        </w:tc>
        <w:tc>
          <w:tcPr>
            <w:tcW w:w="3690" w:type="dxa"/>
            <w:vAlign w:val="center"/>
          </w:tcPr>
          <w:p w:rsidR="00F76ED4" w:rsidRPr="00653421" w:rsidRDefault="00F76ED4" w:rsidP="00F76ED4">
            <w:pPr>
              <w:pStyle w:val="AppendixTableText"/>
              <w:keepNext/>
            </w:pPr>
            <w:r w:rsidRPr="00653421">
              <w:rPr>
                <w:rFonts w:ascii="Tahoma" w:hAnsi="Tahoma" w:cs="Tahoma"/>
              </w:rPr>
              <w:t>600 dias*</w:t>
            </w:r>
          </w:p>
          <w:p w:rsidR="00F76ED4" w:rsidRPr="00653421" w:rsidRDefault="00F76ED4" w:rsidP="00F76ED4">
            <w:pPr>
              <w:pStyle w:val="AppendixTableText"/>
              <w:keepNext/>
              <w:rPr>
                <w:rFonts w:ascii="Tahoma" w:hAnsi="Tahoma" w:cs="Tahoma"/>
              </w:rPr>
            </w:pPr>
          </w:p>
        </w:tc>
        <w:tc>
          <w:tcPr>
            <w:tcW w:w="3083" w:type="dxa"/>
            <w:vAlign w:val="center"/>
          </w:tcPr>
          <w:p w:rsidR="00F76ED4" w:rsidRPr="00653421" w:rsidRDefault="00F76ED4" w:rsidP="00F76ED4">
            <w:pPr>
              <w:pStyle w:val="AppendixTableText"/>
              <w:keepNext/>
            </w:pPr>
            <w:r w:rsidRPr="00653421">
              <w:rPr>
                <w:rFonts w:ascii="Tahoma" w:hAnsi="Tahoma" w:cs="Tahoma"/>
              </w:rPr>
              <w:t>300 dias*</w:t>
            </w:r>
          </w:p>
          <w:p w:rsidR="00F76ED4" w:rsidRPr="00653421" w:rsidRDefault="00F76ED4" w:rsidP="00F76ED4">
            <w:pPr>
              <w:pStyle w:val="AppendixTableText"/>
              <w:keepNext/>
              <w:rPr>
                <w:rFonts w:ascii="Tahoma" w:hAnsi="Tahoma" w:cs="Tahoma"/>
              </w:rPr>
            </w:pP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82569C">
            <w:pPr>
              <w:pStyle w:val="AppendixTableHeadings"/>
              <w:keepNext/>
              <w:rPr>
                <w:rFonts w:ascii="Tahoma" w:hAnsi="Tahoma" w:cs="Tahoma"/>
                <w:b w:val="0"/>
              </w:rPr>
            </w:pPr>
            <w:r w:rsidRPr="00653421">
              <w:rPr>
                <w:rFonts w:ascii="Tahoma" w:hAnsi="Tahoma" w:cs="Tahoma"/>
                <w:b w:val="0"/>
              </w:rPr>
              <w:t>400</w:t>
            </w:r>
            <w:r w:rsidR="0082569C" w:rsidRPr="00653421">
              <w:rPr>
                <w:rFonts w:ascii="Tahoma" w:hAnsi="Tahoma" w:cs="Tahoma"/>
                <w:b w:val="0"/>
              </w:rPr>
              <w:t>.</w:t>
            </w:r>
            <w:r w:rsidRPr="00653421">
              <w:rPr>
                <w:rFonts w:ascii="Tahoma" w:hAnsi="Tahoma" w:cs="Tahoma"/>
                <w:b w:val="0"/>
              </w:rPr>
              <w:t>000 – 599</w:t>
            </w:r>
            <w:r w:rsidR="0082569C" w:rsidRPr="00653421">
              <w:rPr>
                <w:rFonts w:ascii="Tahoma" w:hAnsi="Tahoma" w:cs="Tahoma"/>
                <w:b w:val="0"/>
              </w:rPr>
              <w:t>.</w:t>
            </w:r>
            <w:r w:rsidRPr="00653421">
              <w:rPr>
                <w:rFonts w:ascii="Tahoma" w:hAnsi="Tahoma" w:cs="Tahoma"/>
                <w:b w:val="0"/>
              </w:rPr>
              <w:t>999</w:t>
            </w:r>
          </w:p>
        </w:tc>
        <w:tc>
          <w:tcPr>
            <w:tcW w:w="3690" w:type="dxa"/>
            <w:vAlign w:val="center"/>
          </w:tcPr>
          <w:p w:rsidR="00F76ED4" w:rsidRPr="00653421" w:rsidRDefault="00F76ED4" w:rsidP="00F76ED4">
            <w:pPr>
              <w:pStyle w:val="AppendixTableText"/>
              <w:keepNext/>
            </w:pPr>
            <w:r w:rsidRPr="00653421">
              <w:rPr>
                <w:rFonts w:ascii="Tahoma" w:hAnsi="Tahoma" w:cs="Tahoma"/>
              </w:rPr>
              <w:t>800 dias*</w:t>
            </w:r>
          </w:p>
          <w:p w:rsidR="00F76ED4" w:rsidRPr="00653421" w:rsidRDefault="00F76ED4" w:rsidP="00F76ED4">
            <w:pPr>
              <w:pStyle w:val="AppendixTableText"/>
              <w:keepNext/>
              <w:rPr>
                <w:rFonts w:ascii="Tahoma" w:hAnsi="Tahoma" w:cs="Tahoma"/>
              </w:rPr>
            </w:pPr>
          </w:p>
        </w:tc>
        <w:tc>
          <w:tcPr>
            <w:tcW w:w="3083" w:type="dxa"/>
            <w:vAlign w:val="center"/>
          </w:tcPr>
          <w:p w:rsidR="00F76ED4" w:rsidRPr="00653421" w:rsidRDefault="00F76ED4" w:rsidP="00F76ED4">
            <w:pPr>
              <w:pStyle w:val="AppendixTableText"/>
              <w:keepNext/>
            </w:pPr>
            <w:r w:rsidRPr="00653421">
              <w:rPr>
                <w:rFonts w:ascii="Tahoma" w:hAnsi="Tahoma" w:cs="Tahoma"/>
              </w:rPr>
              <w:t>400 dias*</w:t>
            </w:r>
          </w:p>
          <w:p w:rsidR="00F76ED4" w:rsidRPr="00653421" w:rsidRDefault="00F76ED4" w:rsidP="00F76ED4">
            <w:pPr>
              <w:pStyle w:val="AppendixTableText"/>
              <w:keepNext/>
              <w:rPr>
                <w:rFonts w:ascii="Tahoma" w:hAnsi="Tahoma" w:cs="Tahoma"/>
              </w:rPr>
            </w:pPr>
          </w:p>
        </w:tc>
      </w:tr>
      <w:tr w:rsidR="00F76ED4" w:rsidRPr="00653421" w:rsidTr="0082569C">
        <w:trPr>
          <w:cantSplit/>
          <w:trHeight w:val="236"/>
        </w:trPr>
        <w:tc>
          <w:tcPr>
            <w:tcW w:w="2619" w:type="dxa"/>
            <w:vAlign w:val="center"/>
          </w:tcPr>
          <w:p w:rsidR="00F76ED4" w:rsidRPr="00653421" w:rsidRDefault="00F76ED4" w:rsidP="00F76ED4">
            <w:pPr>
              <w:pStyle w:val="AppendixTableHeadings"/>
              <w:keepNext/>
            </w:pPr>
            <w:r w:rsidRPr="00653421">
              <w:rPr>
                <w:rFonts w:ascii="Tahoma" w:hAnsi="Tahoma" w:cs="Tahoma"/>
                <w:b w:val="0"/>
              </w:rPr>
              <w:t>SAM</w:t>
            </w:r>
          </w:p>
          <w:p w:rsidR="00F76ED4" w:rsidRPr="00653421" w:rsidRDefault="00F76ED4" w:rsidP="0082569C">
            <w:pPr>
              <w:pStyle w:val="AppendixTableHeadings"/>
              <w:keepNext/>
              <w:rPr>
                <w:rFonts w:ascii="Tahoma" w:hAnsi="Tahoma" w:cs="Tahoma"/>
                <w:b w:val="0"/>
              </w:rPr>
            </w:pPr>
            <w:r w:rsidRPr="00653421">
              <w:rPr>
                <w:rFonts w:ascii="Tahoma" w:hAnsi="Tahoma" w:cs="Tahoma"/>
                <w:b w:val="0"/>
              </w:rPr>
              <w:t>600</w:t>
            </w:r>
            <w:r w:rsidR="0082569C" w:rsidRPr="00653421">
              <w:rPr>
                <w:rFonts w:ascii="Tahoma" w:hAnsi="Tahoma" w:cs="Tahoma"/>
                <w:b w:val="0"/>
              </w:rPr>
              <w:t>.</w:t>
            </w:r>
            <w:r w:rsidRPr="00653421">
              <w:rPr>
                <w:rFonts w:ascii="Tahoma" w:hAnsi="Tahoma" w:cs="Tahoma"/>
                <w:b w:val="0"/>
              </w:rPr>
              <w:t>000 +</w:t>
            </w:r>
          </w:p>
        </w:tc>
        <w:tc>
          <w:tcPr>
            <w:tcW w:w="3690" w:type="dxa"/>
            <w:vAlign w:val="center"/>
          </w:tcPr>
          <w:p w:rsidR="00F76ED4" w:rsidRPr="00653421" w:rsidRDefault="00F76ED4" w:rsidP="00F76ED4">
            <w:pPr>
              <w:pStyle w:val="AppendixTableText"/>
              <w:keepNext/>
            </w:pPr>
            <w:r w:rsidRPr="00653421">
              <w:rPr>
                <w:rFonts w:ascii="Tahoma" w:hAnsi="Tahoma" w:cs="Tahoma"/>
              </w:rPr>
              <w:t xml:space="preserve">1400 dias* </w:t>
            </w:r>
          </w:p>
          <w:p w:rsidR="00F76ED4" w:rsidRPr="00653421" w:rsidRDefault="00F76ED4" w:rsidP="00F76ED4">
            <w:pPr>
              <w:pStyle w:val="AppendixTableText"/>
              <w:keepNext/>
              <w:rPr>
                <w:rFonts w:ascii="Tahoma" w:hAnsi="Tahoma" w:cs="Tahoma"/>
              </w:rPr>
            </w:pPr>
          </w:p>
        </w:tc>
        <w:tc>
          <w:tcPr>
            <w:tcW w:w="3083" w:type="dxa"/>
            <w:vAlign w:val="center"/>
          </w:tcPr>
          <w:p w:rsidR="00F76ED4" w:rsidRPr="00653421" w:rsidRDefault="00F76ED4" w:rsidP="00F76ED4">
            <w:pPr>
              <w:pStyle w:val="AppendixTableText"/>
              <w:keepNext/>
            </w:pPr>
            <w:r w:rsidRPr="00653421">
              <w:rPr>
                <w:rFonts w:ascii="Tahoma" w:hAnsi="Tahoma" w:cs="Tahoma"/>
              </w:rPr>
              <w:t>700 dias*</w:t>
            </w:r>
          </w:p>
          <w:p w:rsidR="00F76ED4" w:rsidRPr="00653421" w:rsidRDefault="00F76ED4" w:rsidP="00F76ED4">
            <w:pPr>
              <w:pStyle w:val="AppendixTableText"/>
              <w:keepNext/>
              <w:rPr>
                <w:rFonts w:ascii="Tahoma" w:hAnsi="Tahoma" w:cs="Tahoma"/>
              </w:rPr>
            </w:pPr>
          </w:p>
        </w:tc>
      </w:tr>
    </w:tbl>
    <w:p w:rsidR="00F528E5" w:rsidRPr="00653421" w:rsidRDefault="00F528E5" w:rsidP="003C56F1">
      <w:pPr>
        <w:pStyle w:val="AppendixBodyText"/>
        <w:spacing w:after="0"/>
      </w:pPr>
    </w:p>
    <w:p w:rsidR="00AD353C" w:rsidRPr="00653421" w:rsidRDefault="00AD353C">
      <w:pPr>
        <w:pStyle w:val="AppendixFlushBulletedList"/>
        <w:tabs>
          <w:tab w:val="clear" w:pos="360"/>
          <w:tab w:val="num" w:pos="0"/>
        </w:tabs>
        <w:ind w:left="0" w:firstLine="0"/>
        <w:rPr>
          <w:rFonts w:ascii="Tahoma" w:hAnsi="Tahoma" w:cs="Tahoma"/>
          <w:sz w:val="18"/>
          <w:szCs w:val="18"/>
        </w:rPr>
      </w:pPr>
    </w:p>
    <w:p w:rsidR="00E762F8" w:rsidRPr="00734B50" w:rsidRDefault="00023FE7">
      <w:pPr>
        <w:pStyle w:val="AppendixFlushBulletedList"/>
        <w:tabs>
          <w:tab w:val="clear" w:pos="360"/>
          <w:tab w:val="num" w:pos="0"/>
        </w:tabs>
        <w:ind w:left="0" w:firstLine="0"/>
        <w:rPr>
          <w:lang w:val="pt-BR"/>
        </w:rPr>
      </w:pPr>
      <w:r w:rsidRPr="00734B50">
        <w:rPr>
          <w:rFonts w:ascii="Tahoma" w:hAnsi="Tahoma" w:cs="Tahoma"/>
          <w:sz w:val="18"/>
          <w:szCs w:val="18"/>
          <w:lang w:val="pt-BR"/>
        </w:rPr>
        <w:t>O número mínimo de licenças com Software Assurance necessário para a qualificação do Cupom de Treinamento varia por programa.</w:t>
      </w:r>
    </w:p>
    <w:p w:rsidR="00C65D66" w:rsidRPr="00734B50" w:rsidRDefault="00C65D66" w:rsidP="00C65D66">
      <w:pPr>
        <w:tabs>
          <w:tab w:val="left" w:pos="10440"/>
        </w:tabs>
        <w:spacing w:before="120"/>
        <w:ind w:right="306"/>
        <w:rPr>
          <w:lang w:val="pt-BR"/>
        </w:rPr>
      </w:pPr>
      <w:r w:rsidRPr="00734B50">
        <w:rPr>
          <w:rFonts w:eastAsia="Calibri" w:cs="Tahoma"/>
          <w:b/>
          <w:i/>
          <w:color w:val="000000"/>
          <w:sz w:val="16"/>
          <w:szCs w:val="16"/>
          <w:lang w:val="pt-BR"/>
        </w:rPr>
        <w:t>Observação:</w:t>
      </w:r>
      <w:r w:rsidRPr="00734B50">
        <w:rPr>
          <w:rFonts w:eastAsia="Calibri" w:cs="Tahoma"/>
          <w:i/>
          <w:color w:val="000000"/>
          <w:sz w:val="16"/>
          <w:szCs w:val="16"/>
          <w:lang w:val="pt-BR"/>
        </w:rPr>
        <w:t xml:space="preserve"> créditos de treinamento disponíveis com base em um registro ou contrato integral de 3 anos (consulte</w:t>
      </w:r>
      <w:r w:rsidR="008E1FAF" w:rsidRPr="00734B50">
        <w:rPr>
          <w:rFonts w:eastAsia="Calibri" w:cs="Tahoma"/>
          <w:i/>
          <w:color w:val="000000"/>
          <w:sz w:val="16"/>
          <w:szCs w:val="16"/>
          <w:lang w:val="pt-BR"/>
        </w:rPr>
        <w:t> </w:t>
      </w:r>
      <w:r w:rsidRPr="00734B50">
        <w:rPr>
          <w:rFonts w:eastAsia="Calibri" w:cs="Tahoma"/>
          <w:i/>
          <w:color w:val="000000"/>
          <w:sz w:val="16"/>
          <w:szCs w:val="16"/>
          <w:lang w:val="pt-BR"/>
        </w:rPr>
        <w:t>a</w:t>
      </w:r>
      <w:r w:rsidR="008E1FAF" w:rsidRPr="00734B50">
        <w:rPr>
          <w:rFonts w:eastAsia="Calibri" w:cs="Tahoma"/>
          <w:i/>
          <w:color w:val="000000"/>
          <w:sz w:val="16"/>
          <w:szCs w:val="16"/>
          <w:lang w:val="pt-BR"/>
        </w:rPr>
        <w:t> </w:t>
      </w:r>
      <w:r w:rsidRPr="00734B50">
        <w:rPr>
          <w:rFonts w:eastAsia="Calibri" w:cs="Tahoma"/>
          <w:i/>
          <w:color w:val="000000"/>
          <w:sz w:val="16"/>
          <w:szCs w:val="16"/>
          <w:lang w:val="pt-BR"/>
        </w:rPr>
        <w:t>seguir</w:t>
      </w:r>
      <w:r w:rsidR="008E1FAF" w:rsidRPr="00734B50">
        <w:rPr>
          <w:rFonts w:eastAsia="Calibri" w:cs="Tahoma"/>
          <w:i/>
          <w:color w:val="000000"/>
          <w:sz w:val="16"/>
          <w:szCs w:val="16"/>
          <w:lang w:val="pt-BR"/>
        </w:rPr>
        <w:t> </w:t>
      </w:r>
      <w:r w:rsidRPr="00734B50">
        <w:rPr>
          <w:rFonts w:eastAsia="Calibri" w:cs="Tahoma"/>
          <w:i/>
          <w:color w:val="000000"/>
          <w:sz w:val="16"/>
          <w:szCs w:val="16"/>
          <w:lang w:val="pt-BR"/>
        </w:rPr>
        <w:t>para obter detalhes).</w:t>
      </w:r>
      <w:r w:rsidR="005A52A2" w:rsidRPr="00734B50">
        <w:rPr>
          <w:rFonts w:eastAsia="Calibri" w:cs="Tahoma"/>
          <w:i/>
          <w:color w:val="000000"/>
          <w:sz w:val="16"/>
          <w:szCs w:val="16"/>
          <w:lang w:val="pt-BR"/>
        </w:rPr>
        <w:t xml:space="preserve"> </w:t>
      </w:r>
    </w:p>
    <w:p w:rsidR="00C65D66" w:rsidRPr="00734B50" w:rsidRDefault="00C65D66" w:rsidP="00C65D66">
      <w:pPr>
        <w:spacing w:after="60"/>
        <w:rPr>
          <w:lang w:val="pt-BR"/>
        </w:rPr>
      </w:pPr>
      <w:r w:rsidRPr="00734B50">
        <w:rPr>
          <w:rFonts w:eastAsia="Calibri" w:cs="Tahoma"/>
          <w:i/>
          <w:color w:val="000000"/>
          <w:sz w:val="16"/>
          <w:szCs w:val="16"/>
          <w:lang w:val="pt-BR"/>
        </w:rPr>
        <w:t>Consulte a tabela com o Aplicativo do Office System</w:t>
      </w:r>
    </w:p>
    <w:p w:rsidR="00EC05F0" w:rsidRPr="00734B50" w:rsidRDefault="00C65D66" w:rsidP="00F76ED4">
      <w:pPr>
        <w:tabs>
          <w:tab w:val="left" w:pos="10440"/>
        </w:tabs>
        <w:ind w:right="302"/>
        <w:rPr>
          <w:lang w:val="pt-BR"/>
        </w:rPr>
      </w:pPr>
      <w:r w:rsidRPr="00734B50">
        <w:rPr>
          <w:rFonts w:eastAsia="Calibri" w:cs="Tahoma"/>
          <w:i/>
          <w:color w:val="000000"/>
          <w:sz w:val="16"/>
          <w:szCs w:val="16"/>
          <w:lang w:val="pt-BR"/>
        </w:rPr>
        <w:t>*Número de dias por registro ou contrato aplicável.</w:t>
      </w:r>
    </w:p>
    <w:p w:rsidR="009D26EE" w:rsidRPr="00734B50" w:rsidRDefault="009D26EE" w:rsidP="003C56F1">
      <w:pPr>
        <w:pStyle w:val="AppendixBodyText"/>
        <w:spacing w:after="0"/>
        <w:rPr>
          <w:lang w:val="pt-BR"/>
        </w:rPr>
      </w:pP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Nem todos os cursos estão disponíveis em todos os idiomas.</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As políticas locais estabelecidas por Microsoft Learning Partner se aplicam.</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Os Gerentes de Benefícios podem revogar um cupom com status atribuído até a data de</w:t>
      </w:r>
      <w:r w:rsidR="00152ECB" w:rsidRPr="00734B50">
        <w:rPr>
          <w:rFonts w:ascii="Tahoma" w:hAnsi="Tahoma" w:cs="Tahoma"/>
          <w:bCs/>
          <w:sz w:val="18"/>
          <w:szCs w:val="18"/>
          <w:lang w:val="pt-BR"/>
        </w:rPr>
        <w:t> </w:t>
      </w:r>
      <w:r w:rsidRPr="00734B50">
        <w:rPr>
          <w:rFonts w:ascii="Tahoma" w:hAnsi="Tahoma" w:cs="Tahoma"/>
          <w:bCs/>
          <w:sz w:val="18"/>
          <w:szCs w:val="18"/>
          <w:lang w:val="pt-BR"/>
        </w:rPr>
        <w:t>cancelamento da aula estabelecida pelo Microsoft Learning Partner.</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lastRenderedPageBreak/>
        <w:t>Todos os dias de curso não cobertos pelo cupom deverão ser pagos pela pessoa que receber o</w:t>
      </w:r>
      <w:r w:rsidR="00152ECB" w:rsidRPr="00734B50">
        <w:rPr>
          <w:rFonts w:ascii="Tahoma" w:hAnsi="Tahoma" w:cs="Tahoma"/>
          <w:bCs/>
          <w:sz w:val="18"/>
          <w:szCs w:val="18"/>
          <w:lang w:val="pt-BR"/>
        </w:rPr>
        <w:t> </w:t>
      </w:r>
      <w:r w:rsidRPr="00734B50">
        <w:rPr>
          <w:rFonts w:ascii="Tahoma" w:hAnsi="Tahoma" w:cs="Tahoma"/>
          <w:bCs/>
          <w:sz w:val="18"/>
          <w:szCs w:val="18"/>
          <w:lang w:val="pt-BR"/>
        </w:rPr>
        <w:t>treinamento.</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Todos os dias do cupom em excesso quanto ao número de dias aplicados a uma aula em particular serão devolvidos ao pool de dias disponível para serem reatribuídos pelos Gerentes de Benefícios.</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Os cursos fornecidos em um formato acelerado exigem um cupom com número de dias equivalente ao número de dias do curso para uma entrega normal do curso.</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 cupom pode ser resgatado apenas pelos dias de treinamento ministrados por instrutor com Microsoft Learning Partners qualificados nos cursos aprovados.</w:t>
      </w:r>
      <w:r w:rsidR="005A52A2" w:rsidRPr="00734B50">
        <w:rPr>
          <w:rFonts w:ascii="Tahoma" w:hAnsi="Tahoma" w:cs="Tahoma"/>
          <w:bCs/>
          <w:sz w:val="18"/>
          <w:szCs w:val="18"/>
          <w:lang w:val="pt-BR"/>
        </w:rPr>
        <w:t xml:space="preserve"> </w:t>
      </w:r>
      <w:r w:rsidRPr="00734B50">
        <w:rPr>
          <w:rFonts w:ascii="Tahoma" w:hAnsi="Tahoma" w:cs="Tahoma"/>
          <w:bCs/>
          <w:sz w:val="18"/>
          <w:szCs w:val="18"/>
          <w:lang w:val="pt-BR"/>
        </w:rPr>
        <w:t>Os cursos personalizados (diferentes da entrega acelerada de cursos aprovados) não estão qualificados para cobertura por</w:t>
      </w:r>
      <w:r w:rsidR="00152ECB" w:rsidRPr="00734B50">
        <w:rPr>
          <w:rFonts w:ascii="Tahoma" w:hAnsi="Tahoma" w:cs="Tahoma"/>
          <w:bCs/>
          <w:sz w:val="18"/>
          <w:szCs w:val="18"/>
          <w:lang w:val="pt-BR"/>
        </w:rPr>
        <w:t> </w:t>
      </w:r>
      <w:r w:rsidRPr="00734B50">
        <w:rPr>
          <w:rFonts w:ascii="Tahoma" w:hAnsi="Tahoma" w:cs="Tahoma"/>
          <w:bCs/>
          <w:sz w:val="18"/>
          <w:szCs w:val="18"/>
          <w:lang w:val="pt-BR"/>
        </w:rPr>
        <w:t>esses cupons.</w:t>
      </w:r>
      <w:r w:rsidR="005A52A2" w:rsidRPr="00734B50">
        <w:rPr>
          <w:rFonts w:ascii="Tahoma" w:hAnsi="Tahoma" w:cs="Tahoma"/>
          <w:bCs/>
          <w:sz w:val="18"/>
          <w:szCs w:val="18"/>
          <w:lang w:val="pt-BR"/>
        </w:rPr>
        <w:t xml:space="preserve"> </w:t>
      </w:r>
      <w:r w:rsidRPr="00734B50">
        <w:rPr>
          <w:rFonts w:ascii="Tahoma" w:hAnsi="Tahoma" w:cs="Tahoma"/>
          <w:bCs/>
          <w:sz w:val="18"/>
          <w:szCs w:val="18"/>
          <w:lang w:val="pt-BR"/>
        </w:rPr>
        <w:t>Para obter informações sobre cursos aprovados, visite o site http://www.microsoft.com/learning/sa/training.mspx.</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Os cupons não podem ser usados para cobrir quaisquer taxas relacionadas a um cliente que não compareça em um curso reservado.</w:t>
      </w:r>
      <w:r w:rsidR="005A52A2" w:rsidRPr="00734B50">
        <w:rPr>
          <w:rFonts w:ascii="Tahoma" w:hAnsi="Tahoma" w:cs="Tahoma"/>
          <w:bCs/>
          <w:sz w:val="18"/>
          <w:szCs w:val="18"/>
          <w:lang w:val="pt-BR"/>
        </w:rPr>
        <w:t xml:space="preserve"> </w:t>
      </w:r>
      <w:r w:rsidRPr="00734B50">
        <w:rPr>
          <w:rFonts w:ascii="Tahoma" w:hAnsi="Tahoma" w:cs="Tahoma"/>
          <w:bCs/>
          <w:sz w:val="18"/>
          <w:szCs w:val="18"/>
          <w:lang w:val="pt-BR"/>
        </w:rPr>
        <w:t>Todas as taxas relacionadas a “Não Comparecimentos” são de</w:t>
      </w:r>
      <w:r w:rsidR="00152ECB" w:rsidRPr="00734B50">
        <w:rPr>
          <w:rFonts w:ascii="Tahoma" w:hAnsi="Tahoma" w:cs="Tahoma"/>
          <w:bCs/>
          <w:sz w:val="18"/>
          <w:szCs w:val="18"/>
          <w:lang w:val="pt-BR"/>
        </w:rPr>
        <w:t> </w:t>
      </w:r>
      <w:r w:rsidRPr="00734B50">
        <w:rPr>
          <w:rFonts w:ascii="Tahoma" w:hAnsi="Tahoma" w:cs="Tahoma"/>
          <w:bCs/>
          <w:sz w:val="18"/>
          <w:szCs w:val="18"/>
          <w:lang w:val="pt-BR"/>
        </w:rPr>
        <w:t xml:space="preserve">responsabilidade do cliente. </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 xml:space="preserve">Os cupons poderão ser resgatados apenas pelo indivíduo aprovado pelo cliente para usar o cupom. </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Os cupons não poderão ser trocados por dinheiro, valores ou outras considerações de valor.</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Os cupons devem ser atribuídos durante o período de cobertura do Software Assurance.</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rsidR="00982A40" w:rsidRPr="00734B50" w:rsidRDefault="00982A40" w:rsidP="00EF36CE">
      <w:pPr>
        <w:numPr>
          <w:ilvl w:val="0"/>
          <w:numId w:val="33"/>
        </w:numPr>
        <w:spacing w:afterLines="60" w:after="144"/>
        <w:rPr>
          <w:lang w:val="pt-BR"/>
        </w:rPr>
      </w:pPr>
      <w:r w:rsidRPr="00734B50">
        <w:rPr>
          <w:rFonts w:cs="Tahoma"/>
          <w:bCs/>
          <w:szCs w:val="18"/>
          <w:lang w:val="pt-BR"/>
        </w:rPr>
        <w:t>Com exceção das Sessões de Demonstração, um Voucher de um dia de Treinamento é igual ao equivalente a um dia de sessão de treinamento.</w:t>
      </w:r>
      <w:r w:rsidR="005A52A2" w:rsidRPr="00734B50">
        <w:rPr>
          <w:rFonts w:cs="Tahoma"/>
          <w:bCs/>
          <w:szCs w:val="18"/>
          <w:lang w:val="pt-BR"/>
        </w:rPr>
        <w:t xml:space="preserve"> </w:t>
      </w:r>
      <w:r w:rsidRPr="00734B50">
        <w:rPr>
          <w:rFonts w:cs="Tahoma"/>
          <w:bCs/>
          <w:szCs w:val="18"/>
          <w:lang w:val="pt-BR"/>
        </w:rPr>
        <w:t>Para as Sessões de Demonstração, um dia de Voucher de Treinamento é igual a uma Sessão de Demonstração.</w:t>
      </w:r>
    </w:p>
    <w:p w:rsidR="00982A40" w:rsidRPr="00734B50" w:rsidRDefault="00982A40" w:rsidP="00EF36CE">
      <w:pPr>
        <w:numPr>
          <w:ilvl w:val="0"/>
          <w:numId w:val="33"/>
        </w:numPr>
        <w:spacing w:afterLines="60" w:after="144"/>
        <w:rPr>
          <w:lang w:val="pt-BR"/>
        </w:rPr>
      </w:pPr>
      <w:r w:rsidRPr="00734B50">
        <w:rPr>
          <w:rFonts w:cs="Tahoma"/>
          <w:bCs/>
          <w:szCs w:val="18"/>
          <w:lang w:val="pt-BR"/>
        </w:rPr>
        <w:t>Os clientes devem resgatar os Vouchers de Treinamento para conjuntos de quatro ou mais Sessões de Demonstração</w:t>
      </w:r>
    </w:p>
    <w:p w:rsidR="00982A40" w:rsidRPr="00734B50" w:rsidRDefault="00982A40" w:rsidP="00EF36CE">
      <w:pPr>
        <w:numPr>
          <w:ilvl w:val="0"/>
          <w:numId w:val="33"/>
        </w:numPr>
        <w:spacing w:afterLines="60" w:after="144"/>
        <w:rPr>
          <w:lang w:val="pt-BR"/>
        </w:rPr>
      </w:pPr>
      <w:r w:rsidRPr="00734B50">
        <w:rPr>
          <w:rFonts w:cs="Tahoma"/>
          <w:bCs/>
          <w:szCs w:val="18"/>
          <w:lang w:val="pt-BR"/>
        </w:rPr>
        <w:t>Os Vouchers de Treinamento resgatados para as Sessões de Treinamento, ao contrário dos Vouchers de Treinamento resgatados para outras sessões de treinamento, não se limitando a um único indivíduo.</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 xml:space="preserve">Os cupons poderão ser usados para reservar treinamentos com apenas um Microsoft Learning Partner qualificado de cada vez. </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 Microsoft Learning Partner reserva o direito de cancelar uma aula de acordo com a política de cancelamento local.</w:t>
      </w:r>
    </w:p>
    <w:p w:rsidR="009D26EE" w:rsidRPr="00653421" w:rsidRDefault="009D26EE" w:rsidP="00EF36CE">
      <w:pPr>
        <w:pStyle w:val="AppendixBodyText"/>
        <w:numPr>
          <w:ilvl w:val="0"/>
          <w:numId w:val="33"/>
        </w:numPr>
        <w:spacing w:afterLines="60" w:after="144"/>
      </w:pPr>
      <w:r w:rsidRPr="00734B50">
        <w:rPr>
          <w:rFonts w:ascii="Tahoma" w:hAnsi="Tahoma" w:cs="Tahoma"/>
          <w:bCs/>
          <w:sz w:val="18"/>
          <w:szCs w:val="18"/>
          <w:lang w:val="pt-BR"/>
        </w:rPr>
        <w:t>Os cupons são válidos apenas com a participação de Microsoft Learning Partners. Eles podem ser</w:t>
      </w:r>
      <w:r w:rsidR="00152ECB" w:rsidRPr="00734B50">
        <w:rPr>
          <w:rFonts w:ascii="Tahoma" w:hAnsi="Tahoma" w:cs="Tahoma"/>
          <w:bCs/>
          <w:sz w:val="18"/>
          <w:szCs w:val="18"/>
          <w:lang w:val="pt-BR"/>
        </w:rPr>
        <w:t> </w:t>
      </w:r>
      <w:r w:rsidRPr="00734B50">
        <w:rPr>
          <w:rFonts w:ascii="Tahoma" w:hAnsi="Tahoma" w:cs="Tahoma"/>
          <w:bCs/>
          <w:sz w:val="18"/>
          <w:szCs w:val="18"/>
          <w:lang w:val="pt-BR"/>
        </w:rPr>
        <w:t xml:space="preserve">usados com qualquer Microsoft Learning Partner qualificado de todo o mundo. </w:t>
      </w:r>
      <w:r w:rsidRPr="00653421">
        <w:rPr>
          <w:rFonts w:ascii="Tahoma" w:hAnsi="Tahoma" w:cs="Tahoma"/>
          <w:bCs/>
          <w:sz w:val="18"/>
          <w:szCs w:val="18"/>
        </w:rPr>
        <w:t>A participação pode variar.</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Os clientes devem fornecer ao parceiro Microsoft Learning Partner as informações do cupom que gostariam de utilizar no curso antes do final do curso a fim de usá-lo como pagamento do curso.</w:t>
      </w:r>
      <w:r w:rsidR="005A52A2" w:rsidRPr="00734B50">
        <w:rPr>
          <w:rFonts w:ascii="Tahoma" w:hAnsi="Tahoma" w:cs="Tahoma"/>
          <w:bCs/>
          <w:sz w:val="18"/>
          <w:szCs w:val="18"/>
          <w:lang w:val="pt-BR"/>
        </w:rPr>
        <w:t xml:space="preserve"> </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A Microsoft não é responsável por cupons perdidos, roubados ou utilizados indevidamente.</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t>Os cupons podem ser resgatados apenas pelo cliente que estiver qualificado para o benefício.</w:t>
      </w:r>
    </w:p>
    <w:p w:rsidR="00152ECB" w:rsidRPr="00734B50" w:rsidRDefault="00152ECB" w:rsidP="00152ECB">
      <w:pPr>
        <w:pStyle w:val="AppendixBodyText"/>
        <w:spacing w:afterLines="60" w:after="144"/>
        <w:ind w:left="1440"/>
        <w:rPr>
          <w:lang w:val="pt-BR"/>
        </w:rPr>
      </w:pPr>
    </w:p>
    <w:p w:rsidR="009D26EE" w:rsidRPr="00734B50" w:rsidRDefault="009D26EE" w:rsidP="00EF36CE">
      <w:pPr>
        <w:pStyle w:val="AppendixBodyText"/>
        <w:numPr>
          <w:ilvl w:val="0"/>
          <w:numId w:val="33"/>
        </w:numPr>
        <w:spacing w:afterLines="60" w:after="144"/>
        <w:rPr>
          <w:lang w:val="pt-BR"/>
        </w:rPr>
      </w:pPr>
      <w:r w:rsidRPr="00734B50">
        <w:rPr>
          <w:rFonts w:ascii="Tahoma" w:hAnsi="Tahoma" w:cs="Tahoma"/>
          <w:bCs/>
          <w:sz w:val="18"/>
          <w:szCs w:val="18"/>
          <w:lang w:val="pt-BR"/>
        </w:rPr>
        <w:lastRenderedPageBreak/>
        <w:t>Os serviços fornecidos sob cupons são oferecidos de acordo com um contrato entre o Cliente e o</w:t>
      </w:r>
      <w:r w:rsidR="00152ECB" w:rsidRPr="00734B50">
        <w:rPr>
          <w:rFonts w:ascii="Tahoma" w:hAnsi="Tahoma" w:cs="Tahoma"/>
          <w:bCs/>
          <w:sz w:val="18"/>
          <w:szCs w:val="18"/>
          <w:lang w:val="pt-BR"/>
        </w:rPr>
        <w:t> </w:t>
      </w:r>
      <w:r w:rsidRPr="00734B50">
        <w:rPr>
          <w:rFonts w:ascii="Tahoma" w:hAnsi="Tahoma" w:cs="Tahoma"/>
          <w:bCs/>
          <w:sz w:val="18"/>
          <w:szCs w:val="18"/>
          <w:lang w:val="pt-BR"/>
        </w:rPr>
        <w:t>Provedor Qualificado. A Microsoft não é responsável por nenhum trabalho ou nenhuma falha da</w:t>
      </w:r>
      <w:r w:rsidR="00152ECB" w:rsidRPr="00734B50">
        <w:rPr>
          <w:rFonts w:ascii="Tahoma" w:hAnsi="Tahoma" w:cs="Tahoma"/>
          <w:bCs/>
          <w:sz w:val="18"/>
          <w:szCs w:val="18"/>
          <w:lang w:val="pt-BR"/>
        </w:rPr>
        <w:t> </w:t>
      </w:r>
      <w:r w:rsidRPr="00734B50">
        <w:rPr>
          <w:rFonts w:ascii="Tahoma" w:hAnsi="Tahoma" w:cs="Tahoma"/>
          <w:bCs/>
          <w:sz w:val="18"/>
          <w:szCs w:val="18"/>
          <w:lang w:val="pt-BR"/>
        </w:rPr>
        <w:t>parte do Provedor Qualificado relacionado aos serviços.</w:t>
      </w:r>
    </w:p>
    <w:p w:rsidR="00973A93" w:rsidRPr="00734B50" w:rsidRDefault="009D26EE" w:rsidP="005A141F">
      <w:pPr>
        <w:pStyle w:val="AppendixBodyText"/>
        <w:numPr>
          <w:ilvl w:val="0"/>
          <w:numId w:val="33"/>
        </w:numPr>
        <w:spacing w:after="0"/>
        <w:rPr>
          <w:lang w:val="pt-BR"/>
        </w:rPr>
      </w:pPr>
      <w:r w:rsidRPr="00734B50">
        <w:rPr>
          <w:rFonts w:ascii="Tahoma" w:hAnsi="Tahoma" w:cs="Tahoma"/>
          <w:bCs/>
          <w:sz w:val="18"/>
          <w:szCs w:val="18"/>
          <w:lang w:val="pt-BR"/>
        </w:rPr>
        <w:t>A tabela acima mostra os créditos de treinamento disponíveis com base em um registro ou contrato integral de 3 anos.</w:t>
      </w:r>
      <w:r w:rsidR="005A52A2" w:rsidRPr="00734B50">
        <w:rPr>
          <w:rFonts w:ascii="Tahoma" w:hAnsi="Tahoma" w:cs="Tahoma"/>
          <w:bCs/>
          <w:sz w:val="18"/>
          <w:szCs w:val="18"/>
          <w:lang w:val="pt-BR"/>
        </w:rPr>
        <w:t xml:space="preserve"> </w:t>
      </w:r>
      <w:r w:rsidRPr="00734B50">
        <w:rPr>
          <w:rFonts w:ascii="Tahoma" w:hAnsi="Tahoma" w:cs="Tahoma"/>
          <w:bCs/>
          <w:sz w:val="18"/>
          <w:szCs w:val="18"/>
          <w:lang w:val="pt-BR"/>
        </w:rPr>
        <w:t>Os clientes que comprarem a cobertura do Software Assurance por um</w:t>
      </w:r>
      <w:r w:rsidR="00152ECB" w:rsidRPr="00734B50">
        <w:rPr>
          <w:rFonts w:ascii="Tahoma" w:hAnsi="Tahoma" w:cs="Tahoma"/>
          <w:bCs/>
          <w:sz w:val="18"/>
          <w:szCs w:val="18"/>
          <w:lang w:val="pt-BR"/>
        </w:rPr>
        <w:t> </w:t>
      </w:r>
      <w:r w:rsidRPr="00734B50">
        <w:rPr>
          <w:rFonts w:ascii="Tahoma" w:hAnsi="Tahoma" w:cs="Tahoma"/>
          <w:bCs/>
          <w:sz w:val="18"/>
          <w:szCs w:val="18"/>
          <w:lang w:val="pt-BR"/>
        </w:rPr>
        <w:t>ano receberão um terço do número declarado de créditos de treinamento.</w:t>
      </w:r>
      <w:r w:rsidR="005A52A2" w:rsidRPr="00734B50">
        <w:rPr>
          <w:rFonts w:ascii="Tahoma" w:hAnsi="Tahoma" w:cs="Tahoma"/>
          <w:bCs/>
          <w:sz w:val="18"/>
          <w:szCs w:val="18"/>
          <w:lang w:val="pt-BR"/>
        </w:rPr>
        <w:t xml:space="preserve"> </w:t>
      </w:r>
      <w:r w:rsidRPr="00734B50">
        <w:rPr>
          <w:rFonts w:ascii="Tahoma" w:hAnsi="Tahoma" w:cs="Tahoma"/>
          <w:bCs/>
          <w:sz w:val="18"/>
          <w:szCs w:val="18"/>
          <w:lang w:val="pt-BR"/>
        </w:rPr>
        <w:t>Os clientes que adquirirem a cobertura do Software Assurance por dois anos receberão dois terços do número declarado de créditos de treinamento.</w:t>
      </w:r>
      <w:bookmarkStart w:id="787" w:name="_Toc336338234"/>
    </w:p>
    <w:p w:rsidR="005A141F" w:rsidRPr="00734B50" w:rsidRDefault="005A141F" w:rsidP="005A141F">
      <w:pPr>
        <w:pStyle w:val="AppendixBodyText"/>
        <w:spacing w:after="0"/>
        <w:rPr>
          <w:lang w:val="pt-BR"/>
        </w:rPr>
      </w:pPr>
    </w:p>
    <w:p w:rsidR="00023FE7" w:rsidRPr="00734B50" w:rsidRDefault="00023FE7">
      <w:pPr>
        <w:pStyle w:val="Heading3"/>
        <w:rPr>
          <w:lang w:val="pt-BR"/>
        </w:rPr>
      </w:pPr>
      <w:bookmarkStart w:id="788" w:name="_Toc353470882"/>
      <w:r w:rsidRPr="00734B50">
        <w:rPr>
          <w:rFonts w:ascii="Tahoma" w:hAnsi="Tahoma" w:cs="Tahoma"/>
          <w:sz w:val="24"/>
          <w:lang w:val="pt-BR"/>
        </w:rPr>
        <w:t>E-Learning</w:t>
      </w:r>
      <w:bookmarkEnd w:id="787"/>
      <w:bookmarkEnd w:id="788"/>
    </w:p>
    <w:p w:rsidR="00023FE7" w:rsidRPr="00734B50" w:rsidRDefault="00023FE7" w:rsidP="002D25C8">
      <w:pPr>
        <w:rPr>
          <w:lang w:val="pt-BR"/>
        </w:rPr>
      </w:pPr>
    </w:p>
    <w:p w:rsidR="003C56F1" w:rsidRPr="00734B50" w:rsidRDefault="00324479" w:rsidP="008A7860">
      <w:pPr>
        <w:tabs>
          <w:tab w:val="num" w:pos="360"/>
        </w:tabs>
        <w:spacing w:after="60"/>
        <w:rPr>
          <w:lang w:val="pt-BR"/>
        </w:rPr>
      </w:pPr>
      <w:r w:rsidRPr="00734B50">
        <w:rPr>
          <w:rFonts w:cs="Tahoma"/>
          <w:b/>
          <w:szCs w:val="18"/>
          <w:lang w:val="pt-BR"/>
        </w:rPr>
        <w:t>Clientes qualificados do Software Assurance</w:t>
      </w:r>
    </w:p>
    <w:p w:rsidR="00324479" w:rsidRPr="00734B50" w:rsidRDefault="00324479" w:rsidP="002D25C8">
      <w:pPr>
        <w:tabs>
          <w:tab w:val="num" w:pos="360"/>
        </w:tabs>
        <w:rPr>
          <w:lang w:val="pt-BR"/>
        </w:rPr>
      </w:pPr>
      <w:r w:rsidRPr="00734B50">
        <w:rPr>
          <w:rFonts w:cs="Tahoma"/>
          <w:szCs w:val="18"/>
          <w:lang w:val="pt-BR"/>
        </w:rPr>
        <w:t xml:space="preserve">Os clientes com Software Assurance para produtos qualificados do pool de aplicativos, sistemas ou servidores estão qualificados a usar o respectivo benefício E-Learning de Aplicativos, Sistemas e Servidores durante o prazo da cobertura do Software Assurance. </w:t>
      </w:r>
    </w:p>
    <w:p w:rsidR="00324479" w:rsidRPr="00734B50" w:rsidRDefault="00324479" w:rsidP="002D25C8">
      <w:pPr>
        <w:tabs>
          <w:tab w:val="num" w:pos="360"/>
        </w:tabs>
        <w:rPr>
          <w:lang w:val="pt-BR"/>
        </w:rPr>
      </w:pPr>
    </w:p>
    <w:p w:rsidR="008A7860" w:rsidRPr="00734B50" w:rsidRDefault="00324479" w:rsidP="008A7860">
      <w:pPr>
        <w:tabs>
          <w:tab w:val="num" w:pos="360"/>
        </w:tabs>
        <w:spacing w:after="60"/>
        <w:rPr>
          <w:lang w:val="pt-BR"/>
        </w:rPr>
      </w:pPr>
      <w:r w:rsidRPr="00734B50">
        <w:rPr>
          <w:rFonts w:cs="Tahoma"/>
          <w:b/>
          <w:szCs w:val="18"/>
          <w:lang w:val="pt-BR"/>
        </w:rPr>
        <w:t>Clientes qualificados para os Benefícios de Serviços Online</w:t>
      </w:r>
    </w:p>
    <w:p w:rsidR="00324479" w:rsidRPr="00734B50" w:rsidRDefault="00324479" w:rsidP="002D25C8">
      <w:pPr>
        <w:tabs>
          <w:tab w:val="num" w:pos="360"/>
        </w:tabs>
        <w:rPr>
          <w:lang w:val="pt-BR"/>
        </w:rPr>
      </w:pPr>
      <w:r w:rsidRPr="00734B50">
        <w:rPr>
          <w:rFonts w:cs="Tahoma"/>
          <w:szCs w:val="18"/>
          <w:lang w:val="pt-BR"/>
        </w:rPr>
        <w:t>Os clientes com Windows Intune (Por Dispositivo) estão qualificados para usar o benefício E-Learning dos Sistemas durante o prazo desse registro.</w:t>
      </w:r>
      <w:r w:rsidR="005A52A2" w:rsidRPr="00734B50">
        <w:rPr>
          <w:rFonts w:cs="Tahoma"/>
          <w:szCs w:val="18"/>
          <w:lang w:val="pt-BR"/>
        </w:rPr>
        <w:t xml:space="preserve"> </w:t>
      </w:r>
      <w:r w:rsidRPr="00734B50">
        <w:rPr>
          <w:rFonts w:cs="Tahoma"/>
          <w:szCs w:val="18"/>
          <w:lang w:val="pt-BR"/>
        </w:rPr>
        <w:t xml:space="preserve">Da mesma forma, os clientes do Office 365 estão qualificados para usar o benefício E-Learning dos Aplicativos durante o prazo do seu respectivo registro. </w:t>
      </w:r>
    </w:p>
    <w:p w:rsidR="00324479" w:rsidRPr="00734B50" w:rsidRDefault="00324479" w:rsidP="002D25C8">
      <w:pPr>
        <w:tabs>
          <w:tab w:val="num" w:pos="360"/>
        </w:tabs>
        <w:rPr>
          <w:lang w:val="pt-BR"/>
        </w:rPr>
      </w:pPr>
    </w:p>
    <w:p w:rsidR="00324479" w:rsidRPr="00734B50" w:rsidRDefault="00324479" w:rsidP="002D25C8">
      <w:pPr>
        <w:rPr>
          <w:lang w:val="pt-BR"/>
        </w:rPr>
      </w:pPr>
      <w:r w:rsidRPr="00734B50">
        <w:rPr>
          <w:rFonts w:cs="Tahoma"/>
          <w:szCs w:val="18"/>
          <w:lang w:val="pt-BR"/>
        </w:rPr>
        <w:t>Os clientes qualificados receberão um código de acesso (para Aplicativos, Sistemas, Servidores, Windows Intune (Por</w:t>
      </w:r>
      <w:r w:rsidR="00152ECB" w:rsidRPr="00734B50">
        <w:rPr>
          <w:rFonts w:cs="Tahoma"/>
          <w:szCs w:val="18"/>
          <w:lang w:val="pt-BR"/>
        </w:rPr>
        <w:t> </w:t>
      </w:r>
      <w:r w:rsidRPr="00734B50">
        <w:rPr>
          <w:rFonts w:cs="Tahoma"/>
          <w:szCs w:val="18"/>
          <w:lang w:val="pt-BR"/>
        </w:rPr>
        <w:t>Dispositivo) e Office 365) por registro/contrato qualificado.</w:t>
      </w:r>
      <w:r w:rsidR="005A52A2" w:rsidRPr="00734B50">
        <w:rPr>
          <w:rFonts w:cs="Tahoma"/>
          <w:szCs w:val="18"/>
          <w:lang w:val="pt-BR"/>
        </w:rPr>
        <w:t xml:space="preserve"> </w:t>
      </w:r>
      <w:r w:rsidRPr="00734B50">
        <w:rPr>
          <w:rFonts w:cs="Tahoma"/>
          <w:szCs w:val="18"/>
          <w:lang w:val="pt-BR"/>
        </w:rPr>
        <w:t xml:space="preserve">Os clientes também poderão baixar arquivos de </w:t>
      </w:r>
      <w:r w:rsidR="007C4AA7" w:rsidRPr="00734B50">
        <w:rPr>
          <w:rFonts w:cs="Tahoma"/>
          <w:szCs w:val="18"/>
          <w:lang w:val="pt-BR"/>
        </w:rPr>
        <w:br/>
      </w:r>
      <w:r w:rsidRPr="00734B50">
        <w:rPr>
          <w:rFonts w:cs="Tahoma"/>
          <w:szCs w:val="18"/>
          <w:lang w:val="pt-BR"/>
        </w:rPr>
        <w:t>E-Learning apenas de conteúdo e compatíveis com SCORM (para Aplicativos e Sistemas) a partir do VLSC para importar no LMS (Learning Management System - Sistema de Gerenciamento de Aprendizagem).</w:t>
      </w:r>
      <w:r w:rsidR="005A52A2" w:rsidRPr="00734B50">
        <w:rPr>
          <w:rFonts w:cs="Tahoma"/>
          <w:szCs w:val="18"/>
          <w:lang w:val="pt-BR"/>
        </w:rPr>
        <w:t xml:space="preserve"> </w:t>
      </w:r>
      <w:r w:rsidRPr="00734B50">
        <w:rPr>
          <w:rFonts w:cs="Tahoma"/>
          <w:szCs w:val="18"/>
          <w:lang w:val="pt-BR"/>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rsidR="00324479" w:rsidRPr="00734B50" w:rsidRDefault="00324479" w:rsidP="002D25C8">
      <w:pPr>
        <w:rPr>
          <w:lang w:val="pt-BR"/>
        </w:rPr>
      </w:pPr>
    </w:p>
    <w:p w:rsidR="00324479" w:rsidRPr="00734B50" w:rsidRDefault="00324479" w:rsidP="002D25C8">
      <w:pPr>
        <w:rPr>
          <w:lang w:val="pt-BR"/>
        </w:rPr>
      </w:pPr>
      <w:r w:rsidRPr="00734B50">
        <w:rPr>
          <w:rFonts w:cs="Tahoma"/>
          <w:szCs w:val="18"/>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5A52A2" w:rsidRPr="00734B50">
        <w:rPr>
          <w:rFonts w:cs="Tahoma"/>
          <w:szCs w:val="18"/>
          <w:lang w:val="pt-BR"/>
        </w:rPr>
        <w:t xml:space="preserve"> </w:t>
      </w:r>
      <w:r w:rsidRPr="00734B50">
        <w:rPr>
          <w:rFonts w:cs="Tahoma"/>
          <w:szCs w:val="18"/>
          <w:lang w:val="pt-BR"/>
        </w:rPr>
        <w:t>O acesso não pode ser transferido de um usuário para outro.</w:t>
      </w:r>
      <w:r w:rsidR="005A52A2" w:rsidRPr="00734B50">
        <w:rPr>
          <w:rFonts w:cs="Tahoma"/>
          <w:szCs w:val="18"/>
          <w:lang w:val="pt-BR"/>
        </w:rPr>
        <w:t xml:space="preserve"> </w:t>
      </w:r>
      <w:r w:rsidRPr="00734B50">
        <w:rPr>
          <w:rFonts w:cs="Tahoma"/>
          <w:szCs w:val="18"/>
          <w:lang w:val="pt-BR"/>
        </w:rPr>
        <w:t>No início de um curso individual, cada usuário qualificado terá até 12 meses para concluir o curso antes do término do acesso, contanto que o curso seja iniciado antes do término da cobertura do Software Assurance ou licença de assinatura.</w:t>
      </w:r>
    </w:p>
    <w:p w:rsidR="00324479" w:rsidRPr="00734B50" w:rsidRDefault="00324479" w:rsidP="002D25C8">
      <w:pPr>
        <w:tabs>
          <w:tab w:val="num" w:pos="360"/>
        </w:tabs>
        <w:rPr>
          <w:lang w:val="pt-BR"/>
        </w:rPr>
      </w:pPr>
    </w:p>
    <w:p w:rsidR="00324479" w:rsidRPr="00734B50" w:rsidRDefault="00324479" w:rsidP="002D25C8">
      <w:pPr>
        <w:tabs>
          <w:tab w:val="num" w:pos="0"/>
        </w:tabs>
        <w:rPr>
          <w:lang w:val="pt-BR"/>
        </w:rPr>
      </w:pPr>
      <w:r w:rsidRPr="00734B50">
        <w:rPr>
          <w:rFonts w:cs="Tahoma"/>
          <w:szCs w:val="18"/>
          <w:lang w:val="pt-BR"/>
        </w:rPr>
        <w:t xml:space="preserve">Os clientes qualificados poderão comprar kits de E-Learning em um centro de abastecimento regional se a opção online não for suficiente. </w:t>
      </w:r>
    </w:p>
    <w:p w:rsidR="00324479" w:rsidRPr="00734B50" w:rsidRDefault="00324479" w:rsidP="002D25C8">
      <w:pPr>
        <w:tabs>
          <w:tab w:val="num" w:pos="0"/>
        </w:tabs>
        <w:rPr>
          <w:lang w:val="pt-BR"/>
        </w:rPr>
      </w:pPr>
      <w:r w:rsidRPr="00734B50">
        <w:rPr>
          <w:rFonts w:cs="Tahoma"/>
          <w:szCs w:val="18"/>
          <w:lang w:val="pt-BR"/>
        </w:rPr>
        <w:t>A implantação e o uso dos cursos de E-Learning pelos clientes estão sujeitos aos termos e condições de seus contratos de licença.</w:t>
      </w:r>
      <w:r w:rsidR="005A52A2" w:rsidRPr="00734B50">
        <w:rPr>
          <w:rFonts w:cs="Tahoma"/>
          <w:szCs w:val="18"/>
          <w:lang w:val="pt-BR"/>
        </w:rPr>
        <w:t xml:space="preserve"> </w:t>
      </w:r>
    </w:p>
    <w:p w:rsidR="00324479" w:rsidRPr="00734B50" w:rsidRDefault="00324479" w:rsidP="002D25C8">
      <w:pPr>
        <w:tabs>
          <w:tab w:val="num" w:pos="0"/>
        </w:tabs>
        <w:rPr>
          <w:lang w:val="pt-BR"/>
        </w:rPr>
      </w:pPr>
    </w:p>
    <w:p w:rsidR="008A7860" w:rsidRPr="00734B50" w:rsidRDefault="008A7860" w:rsidP="008A7860">
      <w:pPr>
        <w:spacing w:after="60"/>
        <w:rPr>
          <w:lang w:val="pt-BR"/>
        </w:rPr>
      </w:pPr>
      <w:r w:rsidRPr="00734B50">
        <w:rPr>
          <w:rFonts w:cs="Tahoma"/>
          <w:b/>
          <w:szCs w:val="18"/>
          <w:lang w:val="pt-BR"/>
        </w:rPr>
        <w:t>Aplicativos de E-Learning</w:t>
      </w:r>
    </w:p>
    <w:p w:rsidR="00324479" w:rsidRPr="00734B50" w:rsidRDefault="00324479" w:rsidP="002D25C8">
      <w:pPr>
        <w:rPr>
          <w:lang w:val="pt-BR"/>
        </w:rPr>
      </w:pPr>
      <w:r w:rsidRPr="00734B50">
        <w:rPr>
          <w:rFonts w:cs="Tahoma"/>
          <w:szCs w:val="18"/>
          <w:lang w:val="pt-BR"/>
        </w:rPr>
        <w:t xml:space="preserve">Os clientes </w:t>
      </w:r>
      <w:r w:rsidRPr="00734B50">
        <w:rPr>
          <w:rFonts w:cs="Tahoma"/>
          <w:color w:val="000000"/>
          <w:szCs w:val="18"/>
          <w:lang w:val="pt-BR"/>
        </w:rPr>
        <w:t>com pacotes do Office Pro Plus para Office 365</w:t>
      </w:r>
      <w:r w:rsidRPr="00734B50">
        <w:rPr>
          <w:rFonts w:cs="Tahoma"/>
          <w:szCs w:val="18"/>
          <w:lang w:val="pt-BR"/>
        </w:rPr>
        <w:t>, Office 365 e Software Assurance para produtos de</w:t>
      </w:r>
      <w:r w:rsidR="00152ECB" w:rsidRPr="00734B50">
        <w:rPr>
          <w:rFonts w:cs="Tahoma"/>
          <w:szCs w:val="18"/>
          <w:lang w:val="pt-BR"/>
        </w:rPr>
        <w:t> </w:t>
      </w:r>
      <w:r w:rsidRPr="00734B50">
        <w:rPr>
          <w:rFonts w:cs="Tahoma"/>
          <w:szCs w:val="18"/>
          <w:lang w:val="pt-BR"/>
        </w:rPr>
        <w:t>Aplicativos qualificados estão qualificados a usar cursos de E-Learning hospedados e conteúdo compatível com</w:t>
      </w:r>
      <w:r w:rsidR="00152ECB" w:rsidRPr="00734B50">
        <w:rPr>
          <w:rFonts w:cs="Tahoma"/>
          <w:szCs w:val="18"/>
          <w:lang w:val="pt-BR"/>
        </w:rPr>
        <w:t> </w:t>
      </w:r>
      <w:r w:rsidRPr="00734B50">
        <w:rPr>
          <w:rFonts w:cs="Tahoma"/>
          <w:szCs w:val="18"/>
          <w:lang w:val="pt-BR"/>
        </w:rPr>
        <w:t>SCORM.</w:t>
      </w:r>
      <w:r w:rsidR="005A52A2" w:rsidRPr="00734B50">
        <w:rPr>
          <w:rFonts w:cs="Tahoma"/>
          <w:szCs w:val="18"/>
          <w:lang w:val="pt-BR"/>
        </w:rPr>
        <w:t xml:space="preserve"> </w:t>
      </w:r>
    </w:p>
    <w:p w:rsidR="00324479" w:rsidRPr="00734B50" w:rsidRDefault="00324479" w:rsidP="002D25C8">
      <w:pPr>
        <w:rPr>
          <w:lang w:val="pt-BR"/>
        </w:rPr>
      </w:pPr>
    </w:p>
    <w:p w:rsidR="008A7860" w:rsidRPr="00734B50" w:rsidRDefault="008A7860" w:rsidP="008A7860">
      <w:pPr>
        <w:spacing w:after="60"/>
        <w:rPr>
          <w:lang w:val="pt-BR"/>
        </w:rPr>
      </w:pPr>
      <w:r w:rsidRPr="00734B50">
        <w:rPr>
          <w:rFonts w:cs="Tahoma"/>
          <w:b/>
          <w:szCs w:val="18"/>
          <w:lang w:val="pt-BR"/>
        </w:rPr>
        <w:t>Sistemas de E-Learning</w:t>
      </w:r>
    </w:p>
    <w:p w:rsidR="00324479" w:rsidRPr="00734B50" w:rsidRDefault="00324479" w:rsidP="002D25C8">
      <w:pPr>
        <w:rPr>
          <w:lang w:val="pt-BR"/>
        </w:rPr>
      </w:pPr>
      <w:r w:rsidRPr="00734B50">
        <w:rPr>
          <w:rFonts w:cs="Tahoma"/>
          <w:szCs w:val="18"/>
          <w:lang w:val="pt-BR"/>
        </w:rPr>
        <w:t>os clientes com Windows Intune (Por Dispositivo) e Software Assurance para produtos de Sistema qualificados estão</w:t>
      </w:r>
      <w:r w:rsidR="00152ECB" w:rsidRPr="00734B50">
        <w:rPr>
          <w:rFonts w:cs="Tahoma"/>
          <w:szCs w:val="18"/>
          <w:lang w:val="pt-BR"/>
        </w:rPr>
        <w:t> </w:t>
      </w:r>
      <w:r w:rsidRPr="00734B50">
        <w:rPr>
          <w:rFonts w:cs="Tahoma"/>
          <w:szCs w:val="18"/>
          <w:lang w:val="pt-BR"/>
        </w:rPr>
        <w:t>qualificados a usar os cursos de Cliente de E-Learning hospedados e o conteúdo compatível com SCORM.</w:t>
      </w:r>
      <w:r w:rsidR="005A52A2" w:rsidRPr="00734B50">
        <w:rPr>
          <w:rFonts w:cs="Tahoma"/>
          <w:szCs w:val="18"/>
          <w:lang w:val="pt-BR"/>
        </w:rPr>
        <w:t xml:space="preserve"> </w:t>
      </w:r>
    </w:p>
    <w:p w:rsidR="00324479" w:rsidRPr="00734B50" w:rsidRDefault="00324479" w:rsidP="002D25C8">
      <w:pPr>
        <w:rPr>
          <w:lang w:val="pt-BR"/>
        </w:rPr>
      </w:pPr>
    </w:p>
    <w:p w:rsidR="008A7860" w:rsidRPr="00734B50" w:rsidRDefault="008A7860" w:rsidP="008A7860">
      <w:pPr>
        <w:spacing w:after="60"/>
        <w:rPr>
          <w:lang w:val="pt-BR"/>
        </w:rPr>
      </w:pPr>
      <w:r w:rsidRPr="00734B50">
        <w:rPr>
          <w:rFonts w:cs="Tahoma"/>
          <w:b/>
          <w:szCs w:val="18"/>
          <w:lang w:val="pt-BR"/>
        </w:rPr>
        <w:t>Servidores de E-Learning</w:t>
      </w:r>
    </w:p>
    <w:p w:rsidR="00324479" w:rsidRPr="00734B50" w:rsidRDefault="00324479" w:rsidP="002D25C8">
      <w:pPr>
        <w:rPr>
          <w:lang w:val="pt-BR"/>
        </w:rPr>
      </w:pPr>
      <w:r w:rsidRPr="00734B50">
        <w:rPr>
          <w:rFonts w:cs="Tahoma"/>
          <w:szCs w:val="18"/>
          <w:lang w:val="pt-BR"/>
        </w:rPr>
        <w:t>os clientes com Software Assurance para produtos de Servidor qualificados estão qualificados a usar os cursos de</w:t>
      </w:r>
      <w:r w:rsidR="00360D26" w:rsidRPr="00734B50">
        <w:rPr>
          <w:rFonts w:cs="Tahoma"/>
          <w:szCs w:val="18"/>
          <w:lang w:val="pt-BR"/>
        </w:rPr>
        <w:t> </w:t>
      </w:r>
      <w:r w:rsidRPr="00734B50">
        <w:rPr>
          <w:rFonts w:cs="Tahoma"/>
          <w:szCs w:val="18"/>
          <w:lang w:val="pt-BR"/>
        </w:rPr>
        <w:t>Servidor de E-Learning hospedados.</w:t>
      </w:r>
      <w:r w:rsidR="005A52A2" w:rsidRPr="00734B50">
        <w:rPr>
          <w:rFonts w:cs="Tahoma"/>
          <w:szCs w:val="18"/>
          <w:lang w:val="pt-BR"/>
        </w:rPr>
        <w:t xml:space="preserve"> </w:t>
      </w:r>
    </w:p>
    <w:p w:rsidR="00023FE7" w:rsidRPr="00734B50" w:rsidRDefault="00023FE7" w:rsidP="002D25C8">
      <w:pPr>
        <w:rPr>
          <w:lang w:val="pt-BR"/>
        </w:rPr>
      </w:pPr>
    </w:p>
    <w:p w:rsidR="00360D26" w:rsidRPr="00734B50" w:rsidRDefault="00360D26" w:rsidP="002D25C8">
      <w:pPr>
        <w:rPr>
          <w:lang w:val="pt-BR"/>
        </w:rPr>
      </w:pPr>
    </w:p>
    <w:p w:rsidR="00023FE7" w:rsidRPr="00734B50" w:rsidRDefault="00023FE7" w:rsidP="002D25C8">
      <w:pPr>
        <w:pStyle w:val="Heading3"/>
        <w:rPr>
          <w:lang w:val="pt-BR"/>
        </w:rPr>
      </w:pPr>
      <w:bookmarkStart w:id="789" w:name="_Toc336338235"/>
      <w:bookmarkStart w:id="790" w:name="_Toc353470883"/>
      <w:r w:rsidRPr="00734B50">
        <w:rPr>
          <w:rFonts w:ascii="Tahoma" w:hAnsi="Tahoma" w:cs="Tahoma"/>
          <w:sz w:val="24"/>
          <w:lang w:val="pt-BR"/>
        </w:rPr>
        <w:lastRenderedPageBreak/>
        <w:t>Home Use Program</w:t>
      </w:r>
      <w:bookmarkEnd w:id="789"/>
      <w:bookmarkEnd w:id="790"/>
    </w:p>
    <w:p w:rsidR="00023FE7" w:rsidRPr="00734B50" w:rsidRDefault="00023FE7" w:rsidP="002D25C8">
      <w:pPr>
        <w:rPr>
          <w:lang w:val="pt-BR"/>
        </w:rPr>
      </w:pPr>
    </w:p>
    <w:p w:rsidR="00023FE7" w:rsidRPr="00734B50" w:rsidRDefault="00023FE7" w:rsidP="002D25C8">
      <w:pPr>
        <w:pStyle w:val="AppendixBodyText"/>
        <w:spacing w:after="0"/>
        <w:rPr>
          <w:lang w:val="pt-BR"/>
        </w:rPr>
      </w:pPr>
      <w:r w:rsidRPr="00734B50">
        <w:rPr>
          <w:rFonts w:ascii="Tahoma" w:hAnsi="Tahoma" w:cs="Tahoma"/>
          <w:sz w:val="18"/>
          <w:szCs w:val="18"/>
          <w:lang w:val="pt-BR"/>
        </w:rPr>
        <w:t xml:space="preserve">Os clientes com cobertura de Software Assurance ativa para produtos de aplicativos de desktop qualificados estão qualificados </w:t>
      </w:r>
      <w:r w:rsidRPr="00734B50">
        <w:rPr>
          <w:rFonts w:ascii="Tahoma" w:hAnsi="Tahoma" w:cs="Tahoma"/>
          <w:color w:val="000000"/>
          <w:sz w:val="18"/>
          <w:szCs w:val="18"/>
          <w:lang w:val="pt-BR"/>
        </w:rPr>
        <w:t>a participar do Home Use Program**.</w:t>
      </w:r>
      <w:r w:rsidR="005A52A2"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5A52A2"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Contanto que os funcionários primeiro obtenham as chaves de licença apropriadas do Home Use Program com a 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w:t>
      </w:r>
      <w:r w:rsidR="00360D26" w:rsidRPr="00734B50">
        <w:rPr>
          <w:rFonts w:ascii="Tahoma" w:hAnsi="Tahoma" w:cs="Tahoma"/>
          <w:color w:val="000000"/>
          <w:sz w:val="18"/>
          <w:szCs w:val="18"/>
          <w:lang w:val="pt-BR"/>
        </w:rPr>
        <w:t> </w:t>
      </w:r>
      <w:r w:rsidRPr="00734B50">
        <w:rPr>
          <w:rFonts w:ascii="Tahoma" w:hAnsi="Tahoma" w:cs="Tahoma"/>
          <w:color w:val="000000"/>
          <w:sz w:val="18"/>
          <w:szCs w:val="18"/>
          <w:lang w:val="pt-BR"/>
        </w:rPr>
        <w:t>versão atualmente instalada.</w:t>
      </w:r>
      <w:r w:rsidR="005A52A2"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Consulte a tabela ou as seções de produtos individuais a seguir para verificar os aplicativos de desktop que qualificam os clientes a participar do Home Use Program.</w:t>
      </w:r>
      <w:r w:rsidR="005A52A2"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Os aplicativos de desktop disponíveis no Home Use Program também estão identificados na tabela a seguir*.</w:t>
      </w:r>
    </w:p>
    <w:p w:rsidR="00023FE7" w:rsidRPr="00734B50" w:rsidRDefault="00023FE7" w:rsidP="002D25C8">
      <w:pPr>
        <w:pStyle w:val="AppendixBodyText"/>
        <w:spacing w:after="0"/>
        <w:rPr>
          <w:lang w:val="pt-BR"/>
        </w:rPr>
      </w:pPr>
    </w:p>
    <w:p w:rsidR="00023FE7" w:rsidRPr="00734B50" w:rsidRDefault="00023FE7" w:rsidP="002D25C8">
      <w:pPr>
        <w:pStyle w:val="AppendixFlushBulletedList"/>
        <w:tabs>
          <w:tab w:val="clear" w:pos="360"/>
        </w:tabs>
        <w:ind w:left="0" w:firstLine="0"/>
        <w:rPr>
          <w:lang w:val="pt-BR"/>
        </w:rPr>
      </w:pPr>
      <w:r w:rsidRPr="00734B50">
        <w:rPr>
          <w:rFonts w:ascii="Tahoma" w:hAnsi="Tahoma" w:cs="Tahoma"/>
          <w:sz w:val="18"/>
          <w:szCs w:val="18"/>
          <w:lang w:val="pt-BR"/>
        </w:rPr>
        <w:t>A qualificação dos clientes para participar do Home Use Program se encerra com o término ou a rescisão da cobertura do Software Assurance dos aplicativos de desktop qualificados.</w:t>
      </w:r>
      <w:r w:rsidR="005A52A2" w:rsidRPr="00734B50">
        <w:rPr>
          <w:rFonts w:ascii="Tahoma" w:hAnsi="Tahoma" w:cs="Tahoma"/>
          <w:sz w:val="18"/>
          <w:szCs w:val="18"/>
          <w:lang w:val="pt-BR"/>
        </w:rPr>
        <w:t xml:space="preserve"> </w:t>
      </w:r>
      <w:r w:rsidRPr="00734B50">
        <w:rPr>
          <w:rFonts w:ascii="Tahoma" w:hAnsi="Tahoma" w:cs="Tahoma"/>
          <w:sz w:val="18"/>
          <w:szCs w:val="18"/>
          <w:lang w:val="pt-BR"/>
        </w:rPr>
        <w:t>A Microsoft pode rescindir a participação de</w:t>
      </w:r>
      <w:r w:rsidR="00360D26" w:rsidRPr="00734B50">
        <w:rPr>
          <w:rFonts w:ascii="Tahoma" w:hAnsi="Tahoma" w:cs="Tahoma"/>
          <w:sz w:val="18"/>
          <w:szCs w:val="18"/>
          <w:lang w:val="pt-BR"/>
        </w:rPr>
        <w:t> </w:t>
      </w:r>
      <w:r w:rsidRPr="00734B50">
        <w:rPr>
          <w:rFonts w:ascii="Tahoma" w:hAnsi="Tahoma" w:cs="Tahoma"/>
          <w:sz w:val="18"/>
          <w:szCs w:val="18"/>
          <w:lang w:val="pt-BR"/>
        </w:rPr>
        <w:t xml:space="preserve">um cliente no Home Use Program, de maneira imediata e sem aviso, em razão de acesso a ou o licenciamento não autorizado por meio do site do Home Use Program com o código de programa do cliente. </w:t>
      </w:r>
    </w:p>
    <w:p w:rsidR="00023FE7" w:rsidRPr="00734B50" w:rsidRDefault="00023FE7" w:rsidP="002D25C8">
      <w:pPr>
        <w:pStyle w:val="AppendixFlushBulletedList"/>
        <w:tabs>
          <w:tab w:val="clear" w:pos="360"/>
        </w:tabs>
        <w:ind w:left="0" w:firstLine="0"/>
        <w:rPr>
          <w:lang w:val="pt-BR"/>
        </w:rPr>
      </w:pPr>
    </w:p>
    <w:p w:rsidR="00023FE7" w:rsidRPr="00734B50" w:rsidRDefault="00023FE7" w:rsidP="002D25C8">
      <w:pPr>
        <w:pStyle w:val="AppendixFlushBulletedList"/>
        <w:tabs>
          <w:tab w:val="clear" w:pos="360"/>
        </w:tabs>
        <w:ind w:left="0" w:firstLine="0"/>
        <w:rPr>
          <w:lang w:val="pt-BR"/>
        </w:rPr>
      </w:pPr>
      <w:r w:rsidRPr="00734B50">
        <w:rPr>
          <w:rFonts w:ascii="Tahoma" w:hAnsi="Tahoma" w:cs="Tahoma"/>
          <w:sz w:val="18"/>
          <w:szCs w:val="18"/>
          <w:lang w:val="pt-BR"/>
        </w:rPr>
        <w:t>O número de licenças do Home Use Program que pode ser adquirido para qualquer aplicativo de desktop determinado é limitado ao número de licenças de aplicativos de desktop qualificados correspondentes para os quais o</w:t>
      </w:r>
      <w:r w:rsidR="00360D26" w:rsidRPr="00734B50">
        <w:rPr>
          <w:rFonts w:ascii="Tahoma" w:hAnsi="Tahoma" w:cs="Tahoma"/>
          <w:sz w:val="18"/>
          <w:szCs w:val="18"/>
          <w:lang w:val="pt-BR"/>
        </w:rPr>
        <w:t> </w:t>
      </w:r>
      <w:r w:rsidRPr="00734B50">
        <w:rPr>
          <w:rFonts w:ascii="Tahoma" w:hAnsi="Tahoma" w:cs="Tahoma"/>
          <w:sz w:val="18"/>
          <w:szCs w:val="18"/>
          <w:lang w:val="pt-BR"/>
        </w:rPr>
        <w:t>cliente adquirir o Software Assurance.</w:t>
      </w:r>
      <w:r w:rsidR="005A52A2" w:rsidRPr="00734B50">
        <w:rPr>
          <w:rFonts w:ascii="Tahoma" w:hAnsi="Tahoma" w:cs="Tahoma"/>
          <w:sz w:val="18"/>
          <w:szCs w:val="18"/>
          <w:lang w:val="pt-BR"/>
        </w:rPr>
        <w:t xml:space="preserve"> </w:t>
      </w:r>
      <w:r w:rsidRPr="00734B50">
        <w:rPr>
          <w:rFonts w:ascii="Tahoma" w:hAnsi="Tahoma" w:cs="Tahoma"/>
          <w:sz w:val="18"/>
          <w:szCs w:val="18"/>
          <w:lang w:val="pt-BR"/>
        </w:rPr>
        <w:t>Sob o Home Use Program, os direitos de uso de um funcionário estão relacionados ao vínculo empregatício contínuo com o Cliente e eles se encerram com a rescisão do emprego, a 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23FE7" w:rsidRPr="00734B50" w:rsidRDefault="00023FE7" w:rsidP="002D25C8">
      <w:pPr>
        <w:pStyle w:val="AppendixFlushBulletedList"/>
        <w:tabs>
          <w:tab w:val="clear" w:pos="360"/>
        </w:tabs>
        <w:ind w:left="0" w:firstLine="0"/>
        <w:rPr>
          <w:lang w:val="pt-BR"/>
        </w:rPr>
      </w:pPr>
    </w:p>
    <w:p w:rsidR="00023FE7" w:rsidRPr="00734B50" w:rsidRDefault="00023FE7" w:rsidP="002D25C8">
      <w:pPr>
        <w:pStyle w:val="AppendixFlushBulletedList"/>
        <w:tabs>
          <w:tab w:val="clear" w:pos="360"/>
        </w:tabs>
        <w:ind w:left="0" w:firstLine="0"/>
        <w:rPr>
          <w:lang w:val="pt-BR"/>
        </w:rPr>
      </w:pPr>
      <w:r w:rsidRPr="00734B50">
        <w:rPr>
          <w:rFonts w:ascii="Tahoma" w:hAnsi="Tahoma" w:cs="Tahoma"/>
          <w:sz w:val="18"/>
          <w:szCs w:val="18"/>
          <w:lang w:val="pt-BR"/>
        </w:rPr>
        <w:t>Os clientes não são responsáveis pela conformidade de seus funcionários individuais com os termos de licença de usuário final do Home Use Program.</w:t>
      </w:r>
      <w:r w:rsidR="005A52A2" w:rsidRPr="00734B50">
        <w:rPr>
          <w:rFonts w:ascii="Tahoma" w:hAnsi="Tahoma" w:cs="Tahoma"/>
          <w:sz w:val="18"/>
          <w:szCs w:val="18"/>
          <w:lang w:val="pt-BR"/>
        </w:rPr>
        <w:t xml:space="preserve"> </w:t>
      </w:r>
      <w:r w:rsidRPr="00734B50">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rsidR="00023FE7" w:rsidRPr="00734B50" w:rsidRDefault="00023FE7" w:rsidP="002D25C8">
      <w:pPr>
        <w:pStyle w:val="AppendixFlushBulletedList"/>
        <w:tabs>
          <w:tab w:val="clear" w:pos="360"/>
        </w:tabs>
        <w:ind w:left="0" w:firstLine="0"/>
        <w:rPr>
          <w:lang w:val="pt-BR"/>
        </w:rPr>
      </w:pPr>
    </w:p>
    <w:p w:rsidR="00023FE7" w:rsidRPr="00734B50" w:rsidRDefault="00023FE7" w:rsidP="002D25C8">
      <w:pPr>
        <w:rPr>
          <w:lang w:val="pt-BR"/>
        </w:rPr>
      </w:pPr>
      <w:r w:rsidRPr="00734B50">
        <w:rPr>
          <w:rFonts w:cs="Tahoma"/>
          <w:color w:val="000000"/>
          <w:szCs w:val="18"/>
          <w:lang w:val="pt-BR"/>
        </w:rPr>
        <w:t>A participação nesse programa pode ter implicações de tributos para o cliente e seus funcionários.</w:t>
      </w:r>
      <w:r w:rsidR="005A52A2" w:rsidRPr="00734B50">
        <w:rPr>
          <w:rFonts w:cs="Tahoma"/>
          <w:color w:val="000000"/>
          <w:szCs w:val="18"/>
          <w:lang w:val="pt-BR"/>
        </w:rPr>
        <w:t xml:space="preserve"> </w:t>
      </w:r>
      <w:r w:rsidRPr="00734B50">
        <w:rPr>
          <w:rFonts w:cs="Tahoma"/>
          <w:color w:val="000000"/>
          <w:szCs w:val="18"/>
          <w:lang w:val="pt-BR"/>
        </w:rPr>
        <w:t xml:space="preserve">O cliente pode desejar contatar um consultor tributarista antes de usar esse benefício. A Microsoft não assume nenhuma responsabilidade pela conformidade com qualquer obrigação de benefício de trabalho, tributo ou relatório que o cliente ou seus funcionários possam ter. </w:t>
      </w:r>
      <w:r w:rsidRPr="00734B50">
        <w:rPr>
          <w:lang w:val="pt-BR"/>
        </w:rPr>
        <w:t>Os termos adicionais que se aplicam aos funcionários na Nova Zelândia estão definidos a seguir:</w:t>
      </w:r>
    </w:p>
    <w:p w:rsidR="00023FE7" w:rsidRPr="00734B50" w:rsidRDefault="00023FE7" w:rsidP="00F93617">
      <w:pPr>
        <w:rPr>
          <w:lang w:val="pt-BR"/>
        </w:rPr>
      </w:pPr>
    </w:p>
    <w:p w:rsidR="00023FE7" w:rsidRPr="00734B50" w:rsidRDefault="00023FE7" w:rsidP="00EF36CE">
      <w:pPr>
        <w:numPr>
          <w:ilvl w:val="0"/>
          <w:numId w:val="12"/>
        </w:numPr>
        <w:tabs>
          <w:tab w:val="left" w:pos="1440"/>
        </w:tabs>
        <w:spacing w:afterLines="60" w:after="144"/>
        <w:ind w:left="1440"/>
        <w:rPr>
          <w:lang w:val="pt-BR"/>
        </w:rPr>
      </w:pPr>
      <w:r w:rsidRPr="00734B50">
        <w:rPr>
          <w:lang w:val="pt-BR"/>
        </w:rPr>
        <w:t>Os clientes não devem exigir nenhum pagamento ou compensação dos funcionários em relação ao</w:t>
      </w:r>
      <w:r w:rsidR="00360D26" w:rsidRPr="00734B50">
        <w:rPr>
          <w:lang w:val="pt-BR"/>
        </w:rPr>
        <w:t> </w:t>
      </w:r>
      <w:r w:rsidRPr="00734B50">
        <w:rPr>
          <w:lang w:val="pt-BR"/>
        </w:rPr>
        <w:t>HUP nem fazer ou se omitir em fazer qualquer ação que possa resultar em um aumento do custo total de qualquer benefício do HUP para qualquer funcionário na Nova Zelândia além do valor</w:t>
      </w:r>
      <w:r w:rsidR="00360D26" w:rsidRPr="00734B50">
        <w:rPr>
          <w:lang w:val="pt-BR"/>
        </w:rPr>
        <w:t> </w:t>
      </w:r>
      <w:r w:rsidRPr="00734B50">
        <w:rPr>
          <w:lang w:val="pt-BR"/>
        </w:rPr>
        <w:t xml:space="preserve">cobrado pela Microsoft. </w:t>
      </w:r>
    </w:p>
    <w:p w:rsidR="00023FE7" w:rsidRPr="00734B50" w:rsidRDefault="00023FE7" w:rsidP="00F93617">
      <w:pPr>
        <w:numPr>
          <w:ilvl w:val="0"/>
          <w:numId w:val="12"/>
        </w:numPr>
        <w:tabs>
          <w:tab w:val="left" w:pos="1440"/>
        </w:tabs>
        <w:ind w:left="1440"/>
        <w:rPr>
          <w:lang w:val="pt-BR"/>
        </w:rPr>
      </w:pPr>
      <w:r w:rsidRPr="00734B50">
        <w:rPr>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rsidR="00023FE7" w:rsidRPr="00734B50" w:rsidRDefault="00023FE7" w:rsidP="00F93617">
      <w:pPr>
        <w:rPr>
          <w:lang w:val="pt-BR"/>
        </w:rPr>
      </w:pPr>
    </w:p>
    <w:p w:rsidR="00023FE7" w:rsidRPr="00734B50" w:rsidRDefault="00023FE7" w:rsidP="002D25C8">
      <w:pPr>
        <w:rPr>
          <w:lang w:val="pt-BR"/>
        </w:rPr>
      </w:pPr>
      <w:r w:rsidRPr="00734B50">
        <w:rPr>
          <w:rFonts w:cs="Tahoma"/>
          <w:szCs w:val="18"/>
          <w:lang w:val="pt-BR"/>
        </w:rPr>
        <w:t>A lista de aplicativos de desktop qualificados está sujeita a alterações a qualquer momento, sem aviso prévio, e</w:t>
      </w:r>
      <w:r w:rsidR="00360D26" w:rsidRPr="00734B50">
        <w:rPr>
          <w:rFonts w:cs="Tahoma"/>
          <w:szCs w:val="18"/>
          <w:lang w:val="pt-BR"/>
        </w:rPr>
        <w:t> </w:t>
      </w:r>
      <w:r w:rsidRPr="00734B50">
        <w:rPr>
          <w:rFonts w:cs="Tahoma"/>
          <w:szCs w:val="18"/>
          <w:lang w:val="pt-BR"/>
        </w:rPr>
        <w:t>varia</w:t>
      </w:r>
      <w:r w:rsidR="00360D26" w:rsidRPr="00734B50">
        <w:rPr>
          <w:rFonts w:cs="Tahoma"/>
          <w:szCs w:val="18"/>
          <w:lang w:val="pt-BR"/>
        </w:rPr>
        <w:t> </w:t>
      </w:r>
      <w:r w:rsidRPr="00734B50">
        <w:rPr>
          <w:rFonts w:cs="Tahoma"/>
          <w:szCs w:val="18"/>
          <w:lang w:val="pt-BR"/>
        </w:rPr>
        <w:t>por região ou oferta. A disponibilidade do software do Home Use Program está sujeita a alterações a</w:t>
      </w:r>
      <w:r w:rsidR="00360D26" w:rsidRPr="00734B50">
        <w:rPr>
          <w:rFonts w:cs="Tahoma"/>
          <w:szCs w:val="18"/>
          <w:lang w:val="pt-BR"/>
        </w:rPr>
        <w:t> </w:t>
      </w:r>
      <w:r w:rsidRPr="00734B50">
        <w:rPr>
          <w:rFonts w:cs="Tahoma"/>
          <w:szCs w:val="18"/>
          <w:lang w:val="pt-BR"/>
        </w:rPr>
        <w:t>qualquer</w:t>
      </w:r>
      <w:r w:rsidR="00360D26" w:rsidRPr="00734B50">
        <w:rPr>
          <w:rFonts w:cs="Tahoma"/>
          <w:szCs w:val="18"/>
          <w:lang w:val="pt-BR"/>
        </w:rPr>
        <w:t> </w:t>
      </w:r>
      <w:r w:rsidRPr="00734B50">
        <w:rPr>
          <w:rFonts w:cs="Tahoma"/>
          <w:szCs w:val="18"/>
          <w:lang w:val="pt-BR"/>
        </w:rPr>
        <w:t>momento, sem aviso, e varia por região, oferta, aplicativo, versão e idioma.</w:t>
      </w:r>
    </w:p>
    <w:p w:rsidR="00023FE7" w:rsidRPr="00734B50" w:rsidRDefault="00023FE7" w:rsidP="002D25C8">
      <w:pPr>
        <w:rPr>
          <w:lang w:val="pt-BR"/>
        </w:rPr>
      </w:pPr>
    </w:p>
    <w:p w:rsidR="00023FE7" w:rsidRPr="00734B50" w:rsidRDefault="00502827" w:rsidP="00EC05F0">
      <w:pPr>
        <w:keepNext/>
        <w:keepLines/>
        <w:rPr>
          <w:lang w:val="pt-BR"/>
        </w:rPr>
      </w:pPr>
      <w:r w:rsidRPr="00734B50">
        <w:rPr>
          <w:rFonts w:cs="Tahoma"/>
          <w:szCs w:val="18"/>
          <w:lang w:val="pt-BR"/>
        </w:rPr>
        <w:lastRenderedPageBreak/>
        <w:t>O HUP do Microsoft Office Professional Plus contém os seguintes programas do Microsoft Office:</w:t>
      </w:r>
    </w:p>
    <w:p w:rsidR="00023FE7" w:rsidRPr="00734B50" w:rsidRDefault="00023FE7" w:rsidP="00EC05F0">
      <w:pPr>
        <w:keepNext/>
        <w:keepLines/>
        <w:rPr>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5337"/>
      </w:tblGrid>
      <w:tr w:rsidR="00023FE7" w:rsidRPr="00653421" w:rsidTr="00DC7E2C">
        <w:trPr>
          <w:trHeight w:val="60"/>
        </w:trPr>
        <w:tc>
          <w:tcPr>
            <w:tcW w:w="5337" w:type="dxa"/>
            <w:shd w:val="clear" w:color="auto" w:fill="FABF8F"/>
            <w:tcMar>
              <w:top w:w="0" w:type="dxa"/>
              <w:left w:w="108" w:type="dxa"/>
              <w:bottom w:w="0" w:type="dxa"/>
              <w:right w:w="108" w:type="dxa"/>
            </w:tcMar>
            <w:vAlign w:val="center"/>
          </w:tcPr>
          <w:p w:rsidR="00CA6072" w:rsidRPr="00653421" w:rsidRDefault="00CA6072" w:rsidP="00EC05F0">
            <w:pPr>
              <w:pStyle w:val="appendixtableheadings0"/>
              <w:keepNext/>
              <w:keepLines/>
            </w:pPr>
            <w:r w:rsidRPr="00653421">
              <w:rPr>
                <w:rFonts w:ascii="Tahoma" w:hAnsi="Tahoma" w:cs="Tahoma"/>
                <w:color w:val="000000"/>
                <w:sz w:val="20"/>
                <w:szCs w:val="20"/>
              </w:rPr>
              <w:t xml:space="preserve">Componentes do Office Professional Plus para HUP </w:t>
            </w:r>
          </w:p>
          <w:p w:rsidR="00023FE7" w:rsidRPr="00653421" w:rsidRDefault="00023FE7" w:rsidP="00EC05F0">
            <w:pPr>
              <w:pStyle w:val="appendixtableheadings0"/>
              <w:keepNext/>
              <w:keepLines/>
              <w:rPr>
                <w:rFonts w:ascii="Tahoma" w:hAnsi="Tahoma" w:cs="Tahoma"/>
                <w:color w:val="000000"/>
                <w:sz w:val="20"/>
                <w:szCs w:val="20"/>
              </w:rPr>
            </w:pPr>
          </w:p>
        </w:tc>
      </w:tr>
      <w:tr w:rsidR="00023FE7" w:rsidRPr="00653421" w:rsidTr="00DC7E2C">
        <w:trPr>
          <w:trHeight w:val="438"/>
        </w:trPr>
        <w:tc>
          <w:tcPr>
            <w:tcW w:w="5337" w:type="dxa"/>
            <w:tcMar>
              <w:top w:w="0" w:type="dxa"/>
              <w:left w:w="108" w:type="dxa"/>
              <w:bottom w:w="0" w:type="dxa"/>
              <w:right w:w="108" w:type="dxa"/>
            </w:tcMar>
            <w:vAlign w:val="center"/>
          </w:tcPr>
          <w:p w:rsidR="00CA6072" w:rsidRPr="00653421" w:rsidRDefault="00CA6072" w:rsidP="00EC05F0">
            <w:pPr>
              <w:pStyle w:val="appendixtabletext0"/>
              <w:keepNext/>
              <w:keepLines/>
            </w:pPr>
            <w:r w:rsidRPr="00653421">
              <w:rPr>
                <w:rFonts w:ascii="Tahoma" w:hAnsi="Tahoma" w:cs="Tahoma"/>
                <w:color w:val="000000"/>
              </w:rPr>
              <w:t>Word 2013</w:t>
            </w:r>
          </w:p>
          <w:p w:rsidR="00CA6072" w:rsidRPr="00653421" w:rsidRDefault="00CA6072" w:rsidP="00EC05F0">
            <w:pPr>
              <w:pStyle w:val="appendixtabletext0"/>
              <w:keepNext/>
              <w:keepLines/>
            </w:pPr>
            <w:r w:rsidRPr="00653421">
              <w:rPr>
                <w:rFonts w:ascii="Tahoma" w:hAnsi="Tahoma" w:cs="Tahoma"/>
                <w:color w:val="000000"/>
              </w:rPr>
              <w:t>Excel</w:t>
            </w:r>
            <w:r w:rsidRPr="00653421">
              <w:rPr>
                <w:rFonts w:ascii="Tahoma" w:hAnsi="Tahoma" w:cs="Tahoma"/>
                <w:color w:val="000000"/>
                <w:vertAlign w:val="superscript"/>
              </w:rPr>
              <w:t>®</w:t>
            </w:r>
            <w:r w:rsidRPr="00653421">
              <w:rPr>
                <w:rFonts w:ascii="Tahoma" w:hAnsi="Tahoma" w:cs="Tahoma"/>
                <w:color w:val="000000"/>
              </w:rPr>
              <w:t xml:space="preserve"> 2013</w:t>
            </w:r>
          </w:p>
          <w:p w:rsidR="00CA6072" w:rsidRPr="00653421" w:rsidRDefault="00CA6072" w:rsidP="00EC05F0">
            <w:pPr>
              <w:pStyle w:val="appendixtabletext0"/>
              <w:keepNext/>
              <w:keepLines/>
            </w:pPr>
            <w:r w:rsidRPr="00653421">
              <w:rPr>
                <w:rFonts w:ascii="Tahoma" w:hAnsi="Tahoma" w:cs="Tahoma"/>
                <w:color w:val="000000"/>
              </w:rPr>
              <w:t>PowerPoint</w:t>
            </w:r>
            <w:r w:rsidRPr="00653421">
              <w:rPr>
                <w:rFonts w:ascii="Tahoma" w:hAnsi="Tahoma" w:cs="Tahoma"/>
                <w:color w:val="000000"/>
                <w:vertAlign w:val="superscript"/>
              </w:rPr>
              <w:t>®</w:t>
            </w:r>
            <w:r w:rsidRPr="00653421">
              <w:rPr>
                <w:rFonts w:ascii="Tahoma" w:hAnsi="Tahoma" w:cs="Tahoma"/>
                <w:color w:val="000000"/>
              </w:rPr>
              <w:t xml:space="preserve"> 2013</w:t>
            </w:r>
          </w:p>
          <w:p w:rsidR="00CA6072" w:rsidRPr="00653421" w:rsidRDefault="00CA6072" w:rsidP="00EC05F0">
            <w:pPr>
              <w:pStyle w:val="appendixtabletext0"/>
              <w:keepNext/>
              <w:keepLines/>
            </w:pPr>
            <w:r w:rsidRPr="00653421">
              <w:rPr>
                <w:rFonts w:ascii="Tahoma" w:hAnsi="Tahoma" w:cs="Tahoma"/>
                <w:color w:val="000000"/>
              </w:rPr>
              <w:t>Outlook</w:t>
            </w:r>
            <w:r w:rsidRPr="00653421">
              <w:rPr>
                <w:rFonts w:ascii="Tahoma" w:hAnsi="Tahoma" w:cs="Tahoma"/>
                <w:color w:val="000000"/>
                <w:vertAlign w:val="superscript"/>
              </w:rPr>
              <w:t>®</w:t>
            </w:r>
            <w:r w:rsidRPr="00653421">
              <w:rPr>
                <w:rFonts w:ascii="Tahoma" w:hAnsi="Tahoma" w:cs="Tahoma"/>
                <w:color w:val="000000"/>
              </w:rPr>
              <w:t xml:space="preserve"> 2013</w:t>
            </w:r>
          </w:p>
          <w:p w:rsidR="00CA6072" w:rsidRPr="00653421" w:rsidRDefault="00CA6072" w:rsidP="00EC05F0">
            <w:pPr>
              <w:pStyle w:val="appendixtabletext0"/>
              <w:keepNext/>
              <w:keepLines/>
            </w:pPr>
            <w:r w:rsidRPr="00653421">
              <w:rPr>
                <w:rFonts w:ascii="Tahoma" w:hAnsi="Tahoma" w:cs="Tahoma"/>
                <w:color w:val="000000"/>
              </w:rPr>
              <w:t>Publisher 2013</w:t>
            </w:r>
          </w:p>
          <w:p w:rsidR="00CA6072" w:rsidRPr="00653421" w:rsidRDefault="00CA6072" w:rsidP="00EC05F0">
            <w:pPr>
              <w:pStyle w:val="appendixtabletext0"/>
              <w:keepNext/>
              <w:keepLines/>
            </w:pPr>
            <w:r w:rsidRPr="00653421">
              <w:rPr>
                <w:rFonts w:ascii="Tahoma" w:hAnsi="Tahoma" w:cs="Tahoma"/>
                <w:color w:val="000000"/>
              </w:rPr>
              <w:t>Access</w:t>
            </w:r>
            <w:r w:rsidRPr="00653421">
              <w:rPr>
                <w:rFonts w:ascii="Tahoma" w:hAnsi="Tahoma" w:cs="Tahoma"/>
                <w:color w:val="000000"/>
                <w:vertAlign w:val="superscript"/>
              </w:rPr>
              <w:t>®</w:t>
            </w:r>
            <w:r w:rsidRPr="00653421">
              <w:rPr>
                <w:rFonts w:ascii="Tahoma" w:hAnsi="Tahoma" w:cs="Tahoma"/>
                <w:color w:val="000000"/>
              </w:rPr>
              <w:t xml:space="preserve"> 2013</w:t>
            </w:r>
          </w:p>
          <w:p w:rsidR="00CA6072" w:rsidRPr="00653421" w:rsidRDefault="00CA6072" w:rsidP="00EC05F0">
            <w:pPr>
              <w:pStyle w:val="appendixtabletext0"/>
              <w:keepNext/>
              <w:keepLines/>
            </w:pPr>
            <w:r w:rsidRPr="00653421">
              <w:rPr>
                <w:rFonts w:ascii="Tahoma" w:hAnsi="Tahoma" w:cs="Tahoma"/>
                <w:color w:val="000000"/>
              </w:rPr>
              <w:t>OneNote</w:t>
            </w:r>
            <w:r w:rsidRPr="00653421">
              <w:rPr>
                <w:rFonts w:ascii="Tahoma" w:hAnsi="Tahoma" w:cs="Tahoma"/>
                <w:color w:val="000000"/>
                <w:vertAlign w:val="superscript"/>
              </w:rPr>
              <w:t>®</w:t>
            </w:r>
            <w:r w:rsidRPr="00653421">
              <w:rPr>
                <w:rFonts w:ascii="Tahoma" w:hAnsi="Tahoma" w:cs="Tahoma"/>
                <w:color w:val="000000"/>
              </w:rPr>
              <w:t xml:space="preserve"> 2013</w:t>
            </w:r>
          </w:p>
          <w:p w:rsidR="00CA6072" w:rsidRPr="00653421" w:rsidRDefault="00CA6072" w:rsidP="00EC05F0">
            <w:pPr>
              <w:pStyle w:val="appendixtabletext0"/>
              <w:keepNext/>
              <w:keepLines/>
            </w:pPr>
            <w:r w:rsidRPr="00653421">
              <w:rPr>
                <w:rFonts w:ascii="Tahoma" w:hAnsi="Tahoma" w:cs="Tahoma"/>
                <w:color w:val="000000"/>
              </w:rPr>
              <w:t>InfoPath</w:t>
            </w:r>
            <w:r w:rsidRPr="00653421">
              <w:rPr>
                <w:rFonts w:ascii="Tahoma" w:hAnsi="Tahoma" w:cs="Tahoma"/>
                <w:color w:val="000000"/>
                <w:vertAlign w:val="superscript"/>
              </w:rPr>
              <w:t>®</w:t>
            </w:r>
            <w:r w:rsidRPr="00653421">
              <w:rPr>
                <w:rFonts w:ascii="Tahoma" w:hAnsi="Tahoma" w:cs="Tahoma"/>
                <w:color w:val="000000"/>
              </w:rPr>
              <w:t xml:space="preserve"> 2013</w:t>
            </w:r>
          </w:p>
          <w:p w:rsidR="00502827" w:rsidRPr="00653421" w:rsidRDefault="00B9674D" w:rsidP="00EC05F0">
            <w:pPr>
              <w:pStyle w:val="appendixtabletext0"/>
              <w:keepNext/>
              <w:keepLines/>
            </w:pPr>
            <w:r w:rsidRPr="00653421">
              <w:rPr>
                <w:rFonts w:ascii="Tahoma" w:hAnsi="Tahoma" w:cs="Tahoma"/>
                <w:color w:val="000000"/>
              </w:rPr>
              <w:t>Lync 2013</w:t>
            </w:r>
          </w:p>
          <w:p w:rsidR="002D25C8" w:rsidRPr="00653421" w:rsidRDefault="002D25C8" w:rsidP="00EC05F0">
            <w:pPr>
              <w:pStyle w:val="appendixtabletext0"/>
              <w:keepNext/>
              <w:keepLines/>
              <w:rPr>
                <w:rFonts w:ascii="Tahoma" w:hAnsi="Tahoma" w:cs="Tahoma"/>
                <w:color w:val="000000"/>
              </w:rPr>
            </w:pPr>
          </w:p>
        </w:tc>
      </w:tr>
    </w:tbl>
    <w:p w:rsidR="001C1727" w:rsidRPr="00653421" w:rsidRDefault="001C1727" w:rsidP="001C1727"/>
    <w:p w:rsidR="00023FE7" w:rsidRPr="00653421"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C50FD1"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653421" w:rsidRDefault="00CA6072" w:rsidP="001B035A">
            <w:pPr>
              <w:pStyle w:val="appendixtableheadings0"/>
              <w:rPr>
                <w:rFonts w:ascii="Tahoma" w:hAnsi="Tahoma" w:cs="Tahoma"/>
                <w:color w:val="000000"/>
                <w:sz w:val="20"/>
                <w:szCs w:val="20"/>
              </w:rPr>
            </w:pPr>
            <w:r w:rsidRPr="00653421">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734B50" w:rsidRDefault="00CA6072" w:rsidP="001B035A">
            <w:pPr>
              <w:pStyle w:val="appendixtableheadings0"/>
              <w:rPr>
                <w:rFonts w:ascii="Tahoma" w:hAnsi="Tahoma" w:cs="Tahoma"/>
                <w:color w:val="000000"/>
                <w:sz w:val="20"/>
                <w:szCs w:val="20"/>
                <w:lang w:val="pt-BR"/>
              </w:rPr>
            </w:pPr>
            <w:r w:rsidRPr="00734B50">
              <w:rPr>
                <w:rFonts w:ascii="Tahoma" w:hAnsi="Tahoma" w:cs="Tahoma"/>
                <w:color w:val="000000"/>
                <w:sz w:val="20"/>
                <w:szCs w:val="20"/>
                <w:lang w:val="pt-BR"/>
              </w:rPr>
              <w:t xml:space="preserve">Licença do Home Use Program </w:t>
            </w:r>
            <w:r w:rsidRPr="00734B50">
              <w:rPr>
                <w:rFonts w:ascii="Tahoma" w:hAnsi="Tahoma" w:cs="Tahoma"/>
                <w:color w:val="000000"/>
                <w:sz w:val="20"/>
                <w:szCs w:val="20"/>
                <w:lang w:val="pt-BR"/>
              </w:rPr>
              <w:br/>
              <w:t>Correspondente</w:t>
            </w:r>
          </w:p>
        </w:tc>
      </w:tr>
      <w:tr w:rsidR="004D700D" w:rsidRPr="0065342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653421" w:rsidRDefault="004D700D" w:rsidP="001B035A">
            <w:pPr>
              <w:pStyle w:val="appendixtabletext0"/>
            </w:pPr>
            <w:r w:rsidRPr="00653421">
              <w:rPr>
                <w:rFonts w:ascii="Tahoma" w:hAnsi="Tahoma" w:cs="Tahoma"/>
                <w:color w:val="000000"/>
              </w:rPr>
              <w:t>Office Standard 2010/2013</w:t>
            </w:r>
          </w:p>
          <w:p w:rsidR="004D700D" w:rsidRPr="00653421" w:rsidRDefault="004D700D" w:rsidP="001B035A">
            <w:pPr>
              <w:pStyle w:val="appendixtabletext0"/>
            </w:pPr>
            <w:r w:rsidRPr="00653421">
              <w:rPr>
                <w:rFonts w:ascii="Tahoma" w:hAnsi="Tahoma" w:cs="Tahoma"/>
                <w:color w:val="000000"/>
              </w:rPr>
              <w:t>Office Professional Plus 2010/2013</w:t>
            </w:r>
          </w:p>
          <w:p w:rsidR="004D700D" w:rsidRPr="00653421" w:rsidRDefault="004D700D" w:rsidP="00DC7E2C">
            <w:pPr>
              <w:pStyle w:val="appendixtabletext0"/>
              <w:rPr>
                <w:rFonts w:ascii="Tahoma" w:hAnsi="Tahoma" w:cs="Tahoma"/>
                <w:color w:val="000000"/>
              </w:rPr>
            </w:pPr>
            <w:r w:rsidRPr="00653421">
              <w:rPr>
                <w:rFonts w:ascii="Tahoma" w:hAnsi="Tahoma" w:cs="Tahoma"/>
                <w:color w:val="000000"/>
              </w:rPr>
              <w:t xml:space="preserve">Office para Mac 2008/Office for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653421" w:rsidRDefault="004D700D" w:rsidP="00735622">
            <w:pPr>
              <w:pStyle w:val="appendixtabletext0"/>
            </w:pPr>
            <w:r w:rsidRPr="00653421">
              <w:rPr>
                <w:rFonts w:ascii="Tahoma" w:hAnsi="Tahoma" w:cs="Tahoma"/>
                <w:color w:val="000000"/>
              </w:rPr>
              <w:t>Office Professional Plus 2013 HUP</w:t>
            </w:r>
          </w:p>
          <w:p w:rsidR="004D700D" w:rsidRPr="00653421" w:rsidRDefault="004D700D" w:rsidP="00735622">
            <w:pPr>
              <w:pStyle w:val="appendixtabletext0"/>
            </w:pPr>
            <w:r w:rsidRPr="00653421">
              <w:rPr>
                <w:rFonts w:ascii="Tahoma" w:hAnsi="Tahoma" w:cs="Tahoma"/>
                <w:color w:val="000000"/>
              </w:rPr>
              <w:t>ou</w:t>
            </w:r>
          </w:p>
          <w:p w:rsidR="004D700D" w:rsidRPr="00653421" w:rsidRDefault="00E316C2" w:rsidP="00C37E9D">
            <w:pPr>
              <w:pStyle w:val="appendixtabletext0"/>
              <w:rPr>
                <w:rFonts w:ascii="Tahoma" w:hAnsi="Tahoma" w:cs="Tahoma"/>
                <w:color w:val="000000"/>
              </w:rPr>
            </w:pPr>
            <w:r w:rsidRPr="00653421">
              <w:rPr>
                <w:rFonts w:ascii="Tahoma" w:hAnsi="Tahoma" w:cs="Tahoma"/>
                <w:color w:val="000000"/>
              </w:rPr>
              <w:t>HUP do Office para Mac Home &amp; Business 2011</w:t>
            </w:r>
          </w:p>
        </w:tc>
      </w:tr>
      <w:tr w:rsidR="004D700D" w:rsidRPr="0065342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653421" w:rsidRDefault="004D700D" w:rsidP="001B035A">
            <w:pPr>
              <w:pStyle w:val="appendixtabletext0"/>
            </w:pPr>
            <w:r w:rsidRPr="00653421">
              <w:rPr>
                <w:rFonts w:ascii="Tahoma" w:hAnsi="Tahoma" w:cs="Tahoma"/>
                <w:color w:val="000000"/>
              </w:rPr>
              <w:t>Access 2010/2013</w:t>
            </w:r>
          </w:p>
          <w:p w:rsidR="004D700D" w:rsidRPr="00653421" w:rsidRDefault="004D700D" w:rsidP="001B035A">
            <w:pPr>
              <w:pStyle w:val="appendixtabletext0"/>
            </w:pPr>
            <w:r w:rsidRPr="00653421">
              <w:rPr>
                <w:rFonts w:ascii="Tahoma" w:hAnsi="Tahoma" w:cs="Tahoma"/>
                <w:color w:val="000000"/>
              </w:rPr>
              <w:t>Excel 2010/2013</w:t>
            </w:r>
          </w:p>
          <w:p w:rsidR="004D700D" w:rsidRPr="00653421" w:rsidRDefault="004D700D" w:rsidP="001B035A">
            <w:pPr>
              <w:pStyle w:val="appendixtabletext0"/>
            </w:pPr>
            <w:r w:rsidRPr="00653421">
              <w:rPr>
                <w:rFonts w:ascii="Tahoma" w:hAnsi="Tahoma" w:cs="Tahoma"/>
                <w:color w:val="000000"/>
              </w:rPr>
              <w:t>PowerPoint 2010/2013</w:t>
            </w:r>
          </w:p>
          <w:p w:rsidR="004D700D" w:rsidRPr="00653421" w:rsidRDefault="004D700D" w:rsidP="001B035A">
            <w:pPr>
              <w:pStyle w:val="appendixtabletext0"/>
            </w:pPr>
            <w:r w:rsidRPr="00653421">
              <w:rPr>
                <w:rFonts w:ascii="Tahoma" w:hAnsi="Tahoma" w:cs="Tahoma"/>
                <w:color w:val="000000"/>
              </w:rPr>
              <w:t>InfoPath 2010/2013</w:t>
            </w:r>
          </w:p>
          <w:p w:rsidR="004D700D" w:rsidRPr="00653421" w:rsidRDefault="004D700D" w:rsidP="001B035A">
            <w:pPr>
              <w:pStyle w:val="appendixtabletext0"/>
            </w:pPr>
            <w:r w:rsidRPr="00653421">
              <w:rPr>
                <w:rFonts w:ascii="Tahoma" w:hAnsi="Tahoma" w:cs="Tahoma"/>
                <w:color w:val="000000"/>
              </w:rPr>
              <w:t>OneNote 2010/2013</w:t>
            </w:r>
          </w:p>
          <w:p w:rsidR="004D700D" w:rsidRPr="00653421" w:rsidRDefault="004D700D" w:rsidP="001B035A">
            <w:pPr>
              <w:pStyle w:val="appendixtabletext0"/>
            </w:pPr>
            <w:r w:rsidRPr="00653421">
              <w:rPr>
                <w:rFonts w:ascii="Tahoma" w:hAnsi="Tahoma" w:cs="Tahoma"/>
                <w:color w:val="000000"/>
              </w:rPr>
              <w:t>Outlook 2010/2013</w:t>
            </w:r>
          </w:p>
          <w:p w:rsidR="004D700D" w:rsidRPr="00653421" w:rsidRDefault="004D700D" w:rsidP="001B035A">
            <w:pPr>
              <w:pStyle w:val="appendixtabletext0"/>
            </w:pPr>
            <w:r w:rsidRPr="00653421">
              <w:rPr>
                <w:rFonts w:ascii="Tahoma" w:hAnsi="Tahoma" w:cs="Tahoma"/>
                <w:color w:val="000000"/>
              </w:rPr>
              <w:t>Publisher 2010/2013</w:t>
            </w:r>
          </w:p>
          <w:p w:rsidR="004D700D" w:rsidRPr="00653421" w:rsidRDefault="004D700D" w:rsidP="00737AED">
            <w:pPr>
              <w:pStyle w:val="appendixtabletext0"/>
            </w:pPr>
            <w:r w:rsidRPr="00653421">
              <w:rPr>
                <w:rFonts w:ascii="Tahoma" w:hAnsi="Tahoma" w:cs="Tahoma"/>
                <w:color w:val="000000"/>
              </w:rPr>
              <w:t>Word 2010/2013</w:t>
            </w:r>
          </w:p>
          <w:p w:rsidR="00737AED" w:rsidRPr="00653421"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653421" w:rsidRDefault="004D700D" w:rsidP="00735622">
            <w:pPr>
              <w:pStyle w:val="appendixtabletext0"/>
            </w:pPr>
            <w:r w:rsidRPr="00653421">
              <w:rPr>
                <w:rFonts w:ascii="Tahoma" w:hAnsi="Tahoma" w:cs="Tahoma"/>
                <w:color w:val="000000"/>
              </w:rPr>
              <w:t>Office Professional Plus 2013 HUP</w:t>
            </w:r>
          </w:p>
          <w:p w:rsidR="004D700D" w:rsidRPr="00653421" w:rsidRDefault="004D700D" w:rsidP="00735622">
            <w:pPr>
              <w:pStyle w:val="appendixtabletext0"/>
            </w:pPr>
            <w:r w:rsidRPr="00653421">
              <w:rPr>
                <w:rFonts w:ascii="Tahoma" w:hAnsi="Tahoma" w:cs="Tahoma"/>
                <w:color w:val="000000"/>
              </w:rPr>
              <w:t>ou</w:t>
            </w:r>
          </w:p>
          <w:p w:rsidR="004D700D" w:rsidRPr="00653421" w:rsidRDefault="00E316C2" w:rsidP="00C37E9D">
            <w:pPr>
              <w:pStyle w:val="appendixtabletext0"/>
              <w:rPr>
                <w:rFonts w:ascii="Tahoma" w:hAnsi="Tahoma" w:cs="Tahoma"/>
                <w:color w:val="000000"/>
              </w:rPr>
            </w:pPr>
            <w:r w:rsidRPr="00653421">
              <w:rPr>
                <w:rFonts w:ascii="Tahoma" w:hAnsi="Tahoma" w:cs="Tahoma"/>
                <w:color w:val="000000"/>
              </w:rPr>
              <w:t>HUP do Office para Mac Home &amp; Business 2011</w:t>
            </w:r>
          </w:p>
        </w:tc>
      </w:tr>
      <w:tr w:rsidR="00CA6072" w:rsidRPr="0065342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653421" w:rsidRDefault="00CA6072" w:rsidP="001B035A">
            <w:pPr>
              <w:pStyle w:val="appendixtabletext0"/>
            </w:pPr>
            <w:r w:rsidRPr="00653421">
              <w:rPr>
                <w:rFonts w:ascii="Tahoma" w:hAnsi="Tahoma" w:cs="Tahoma"/>
                <w:color w:val="000000"/>
              </w:rPr>
              <w:t xml:space="preserve">Visio Standard 2010/2013 </w:t>
            </w:r>
          </w:p>
          <w:p w:rsidR="00502827" w:rsidRPr="00653421" w:rsidRDefault="00CA6072" w:rsidP="00502827">
            <w:pPr>
              <w:pStyle w:val="appendixtabletext0"/>
            </w:pPr>
            <w:r w:rsidRPr="00653421">
              <w:rPr>
                <w:rFonts w:ascii="Tahoma" w:hAnsi="Tahoma" w:cs="Tahoma"/>
                <w:color w:val="000000"/>
              </w:rPr>
              <w:t>Visio Professional 2010/2013</w:t>
            </w:r>
            <w:r w:rsidRPr="00653421">
              <w:rPr>
                <w:rFonts w:ascii="Tahoma" w:hAnsi="Tahoma" w:cs="Tahoma"/>
                <w:strike/>
                <w:color w:val="000000"/>
              </w:rPr>
              <w:t xml:space="preserve"> </w:t>
            </w:r>
          </w:p>
          <w:p w:rsidR="00502827" w:rsidRPr="00653421"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653421" w:rsidRDefault="00CA6072" w:rsidP="001B035A">
            <w:pPr>
              <w:pStyle w:val="appendixtabletext0"/>
            </w:pPr>
            <w:r w:rsidRPr="00653421">
              <w:rPr>
                <w:rFonts w:ascii="Tahoma" w:hAnsi="Tahoma" w:cs="Tahoma"/>
                <w:color w:val="000000"/>
              </w:rPr>
              <w:t>HUP do Visio Professional 2013</w:t>
            </w:r>
          </w:p>
          <w:p w:rsidR="00CA6072" w:rsidRPr="00653421" w:rsidRDefault="00CA6072" w:rsidP="001B035A">
            <w:pPr>
              <w:pStyle w:val="appendixtabletext0"/>
              <w:rPr>
                <w:rFonts w:ascii="Tahoma" w:hAnsi="Tahoma" w:cs="Tahoma"/>
                <w:color w:val="000000"/>
              </w:rPr>
            </w:pPr>
          </w:p>
        </w:tc>
      </w:tr>
      <w:tr w:rsidR="00CA6072" w:rsidRPr="0065342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653421" w:rsidRDefault="00CA6072" w:rsidP="001B035A">
            <w:pPr>
              <w:pStyle w:val="appendixtabletext0"/>
            </w:pPr>
            <w:r w:rsidRPr="00653421">
              <w:rPr>
                <w:rFonts w:ascii="Tahoma" w:hAnsi="Tahoma" w:cs="Tahoma"/>
                <w:color w:val="000000"/>
              </w:rPr>
              <w:t>Project Standard 2010/2013</w:t>
            </w:r>
          </w:p>
          <w:p w:rsidR="00CA6072" w:rsidRPr="00653421" w:rsidRDefault="00CA6072" w:rsidP="001E3357">
            <w:pPr>
              <w:pStyle w:val="appendixtabletext0"/>
            </w:pPr>
            <w:r w:rsidRPr="00653421">
              <w:rPr>
                <w:rFonts w:ascii="Tahoma" w:hAnsi="Tahoma" w:cs="Tahoma"/>
                <w:color w:val="000000"/>
              </w:rPr>
              <w:t>Project Professional 2010/2013</w:t>
            </w:r>
          </w:p>
          <w:p w:rsidR="00737AED" w:rsidRPr="00653421"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653421" w:rsidRDefault="00CA6072" w:rsidP="001B035A">
            <w:pPr>
              <w:pStyle w:val="appendixtabletext0"/>
            </w:pPr>
            <w:r w:rsidRPr="00653421">
              <w:rPr>
                <w:rFonts w:ascii="Tahoma" w:hAnsi="Tahoma" w:cs="Tahoma"/>
                <w:color w:val="000000"/>
              </w:rPr>
              <w:t>HUP do Project Standard 2013</w:t>
            </w:r>
          </w:p>
          <w:p w:rsidR="00CA6072" w:rsidRPr="00653421" w:rsidRDefault="00CA6072" w:rsidP="001B035A">
            <w:pPr>
              <w:pStyle w:val="appendixtabletext0"/>
              <w:rPr>
                <w:rFonts w:ascii="Tahoma" w:hAnsi="Tahoma" w:cs="Tahoma"/>
                <w:color w:val="000000"/>
              </w:rPr>
            </w:pPr>
            <w:r w:rsidRPr="00653421">
              <w:rPr>
                <w:rFonts w:ascii="Tahoma" w:hAnsi="Tahoma" w:cs="Tahoma"/>
                <w:color w:val="000000"/>
              </w:rPr>
              <w:t xml:space="preserve"> </w:t>
            </w:r>
          </w:p>
        </w:tc>
      </w:tr>
    </w:tbl>
    <w:p w:rsidR="00023FE7" w:rsidRPr="00734B50" w:rsidRDefault="00023FE7">
      <w:pPr>
        <w:pStyle w:val="AppendixBodyText"/>
        <w:ind w:left="630"/>
        <w:rPr>
          <w:lang w:val="pt-BR"/>
        </w:rPr>
      </w:pPr>
      <w:r w:rsidRPr="00734B50">
        <w:rPr>
          <w:rFonts w:ascii="Tahoma" w:hAnsi="Tahoma" w:cs="Tahoma"/>
          <w:b/>
          <w:i/>
          <w:sz w:val="16"/>
          <w:szCs w:val="16"/>
          <w:lang w:val="pt-BR"/>
        </w:rPr>
        <w:t>*</w:t>
      </w:r>
      <w:r w:rsidR="00DC7E2C" w:rsidRPr="00734B50">
        <w:rPr>
          <w:rFonts w:ascii="Tahoma" w:hAnsi="Tahoma" w:cs="Tahoma"/>
          <w:b/>
          <w:i/>
          <w:sz w:val="16"/>
          <w:szCs w:val="16"/>
          <w:lang w:val="pt-BR"/>
        </w:rPr>
        <w:t xml:space="preserve"> </w:t>
      </w:r>
      <w:r w:rsidRPr="00734B50">
        <w:rPr>
          <w:rFonts w:ascii="Tahoma" w:hAnsi="Tahoma" w:cs="Tahoma"/>
          <w:i/>
          <w:sz w:val="16"/>
          <w:szCs w:val="16"/>
          <w:lang w:val="pt-BR"/>
        </w:rPr>
        <w:t xml:space="preserve">A disponibilidade do software do Home Use Program varia por região, oferta e idioma. </w:t>
      </w:r>
    </w:p>
    <w:p w:rsidR="00023FE7" w:rsidRPr="00734B50" w:rsidRDefault="00023FE7">
      <w:pPr>
        <w:pStyle w:val="AppendixBodyText"/>
        <w:ind w:left="630"/>
        <w:rPr>
          <w:lang w:val="pt-BR"/>
        </w:rPr>
      </w:pPr>
      <w:r w:rsidRPr="00734B50">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23" w:history="1">
        <w:r w:rsidRPr="00734B50">
          <w:rPr>
            <w:rStyle w:val="Hyperlink"/>
            <w:rFonts w:ascii="Tahoma" w:hAnsi="Tahoma" w:cs="Tahoma"/>
            <w:i/>
            <w:sz w:val="16"/>
            <w:szCs w:val="16"/>
            <w:lang w:val="pt-BR"/>
          </w:rPr>
          <w:t>http://www.microsoft.com/licensing</w:t>
        </w:r>
      </w:hyperlink>
      <w:r w:rsidRPr="00734B50">
        <w:rPr>
          <w:rFonts w:ascii="Tahoma" w:hAnsi="Tahoma" w:cs="Tahoma"/>
          <w:i/>
          <w:sz w:val="16"/>
          <w:szCs w:val="16"/>
          <w:lang w:val="pt-BR"/>
        </w:rPr>
        <w:t>.</w:t>
      </w:r>
    </w:p>
    <w:p w:rsidR="00023FE7" w:rsidRPr="00734B50" w:rsidRDefault="00023FE7">
      <w:pPr>
        <w:pStyle w:val="AppendixBodyText"/>
        <w:ind w:left="630"/>
        <w:rPr>
          <w:lang w:val="pt-BR"/>
        </w:rPr>
      </w:pPr>
      <w:r w:rsidRPr="00734B50">
        <w:rPr>
          <w:rFonts w:ascii="Tahoma" w:hAnsi="Tahoma" w:cs="Tahoma"/>
          <w:i/>
          <w:sz w:val="16"/>
          <w:szCs w:val="16"/>
          <w:lang w:val="pt-BR"/>
        </w:rPr>
        <w:t>** Observação para clientes de Contrato para Campus e Contrato School e Open Value Subscription - Soluções Educacionais: consulte o contrato CASA (3.5 ou posterior) ou o contrato OVS-ES para obter regras adicionais específicas</w:t>
      </w:r>
      <w:r w:rsidR="00DC7E2C" w:rsidRPr="00734B50">
        <w:rPr>
          <w:rFonts w:ascii="Tahoma" w:hAnsi="Tahoma" w:cs="Tahoma"/>
          <w:i/>
          <w:sz w:val="16"/>
          <w:szCs w:val="16"/>
          <w:lang w:val="pt-BR"/>
        </w:rPr>
        <w:t> </w:t>
      </w:r>
      <w:r w:rsidRPr="00734B50">
        <w:rPr>
          <w:rFonts w:ascii="Tahoma" w:hAnsi="Tahoma" w:cs="Tahoma"/>
          <w:i/>
          <w:sz w:val="16"/>
          <w:szCs w:val="16"/>
          <w:lang w:val="pt-BR"/>
        </w:rPr>
        <w:t>do</w:t>
      </w:r>
      <w:r w:rsidR="00DC7E2C" w:rsidRPr="00734B50">
        <w:rPr>
          <w:rFonts w:ascii="Tahoma" w:hAnsi="Tahoma" w:cs="Tahoma"/>
          <w:i/>
          <w:sz w:val="16"/>
          <w:szCs w:val="16"/>
          <w:lang w:val="pt-BR"/>
        </w:rPr>
        <w:t> </w:t>
      </w:r>
      <w:r w:rsidRPr="00734B50">
        <w:rPr>
          <w:rFonts w:ascii="Tahoma" w:hAnsi="Tahoma" w:cs="Tahoma"/>
          <w:i/>
          <w:sz w:val="16"/>
          <w:szCs w:val="16"/>
          <w:lang w:val="pt-BR"/>
        </w:rPr>
        <w:t>programa.</w:t>
      </w:r>
    </w:p>
    <w:p w:rsidR="00023FE7" w:rsidRPr="00734B50" w:rsidRDefault="00023FE7" w:rsidP="00BD1A6A">
      <w:pPr>
        <w:ind w:left="630"/>
        <w:rPr>
          <w:lang w:val="pt-BR"/>
        </w:rPr>
      </w:pPr>
      <w:r w:rsidRPr="00734B50">
        <w:rPr>
          <w:rFonts w:cs="Tahoma"/>
          <w:i/>
          <w:sz w:val="16"/>
          <w:szCs w:val="16"/>
          <w:lang w:val="pt-BR"/>
        </w:rPr>
        <w:t xml:space="preserve">*** Observe que o SharePoint Designer agora é um produto gratuito disponível para download neste link </w:t>
      </w:r>
      <w:hyperlink r:id="rId24" w:history="1">
        <w:r w:rsidRPr="00734B50">
          <w:rPr>
            <w:rStyle w:val="Hyperlink"/>
            <w:rFonts w:cs="Tahoma"/>
            <w:i/>
            <w:sz w:val="16"/>
            <w:szCs w:val="16"/>
            <w:lang w:val="pt-BR"/>
          </w:rPr>
          <w:t>http://www.microsoft.com/spd</w:t>
        </w:r>
      </w:hyperlink>
    </w:p>
    <w:p w:rsidR="00CA395A" w:rsidRPr="00734B50" w:rsidRDefault="00CA395A" w:rsidP="008A15A8">
      <w:pPr>
        <w:outlineLvl w:val="2"/>
        <w:rPr>
          <w:lang w:val="pt-BR"/>
        </w:rPr>
      </w:pPr>
      <w:bookmarkStart w:id="791" w:name="_Toc281378922"/>
    </w:p>
    <w:p w:rsidR="00AD353C" w:rsidRPr="00734B50" w:rsidRDefault="00AD353C" w:rsidP="008A15A8">
      <w:pPr>
        <w:outlineLvl w:val="2"/>
        <w:rPr>
          <w:lang w:val="pt-BR"/>
        </w:rPr>
      </w:pPr>
    </w:p>
    <w:p w:rsidR="00AD353C" w:rsidRPr="00734B50" w:rsidRDefault="00AD353C" w:rsidP="008A15A8">
      <w:pPr>
        <w:outlineLvl w:val="2"/>
        <w:rPr>
          <w:lang w:val="pt-BR"/>
        </w:rPr>
      </w:pPr>
    </w:p>
    <w:p w:rsidR="00AD353C" w:rsidRPr="00734B50" w:rsidRDefault="00AD353C" w:rsidP="008A15A8">
      <w:pPr>
        <w:outlineLvl w:val="2"/>
        <w:rPr>
          <w:lang w:val="pt-BR"/>
        </w:rPr>
      </w:pPr>
    </w:p>
    <w:p w:rsidR="00AD353C" w:rsidRPr="00734B50" w:rsidRDefault="00AD353C" w:rsidP="008A15A8">
      <w:pPr>
        <w:outlineLvl w:val="2"/>
        <w:rPr>
          <w:lang w:val="pt-BR"/>
        </w:rPr>
      </w:pPr>
    </w:p>
    <w:p w:rsidR="00AD353C" w:rsidRPr="00734B50" w:rsidRDefault="00AD353C" w:rsidP="008A15A8">
      <w:pPr>
        <w:outlineLvl w:val="2"/>
        <w:rPr>
          <w:lang w:val="pt-BR"/>
        </w:rPr>
      </w:pPr>
    </w:p>
    <w:p w:rsidR="00AD353C" w:rsidRPr="00734B50" w:rsidRDefault="00AD353C" w:rsidP="008A15A8">
      <w:pPr>
        <w:outlineLvl w:val="2"/>
        <w:rPr>
          <w:lang w:val="pt-BR"/>
        </w:rPr>
      </w:pPr>
    </w:p>
    <w:p w:rsidR="00AD353C" w:rsidRPr="00734B50" w:rsidRDefault="00AD353C" w:rsidP="008A15A8">
      <w:pPr>
        <w:outlineLvl w:val="2"/>
        <w:rPr>
          <w:lang w:val="pt-BR"/>
        </w:rPr>
      </w:pPr>
    </w:p>
    <w:p w:rsidR="00AD353C" w:rsidRPr="00734B50" w:rsidRDefault="00AD353C" w:rsidP="008A15A8">
      <w:pPr>
        <w:outlineLvl w:val="2"/>
        <w:rPr>
          <w:lang w:val="pt-BR"/>
        </w:rPr>
      </w:pPr>
    </w:p>
    <w:p w:rsidR="008A15A8" w:rsidRPr="00734B50" w:rsidRDefault="008A15A8" w:rsidP="002D25C8">
      <w:pPr>
        <w:outlineLvl w:val="2"/>
        <w:rPr>
          <w:lang w:val="pt-BR"/>
        </w:rPr>
      </w:pPr>
      <w:r w:rsidRPr="00734B50">
        <w:rPr>
          <w:rFonts w:eastAsia="Calibri" w:cs="Tahoma"/>
          <w:b/>
          <w:bCs/>
          <w:sz w:val="24"/>
          <w:szCs w:val="20"/>
          <w:lang w:val="pt-BR"/>
        </w:rPr>
        <w:lastRenderedPageBreak/>
        <w:t>Enterprise Source Licensing Program</w:t>
      </w:r>
      <w:bookmarkEnd w:id="791"/>
      <w:r w:rsidRPr="00734B50">
        <w:rPr>
          <w:rFonts w:eastAsia="Calibri" w:cs="Tahoma"/>
          <w:b/>
          <w:bCs/>
          <w:sz w:val="24"/>
          <w:szCs w:val="20"/>
          <w:lang w:val="pt-BR"/>
        </w:rPr>
        <w:t xml:space="preserve"> </w:t>
      </w:r>
    </w:p>
    <w:p w:rsidR="001C20C9" w:rsidRPr="00734B50" w:rsidRDefault="001C20C9" w:rsidP="002D25C8">
      <w:pPr>
        <w:outlineLvl w:val="2"/>
        <w:rPr>
          <w:lang w:val="pt-BR"/>
        </w:rPr>
      </w:pPr>
    </w:p>
    <w:p w:rsidR="008A15A8" w:rsidRPr="00734B50" w:rsidRDefault="008A15A8" w:rsidP="002D25C8">
      <w:pPr>
        <w:rPr>
          <w:lang w:val="pt-BR"/>
        </w:rPr>
      </w:pPr>
      <w:r w:rsidRPr="00734B50">
        <w:rPr>
          <w:rFonts w:eastAsia="Calibri" w:cs="Tahoma"/>
          <w:szCs w:val="18"/>
          <w:lang w:val="pt-BR"/>
        </w:rPr>
        <w:t>Os clientes no Programa de Membros do Software Assurance e com 1.500 ou mais desktops licenciados no pool de</w:t>
      </w:r>
      <w:r w:rsidR="00DC7E2C" w:rsidRPr="00734B50">
        <w:rPr>
          <w:rFonts w:eastAsia="Calibri" w:cs="Tahoma"/>
          <w:szCs w:val="18"/>
          <w:lang w:val="pt-BR"/>
        </w:rPr>
        <w:t> </w:t>
      </w:r>
      <w:r w:rsidRPr="00734B50">
        <w:rPr>
          <w:rFonts w:eastAsia="Calibri" w:cs="Tahoma"/>
          <w:szCs w:val="18"/>
          <w:lang w:val="pt-BR"/>
        </w:rPr>
        <w:t>sistemas podem ser qualificados a participar do ESLP (Enterprise Source Licensing Program) durante o prazo de</w:t>
      </w:r>
      <w:r w:rsidR="00DC7E2C" w:rsidRPr="00734B50">
        <w:rPr>
          <w:rFonts w:eastAsia="Calibri" w:cs="Tahoma"/>
          <w:szCs w:val="18"/>
          <w:lang w:val="pt-BR"/>
        </w:rPr>
        <w:t> </w:t>
      </w:r>
      <w:r w:rsidRPr="00734B50">
        <w:rPr>
          <w:rFonts w:eastAsia="Calibri" w:cs="Tahoma"/>
          <w:szCs w:val="18"/>
          <w:lang w:val="pt-BR"/>
        </w:rPr>
        <w:t>suas coberturas do Software Assurance.</w:t>
      </w:r>
      <w:r w:rsidR="005A52A2" w:rsidRPr="00734B50">
        <w:rPr>
          <w:rFonts w:eastAsia="Calibri" w:cs="Tahoma"/>
          <w:szCs w:val="18"/>
          <w:lang w:val="pt-BR"/>
        </w:rPr>
        <w:t xml:space="preserve"> </w:t>
      </w:r>
      <w:r w:rsidRPr="00734B50">
        <w:rPr>
          <w:rFonts w:eastAsia="Calibri" w:cs="Tahoma"/>
          <w:szCs w:val="18"/>
          <w:lang w:val="pt-BR"/>
        </w:rPr>
        <w:t>O ESLP fornece acesso ao código-fonte do Microsoft Windows para desenvolvimento interno e suporte.</w:t>
      </w:r>
      <w:r w:rsidR="005A52A2" w:rsidRPr="00734B50">
        <w:rPr>
          <w:rFonts w:eastAsia="Calibri" w:cs="Tahoma"/>
          <w:szCs w:val="18"/>
          <w:lang w:val="pt-BR"/>
        </w:rPr>
        <w:t xml:space="preserve"> </w:t>
      </w:r>
      <w:r w:rsidRPr="00734B50">
        <w:rPr>
          <w:rFonts w:eastAsia="Calibri" w:cs="Tahoma"/>
          <w:szCs w:val="18"/>
          <w:lang w:val="pt-BR"/>
        </w:rPr>
        <w:t>O ESLP não está disponível em todos os países e o benefício é concedido por contrato/registro.</w:t>
      </w:r>
    </w:p>
    <w:p w:rsidR="00DF400D" w:rsidRPr="00734B50" w:rsidRDefault="00DF400D" w:rsidP="002D25C8">
      <w:pPr>
        <w:rPr>
          <w:lang w:val="pt-BR"/>
        </w:rPr>
      </w:pPr>
    </w:p>
    <w:p w:rsidR="008A15A8" w:rsidRPr="00734B50" w:rsidRDefault="008A15A8" w:rsidP="002D25C8">
      <w:pPr>
        <w:rPr>
          <w:lang w:val="pt-BR"/>
        </w:rPr>
      </w:pPr>
      <w:r w:rsidRPr="00734B50">
        <w:rPr>
          <w:rFonts w:eastAsia="Calibri" w:cs="Tahoma"/>
          <w:szCs w:val="18"/>
          <w:lang w:val="pt-BR"/>
        </w:rPr>
        <w:t>O formulário de inscrição pode ser baixado no VLSC (Volume Licensing Service Center - Centro de Atendimento de Licenciamento por Volume). A qualificação e as áreas de disponibilidade estão sujeitas aos termos e às condições da</w:t>
      </w:r>
      <w:r w:rsidR="00DC7E2C" w:rsidRPr="00734B50">
        <w:rPr>
          <w:rFonts w:eastAsia="Calibri" w:cs="Tahoma"/>
          <w:szCs w:val="18"/>
          <w:lang w:val="pt-BR"/>
        </w:rPr>
        <w:t> </w:t>
      </w:r>
      <w:r w:rsidRPr="00734B50">
        <w:rPr>
          <w:rFonts w:eastAsia="Calibri" w:cs="Tahoma"/>
          <w:szCs w:val="18"/>
          <w:lang w:val="pt-BR"/>
        </w:rPr>
        <w:t xml:space="preserve">Microsoft (consulte </w:t>
      </w:r>
      <w:hyperlink r:id="rId25" w:history="1">
        <w:r w:rsidRPr="00734B50">
          <w:rPr>
            <w:rFonts w:eastAsia="Calibri" w:cs="Tahoma"/>
            <w:color w:val="0000FF"/>
            <w:szCs w:val="18"/>
            <w:u w:val="single"/>
            <w:lang w:val="pt-BR"/>
          </w:rPr>
          <w:t>www.microsoft.com/resources/sharedsource/Licensing/Enterprise.mspx</w:t>
        </w:r>
      </w:hyperlink>
      <w:r w:rsidRPr="00734B50">
        <w:rPr>
          <w:rFonts w:eastAsia="Calibri" w:cs="Tahoma"/>
          <w:szCs w:val="18"/>
          <w:lang w:val="pt-BR"/>
        </w:rPr>
        <w:t xml:space="preserve"> para obter detalhes). Os programas Academic estão qualificados para o Microsoft Research Source Licensing Program.</w:t>
      </w:r>
    </w:p>
    <w:p w:rsidR="008A15A8" w:rsidRPr="00734B50" w:rsidRDefault="008A15A8" w:rsidP="002D25C8">
      <w:pPr>
        <w:pStyle w:val="Heading3"/>
        <w:rPr>
          <w:lang w:val="pt-BR"/>
        </w:rPr>
      </w:pPr>
    </w:p>
    <w:p w:rsidR="00023FE7" w:rsidRPr="00734B50" w:rsidRDefault="00023FE7" w:rsidP="002D25C8">
      <w:pPr>
        <w:pStyle w:val="Heading3"/>
        <w:rPr>
          <w:lang w:val="pt-BR"/>
        </w:rPr>
      </w:pPr>
      <w:bookmarkStart w:id="792" w:name="_Toc336338236"/>
      <w:bookmarkStart w:id="793" w:name="_Toc353470884"/>
      <w:r w:rsidRPr="00734B50">
        <w:rPr>
          <w:rFonts w:ascii="Tahoma" w:hAnsi="Tahoma" w:cs="Tahoma"/>
          <w:sz w:val="24"/>
          <w:lang w:val="pt-BR"/>
        </w:rPr>
        <w:t>Suporte para Resolução de Problemas 24x7</w:t>
      </w:r>
      <w:bookmarkEnd w:id="792"/>
      <w:bookmarkEnd w:id="793"/>
    </w:p>
    <w:p w:rsidR="00023FE7" w:rsidRPr="00734B50" w:rsidRDefault="00023FE7" w:rsidP="002D25C8">
      <w:pPr>
        <w:rPr>
          <w:lang w:val="pt-BR"/>
        </w:rPr>
      </w:pPr>
    </w:p>
    <w:p w:rsidR="00324479" w:rsidRPr="00734B50" w:rsidRDefault="00324479" w:rsidP="002D25C8">
      <w:pPr>
        <w:rPr>
          <w:lang w:val="pt-BR"/>
        </w:rPr>
      </w:pPr>
      <w:r w:rsidRPr="00734B50">
        <w:rPr>
          <w:rFonts w:cs="Tahoma"/>
          <w:szCs w:val="18"/>
          <w:lang w:val="pt-BR"/>
        </w:rPr>
        <w:t>Os clientes (que não forem de Contratos para Campus e School e Open Value Subscription – Soluções Educacionais) com cobertura do Software Assurance estão qualificados ao Suporte para Resolução de Problemas 24 horas por dia, 7 dias por semana durante o prazo de suas coberturas do Software Assurance.</w:t>
      </w:r>
      <w:r w:rsidR="005A52A2" w:rsidRPr="00734B50">
        <w:rPr>
          <w:rFonts w:cs="Tahoma"/>
          <w:szCs w:val="18"/>
          <w:lang w:val="pt-BR"/>
        </w:rPr>
        <w:t xml:space="preserve"> </w:t>
      </w:r>
    </w:p>
    <w:p w:rsidR="00023FE7" w:rsidRPr="00734B50" w:rsidRDefault="00023FE7" w:rsidP="002D25C8">
      <w:pPr>
        <w:pStyle w:val="AppendixBodyText"/>
        <w:spacing w:after="0"/>
        <w:rPr>
          <w:lang w:val="pt-BR"/>
        </w:rPr>
      </w:pPr>
    </w:p>
    <w:p w:rsidR="00023FE7" w:rsidRPr="00734B50" w:rsidRDefault="00023FE7" w:rsidP="002D25C8">
      <w:pPr>
        <w:pStyle w:val="AppendixBodyText"/>
        <w:spacing w:after="0"/>
        <w:rPr>
          <w:lang w:val="pt-BR"/>
        </w:rPr>
      </w:pPr>
      <w:r w:rsidRPr="00734B50">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5A52A2" w:rsidRPr="00734B50">
        <w:rPr>
          <w:rFonts w:ascii="Tahoma" w:hAnsi="Tahoma" w:cs="Tahoma"/>
          <w:sz w:val="18"/>
          <w:szCs w:val="18"/>
          <w:lang w:val="pt-BR"/>
        </w:rPr>
        <w:t xml:space="preserve"> </w:t>
      </w:r>
      <w:r w:rsidRPr="00734B50">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5A52A2" w:rsidRPr="00734B50">
        <w:rPr>
          <w:rFonts w:ascii="Tahoma" w:hAnsi="Tahoma" w:cs="Tahoma"/>
          <w:sz w:val="18"/>
          <w:szCs w:val="18"/>
          <w:lang w:val="pt-BR"/>
        </w:rPr>
        <w:t xml:space="preserve"> </w:t>
      </w:r>
      <w:r w:rsidRPr="00734B50">
        <w:rPr>
          <w:rFonts w:ascii="Tahoma" w:hAnsi="Tahoma" w:cs="Tahoma"/>
          <w:sz w:val="18"/>
          <w:szCs w:val="18"/>
          <w:lang w:val="pt-BR"/>
        </w:rPr>
        <w:t xml:space="preserve">A Microsoft se reserva o direito de recusar solicitações não razoáveis de serviços de suporte e, às vezes, poderá indicar aos clientes um contrato de nível de serviço adicional que poderá exigir um custo adicional. </w:t>
      </w:r>
    </w:p>
    <w:p w:rsidR="00023FE7" w:rsidRPr="00734B50" w:rsidRDefault="00023FE7" w:rsidP="002D25C8">
      <w:pPr>
        <w:pStyle w:val="AppendixBodyText"/>
        <w:spacing w:after="0"/>
        <w:rPr>
          <w:lang w:val="pt-BR"/>
        </w:rPr>
      </w:pPr>
    </w:p>
    <w:p w:rsidR="00023FE7" w:rsidRPr="00734B50" w:rsidRDefault="00023FE7" w:rsidP="002D25C8">
      <w:pPr>
        <w:pStyle w:val="AppendixBodyText"/>
        <w:spacing w:after="0"/>
        <w:rPr>
          <w:lang w:val="pt-BR"/>
        </w:rPr>
      </w:pPr>
      <w:r w:rsidRPr="00734B50">
        <w:rPr>
          <w:rFonts w:ascii="Tahoma" w:hAnsi="Tahoma" w:cs="Tahoma"/>
          <w:sz w:val="18"/>
          <w:szCs w:val="18"/>
          <w:lang w:val="pt-BR"/>
        </w:rP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rsidR="00DF400D" w:rsidRPr="00734B50" w:rsidRDefault="00DF400D" w:rsidP="002D25C8">
      <w:pPr>
        <w:pStyle w:val="AppendixBodyText"/>
        <w:spacing w:after="0"/>
        <w:rPr>
          <w:lang w:val="pt-BR"/>
        </w:rPr>
      </w:pPr>
    </w:p>
    <w:p w:rsidR="00023FE7" w:rsidRPr="00734B50" w:rsidRDefault="00023FE7" w:rsidP="002D25C8">
      <w:pPr>
        <w:pStyle w:val="AppendixBodyText"/>
        <w:spacing w:after="0"/>
        <w:rPr>
          <w:lang w:val="pt-BR"/>
        </w:rPr>
      </w:pPr>
      <w:r w:rsidRPr="00734B50">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005A52A2" w:rsidRPr="00734B50">
        <w:rPr>
          <w:rFonts w:ascii="Tahoma" w:hAnsi="Tahoma" w:cs="Tahoma"/>
          <w:sz w:val="18"/>
          <w:szCs w:val="18"/>
          <w:lang w:val="pt-BR"/>
        </w:rPr>
        <w:t xml:space="preserve"> </w:t>
      </w:r>
      <w:r w:rsidRPr="00734B50">
        <w:rPr>
          <w:rFonts w:ascii="Tahoma" w:hAnsi="Tahoma" w:cs="Tahoma"/>
          <w:sz w:val="18"/>
          <w:szCs w:val="18"/>
          <w:lang w:val="pt-BR"/>
        </w:rPr>
        <w:t>Um problema único de suporte é um problema que não pode ser subdividido em problemas subordinados.</w:t>
      </w:r>
      <w:r w:rsidR="005A52A2" w:rsidRPr="00734B50">
        <w:rPr>
          <w:rFonts w:ascii="Tahoma" w:hAnsi="Tahoma" w:cs="Tahoma"/>
          <w:sz w:val="18"/>
          <w:szCs w:val="18"/>
          <w:lang w:val="pt-BR"/>
        </w:rPr>
        <w:t xml:space="preserve"> </w:t>
      </w:r>
      <w:r w:rsidRPr="00734B50">
        <w:rPr>
          <w:rFonts w:ascii="Tahoma" w:hAnsi="Tahoma" w:cs="Tahoma"/>
          <w:sz w:val="18"/>
          <w:szCs w:val="18"/>
          <w:lang w:val="pt-BR"/>
        </w:rPr>
        <w:t>Se o problema consistir em problemas subordinados, cada um será considerado um incidente separado.</w:t>
      </w:r>
      <w:r w:rsidR="005A52A2" w:rsidRPr="00734B50">
        <w:rPr>
          <w:rFonts w:ascii="Tahoma" w:hAnsi="Tahoma" w:cs="Tahoma"/>
          <w:sz w:val="18"/>
          <w:szCs w:val="18"/>
          <w:lang w:val="pt-BR"/>
        </w:rPr>
        <w:t xml:space="preserve"> </w:t>
      </w:r>
      <w:r w:rsidRPr="00734B50">
        <w:rPr>
          <w:rFonts w:ascii="Tahoma" w:hAnsi="Tahoma" w:cs="Tahoma"/>
          <w:sz w:val="18"/>
          <w:szCs w:val="18"/>
          <w:lang w:val="pt-BR"/>
        </w:rP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5A52A2" w:rsidRPr="00734B50">
        <w:rPr>
          <w:rFonts w:ascii="Tahoma" w:hAnsi="Tahoma" w:cs="Tahoma"/>
          <w:sz w:val="18"/>
          <w:szCs w:val="18"/>
          <w:lang w:val="pt-BR"/>
        </w:rPr>
        <w:t xml:space="preserve"> </w:t>
      </w:r>
      <w:r w:rsidRPr="00734B50">
        <w:rPr>
          <w:rFonts w:ascii="Tahoma" w:hAnsi="Tahoma" w:cs="Tahoma"/>
          <w:sz w:val="18"/>
          <w:szCs w:val="18"/>
          <w:lang w:val="pt-BR"/>
        </w:rPr>
        <w:t>Os hotfixes são designados para solucionar problemas específicos dos clientes e não são testados quanto à regressão.</w:t>
      </w:r>
      <w:r w:rsidR="005A52A2" w:rsidRPr="00734B50">
        <w:rPr>
          <w:rFonts w:ascii="Tahoma" w:hAnsi="Tahoma" w:cs="Tahoma"/>
          <w:sz w:val="18"/>
          <w:szCs w:val="18"/>
          <w:lang w:val="pt-BR"/>
        </w:rPr>
        <w:t xml:space="preserve"> </w:t>
      </w:r>
      <w:r w:rsidRPr="00734B50">
        <w:rPr>
          <w:rFonts w:ascii="Tahoma" w:hAnsi="Tahoma" w:cs="Tahoma"/>
          <w:sz w:val="18"/>
          <w:szCs w:val="18"/>
          <w:lang w:val="pt-BR"/>
        </w:rPr>
        <w:t>Salvo definição em contrário neste documento, os Hotfixes não podem ser distribuídos a terceiros não afiliados sem a autorização por escrito da Microsoft.</w:t>
      </w:r>
    </w:p>
    <w:p w:rsidR="00023FE7" w:rsidRPr="00734B50" w:rsidRDefault="00023FE7" w:rsidP="002D25C8">
      <w:pPr>
        <w:pStyle w:val="AppendixBodyText"/>
        <w:spacing w:after="0"/>
        <w:rPr>
          <w:lang w:val="pt-BR"/>
        </w:rPr>
      </w:pPr>
    </w:p>
    <w:p w:rsidR="00023FE7" w:rsidRPr="00734B50" w:rsidRDefault="00023FE7" w:rsidP="002D25C8">
      <w:pPr>
        <w:pStyle w:val="AppendixBodyText"/>
        <w:spacing w:after="0"/>
        <w:rPr>
          <w:lang w:val="pt-BR"/>
        </w:rPr>
      </w:pPr>
      <w:r w:rsidRPr="00734B50">
        <w:rPr>
          <w:rFonts w:ascii="Tahoma" w:hAnsi="Tahoma" w:cs="Tahoma"/>
          <w:sz w:val="18"/>
          <w:szCs w:val="18"/>
          <w:lang w:val="pt-BR"/>
        </w:rPr>
        <w:t>Os produtos disponibilizados por meio de Licenciamento por Volume e que estejam atualmente no Suporte Base, conforme estabelecido na</w:t>
      </w:r>
      <w:r w:rsidR="00A23361" w:rsidRPr="00734B50">
        <w:rPr>
          <w:rFonts w:ascii="Tahoma" w:hAnsi="Tahoma" w:cs="Tahoma"/>
          <w:sz w:val="18"/>
          <w:szCs w:val="18"/>
          <w:lang w:val="pt-BR"/>
        </w:rPr>
        <w:t xml:space="preserve"> </w:t>
      </w:r>
      <w:hyperlink r:id="rId26" w:history="1">
        <w:r w:rsidRPr="00734B50">
          <w:rPr>
            <w:rStyle w:val="Hyperlink"/>
            <w:rFonts w:ascii="Tahoma" w:hAnsi="Tahoma" w:cs="Tahoma"/>
            <w:sz w:val="18"/>
            <w:szCs w:val="18"/>
            <w:lang w:val="pt-BR"/>
          </w:rPr>
          <w:t>Política do Ciclo de Vida de Suporte da Microsoft</w:t>
        </w:r>
      </w:hyperlink>
      <w:r w:rsidR="005A52A2" w:rsidRPr="00734B50">
        <w:rPr>
          <w:rFonts w:ascii="Tahoma" w:hAnsi="Tahoma" w:cs="Tahoma"/>
          <w:sz w:val="18"/>
          <w:szCs w:val="18"/>
          <w:lang w:val="pt-BR"/>
        </w:rPr>
        <w:t xml:space="preserve"> </w:t>
      </w:r>
      <w:r w:rsidRPr="00734B50">
        <w:rPr>
          <w:rFonts w:ascii="Tahoma" w:hAnsi="Tahoma" w:cs="Tahoma"/>
          <w:color w:val="000000"/>
          <w:sz w:val="18"/>
          <w:szCs w:val="18"/>
          <w:lang w:val="pt-BR"/>
        </w:rPr>
        <w:t>estão qualificados ao Suporte para Resolução de Problemas 24 horas por dia, 7 dias por semana.</w:t>
      </w:r>
      <w:r w:rsidR="005A52A2"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w:t>
      </w:r>
      <w:r w:rsidR="00A23361" w:rsidRPr="00734B50">
        <w:rPr>
          <w:rFonts w:ascii="Tahoma" w:hAnsi="Tahoma" w:cs="Tahoma"/>
          <w:color w:val="000000"/>
          <w:sz w:val="18"/>
          <w:szCs w:val="18"/>
          <w:lang w:val="pt-BR"/>
        </w:rPr>
        <w:t> </w:t>
      </w:r>
      <w:r w:rsidRPr="00734B50">
        <w:rPr>
          <w:rFonts w:ascii="Tahoma" w:hAnsi="Tahoma" w:cs="Tahoma"/>
          <w:color w:val="000000"/>
          <w:sz w:val="18"/>
          <w:szCs w:val="18"/>
          <w:lang w:val="pt-BR"/>
        </w:rPr>
        <w:t>seção Prêmios de Incidentes de Suporte pelo Telefone.</w:t>
      </w:r>
      <w:r w:rsidR="005A52A2"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Consulte a seção específica do produto neste documento para verificar a política de serviço e suporte.</w:t>
      </w:r>
      <w:r w:rsidR="005A52A2"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Versões anteriores de produtos atualmente no Suporte Base que foram escolhidos pelos clientes para serem usados em vez da versão licenciada atual também estão qualificadas.</w:t>
      </w:r>
      <w:r w:rsidR="005A52A2" w:rsidRPr="00734B50">
        <w:rPr>
          <w:rFonts w:ascii="Tahoma" w:hAnsi="Tahoma" w:cs="Tahoma"/>
          <w:color w:val="000000"/>
          <w:sz w:val="18"/>
          <w:szCs w:val="18"/>
          <w:lang w:val="pt-BR"/>
        </w:rPr>
        <w:t xml:space="preserve"> </w:t>
      </w:r>
      <w:r w:rsidRPr="00734B50">
        <w:rPr>
          <w:rFonts w:ascii="Tahoma" w:hAnsi="Tahoma" w:cs="Tahoma"/>
          <w:color w:val="000000"/>
          <w:sz w:val="18"/>
          <w:szCs w:val="18"/>
          <w:lang w:val="pt-BR"/>
        </w:rPr>
        <w:t>A edição Developer Edition de todos os servidores, os produtos HED e as Assinaturas do MSDN estão excluídos.</w:t>
      </w:r>
    </w:p>
    <w:p w:rsidR="00023FE7" w:rsidRPr="00734B50" w:rsidRDefault="00023FE7" w:rsidP="002D25C8">
      <w:pPr>
        <w:pStyle w:val="AppendixBodyText"/>
        <w:spacing w:after="0"/>
        <w:rPr>
          <w:lang w:val="pt-BR"/>
        </w:rPr>
      </w:pPr>
    </w:p>
    <w:p w:rsidR="00AD353C" w:rsidRPr="00734B50" w:rsidRDefault="00AD353C" w:rsidP="002D25C8">
      <w:pPr>
        <w:pStyle w:val="AppendixBodyText"/>
        <w:spacing w:after="0"/>
        <w:rPr>
          <w:lang w:val="pt-BR"/>
        </w:rPr>
      </w:pPr>
    </w:p>
    <w:p w:rsidR="00AD353C" w:rsidRPr="00734B50" w:rsidRDefault="00AD353C" w:rsidP="002D25C8">
      <w:pPr>
        <w:pStyle w:val="AppendixBodyText"/>
        <w:spacing w:after="0"/>
        <w:rPr>
          <w:lang w:val="pt-BR"/>
        </w:rPr>
      </w:pPr>
    </w:p>
    <w:p w:rsidR="00023FE7" w:rsidRPr="00734B50" w:rsidRDefault="00023FE7" w:rsidP="002D25C8">
      <w:pPr>
        <w:pStyle w:val="AppendixBodyText"/>
        <w:spacing w:after="0"/>
        <w:rPr>
          <w:lang w:val="pt-BR"/>
        </w:rPr>
      </w:pPr>
      <w:r w:rsidRPr="00734B50">
        <w:rPr>
          <w:rFonts w:ascii="Tahoma" w:hAnsi="Tahoma" w:cs="Tahoma"/>
          <w:sz w:val="18"/>
          <w:szCs w:val="18"/>
          <w:lang w:val="pt-BR"/>
        </w:rPr>
        <w:lastRenderedPageBreak/>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A23361" w:rsidRPr="00734B50" w:rsidRDefault="00A23361" w:rsidP="002D25C8">
      <w:pPr>
        <w:pStyle w:val="AppendixBodyText"/>
        <w:spacing w:after="0"/>
        <w:rPr>
          <w:lang w:val="pt-BR"/>
        </w:rPr>
      </w:pPr>
    </w:p>
    <w:p w:rsidR="00023FE7" w:rsidRPr="00734B50" w:rsidRDefault="00023FE7" w:rsidP="002D25C8">
      <w:pPr>
        <w:pStyle w:val="AppendixBodyText"/>
        <w:spacing w:after="0"/>
        <w:rPr>
          <w:lang w:val="pt-BR"/>
        </w:rPr>
      </w:pPr>
      <w:r w:rsidRPr="00734B50">
        <w:rPr>
          <w:rFonts w:ascii="Tahoma" w:hAnsi="Tahoma" w:cs="Tahoma"/>
          <w:sz w:val="18"/>
          <w:szCs w:val="18"/>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w:t>
      </w:r>
      <w:r w:rsidR="00A23361" w:rsidRPr="00734B50">
        <w:rPr>
          <w:rFonts w:ascii="Tahoma" w:hAnsi="Tahoma" w:cs="Tahoma"/>
          <w:sz w:val="18"/>
          <w:szCs w:val="18"/>
          <w:lang w:val="pt-BR"/>
        </w:rPr>
        <w:t> </w:t>
      </w:r>
      <w:r w:rsidRPr="00734B50">
        <w:rPr>
          <w:rFonts w:ascii="Tahoma" w:hAnsi="Tahoma" w:cs="Tahoma"/>
          <w:sz w:val="18"/>
          <w:szCs w:val="18"/>
          <w:lang w:val="pt-BR"/>
        </w:rPr>
        <w:t>cliente.</w:t>
      </w:r>
    </w:p>
    <w:p w:rsidR="00023FE7" w:rsidRPr="00734B50" w:rsidRDefault="00023FE7" w:rsidP="002D25C8">
      <w:pPr>
        <w:pStyle w:val="AppendixBodyText"/>
        <w:spacing w:after="0"/>
        <w:rPr>
          <w:lang w:val="pt-BR"/>
        </w:rPr>
      </w:pPr>
    </w:p>
    <w:p w:rsidR="00023FE7" w:rsidRPr="00734B50" w:rsidRDefault="00023FE7" w:rsidP="002D25C8">
      <w:pPr>
        <w:pStyle w:val="AppendixBodyText"/>
        <w:spacing w:after="0"/>
        <w:rPr>
          <w:lang w:val="pt-BR"/>
        </w:rPr>
      </w:pPr>
      <w:r w:rsidRPr="00734B50">
        <w:rPr>
          <w:rFonts w:ascii="Tahoma" w:hAnsi="Tahoma" w:cs="Tahoma"/>
          <w:sz w:val="18"/>
          <w:szCs w:val="18"/>
          <w:lang w:val="pt-BR"/>
        </w:rPr>
        <w:t>O suporte pode ser iniciado por meio do envio de incidentes de maneira eletrônica via Web ou por telefone. Cláusulas diferentes aplicam-se a cada tipo de meio.</w:t>
      </w:r>
      <w:r w:rsidR="005A52A2" w:rsidRPr="00734B50">
        <w:rPr>
          <w:rFonts w:ascii="Tahoma" w:hAnsi="Tahoma" w:cs="Tahoma"/>
          <w:sz w:val="18"/>
          <w:szCs w:val="18"/>
          <w:lang w:val="pt-BR"/>
        </w:rPr>
        <w:t xml:space="preserve"> </w:t>
      </w:r>
      <w:r w:rsidRPr="00734B50">
        <w:rPr>
          <w:rFonts w:ascii="Tahoma" w:hAnsi="Tahoma" w:cs="Tahoma"/>
          <w:sz w:val="18"/>
          <w:szCs w:val="18"/>
          <w:lang w:val="pt-BR"/>
        </w:rPr>
        <w:t>O Suporte para Resolução de Problemas 24x7 premia os clientes</w:t>
      </w:r>
      <w:r w:rsidR="00A23361" w:rsidRPr="00734B50">
        <w:rPr>
          <w:rFonts w:ascii="Tahoma" w:hAnsi="Tahoma" w:cs="Tahoma"/>
          <w:sz w:val="18"/>
          <w:szCs w:val="18"/>
          <w:lang w:val="pt-BR"/>
        </w:rPr>
        <w:t> </w:t>
      </w:r>
      <w:r w:rsidRPr="00734B50">
        <w:rPr>
          <w:rFonts w:ascii="Tahoma" w:hAnsi="Tahoma" w:cs="Tahoma"/>
          <w:sz w:val="18"/>
          <w:szCs w:val="18"/>
          <w:lang w:val="pt-BR"/>
        </w:rPr>
        <w:t>com uma quantidade de incidentes e contatos para iniciar tais incidentes, conforme descrito a seguir.</w:t>
      </w:r>
    </w:p>
    <w:p w:rsidR="00023FE7" w:rsidRPr="00734B50" w:rsidRDefault="00023FE7" w:rsidP="002D25C8">
      <w:pPr>
        <w:pStyle w:val="AppendixBodyText"/>
        <w:spacing w:after="0"/>
        <w:rPr>
          <w:lang w:val="pt-BR"/>
        </w:rPr>
      </w:pPr>
    </w:p>
    <w:p w:rsidR="00023FE7" w:rsidRPr="00734B50" w:rsidRDefault="00023FE7" w:rsidP="00DA2788">
      <w:pPr>
        <w:spacing w:after="60"/>
        <w:rPr>
          <w:lang w:val="pt-BR"/>
        </w:rPr>
      </w:pPr>
      <w:bookmarkStart w:id="794" w:name="_Toc240899163"/>
      <w:r w:rsidRPr="00734B50">
        <w:rPr>
          <w:rFonts w:cs="Tahoma"/>
          <w:b/>
          <w:szCs w:val="20"/>
          <w:lang w:val="pt-BR"/>
        </w:rPr>
        <w:t>Prêmios de Incidentes de Suporte pelo Telefone</w:t>
      </w:r>
      <w:bookmarkEnd w:id="794"/>
    </w:p>
    <w:p w:rsidR="00023FE7" w:rsidRPr="00C50FD1" w:rsidRDefault="00023FE7" w:rsidP="002D25C8">
      <w:pPr>
        <w:pStyle w:val="AppendixBodyText"/>
        <w:spacing w:after="0"/>
        <w:rPr>
          <w:lang w:val="pt-BR"/>
        </w:rPr>
      </w:pPr>
      <w:r w:rsidRPr="00734B50">
        <w:rPr>
          <w:rFonts w:ascii="Tahoma" w:hAnsi="Tahoma" w:cs="Tahoma"/>
          <w:sz w:val="18"/>
          <w:szCs w:val="18"/>
          <w:lang w:val="pt-BR"/>
        </w:rPr>
        <w:t>O número de incidentes de suporte por telefone permitidos varia por cliente com base em seus gastos de SA e sua forma de pagamento.</w:t>
      </w:r>
      <w:r w:rsidR="005A52A2" w:rsidRPr="00734B50">
        <w:rPr>
          <w:rFonts w:ascii="Tahoma" w:hAnsi="Tahoma" w:cs="Tahoma"/>
          <w:sz w:val="18"/>
          <w:szCs w:val="18"/>
          <w:lang w:val="pt-BR"/>
        </w:rPr>
        <w:t xml:space="preserve"> </w:t>
      </w:r>
      <w:r w:rsidRPr="00734B50">
        <w:rPr>
          <w:rFonts w:ascii="Tahoma" w:hAnsi="Tahoma" w:cs="Tahoma"/>
          <w:sz w:val="18"/>
          <w:lang w:val="pt-BR"/>
        </w:rPr>
        <w:t>Para esses fins, “gastos de SA” não são literalmente os gastos reais em dólares do cliente.</w:t>
      </w:r>
      <w:r w:rsidR="005A52A2" w:rsidRPr="00734B50">
        <w:rPr>
          <w:rFonts w:ascii="Tahoma" w:hAnsi="Tahoma" w:cs="Tahoma"/>
          <w:sz w:val="18"/>
          <w:lang w:val="pt-BR"/>
        </w:rPr>
        <w:t xml:space="preserve"> </w:t>
      </w:r>
      <w:r w:rsidRPr="00C50FD1">
        <w:rPr>
          <w:rFonts w:ascii="Tahoma" w:hAnsi="Tahoma" w:cs="Tahoma"/>
          <w:sz w:val="18"/>
          <w:lang w:val="pt-BR"/>
        </w:rPr>
        <w:t>Trata-se de uma aproximação do que um cliente gastou na cobertura de Software Assurance para esses produtos. Para os clien</w:t>
      </w:r>
      <w:r w:rsidRPr="00C50FD1">
        <w:rPr>
          <w:rFonts w:ascii="Tahoma" w:hAnsi="Tahoma" w:cs="Tahoma"/>
          <w:sz w:val="18"/>
          <w:szCs w:val="18"/>
          <w:lang w:val="pt-BR"/>
        </w:rPr>
        <w:t>tes sob programas de assinatura, esses gastos são uma aproximação do valor total em dólares que o</w:t>
      </w:r>
      <w:r w:rsidR="00A23361" w:rsidRPr="00C50FD1">
        <w:rPr>
          <w:rFonts w:ascii="Tahoma" w:hAnsi="Tahoma" w:cs="Tahoma"/>
          <w:sz w:val="18"/>
          <w:szCs w:val="18"/>
          <w:lang w:val="pt-BR"/>
        </w:rPr>
        <w:t> </w:t>
      </w:r>
      <w:r w:rsidRPr="00C50FD1">
        <w:rPr>
          <w:rFonts w:ascii="Tahoma" w:hAnsi="Tahoma" w:cs="Tahoma"/>
          <w:sz w:val="18"/>
          <w:szCs w:val="18"/>
          <w:lang w:val="pt-BR"/>
        </w:rPr>
        <w:t>cliente gastou com o licenciamento desses produtos sob seu registro ou contrato.</w:t>
      </w:r>
      <w:r w:rsidR="005A52A2" w:rsidRPr="00C50FD1">
        <w:rPr>
          <w:rFonts w:ascii="Tahoma" w:hAnsi="Tahoma" w:cs="Tahoma"/>
          <w:sz w:val="18"/>
          <w:szCs w:val="18"/>
          <w:lang w:val="pt-BR"/>
        </w:rPr>
        <w:t xml:space="preserve"> </w:t>
      </w:r>
      <w:r w:rsidRPr="00C50FD1">
        <w:rPr>
          <w:rFonts w:ascii="Tahoma" w:hAnsi="Tahoma" w:cs="Tahoma"/>
          <w:sz w:val="18"/>
          <w:szCs w:val="18"/>
          <w:lang w:val="pt-BR"/>
        </w:rPr>
        <w:t>O incidente complementar é</w:t>
      </w:r>
      <w:r w:rsidR="00A23361" w:rsidRPr="00C50FD1">
        <w:rPr>
          <w:rFonts w:ascii="Tahoma" w:hAnsi="Tahoma" w:cs="Tahoma"/>
          <w:sz w:val="18"/>
          <w:szCs w:val="18"/>
          <w:lang w:val="pt-BR"/>
        </w:rPr>
        <w:t> </w:t>
      </w:r>
      <w:r w:rsidRPr="00C50FD1">
        <w:rPr>
          <w:rFonts w:ascii="Tahoma" w:hAnsi="Tahoma" w:cs="Tahoma"/>
          <w:sz w:val="18"/>
          <w:szCs w:val="18"/>
          <w:lang w:val="pt-BR"/>
        </w:rPr>
        <w:t>concedido de acordo com os registros Enterprise e Select, o registro Select Plus e o contrato Open Value com cobertura do SA a pelo menos um produto de software de Servidor qualificado.</w:t>
      </w:r>
    </w:p>
    <w:p w:rsidR="00F42FB8" w:rsidRPr="00C50FD1" w:rsidRDefault="00F42FB8" w:rsidP="002D25C8">
      <w:pPr>
        <w:pStyle w:val="AppendixBodyText"/>
        <w:spacing w:after="0"/>
        <w:rPr>
          <w:lang w:val="pt-BR"/>
        </w:rPr>
      </w:pPr>
    </w:p>
    <w:tbl>
      <w:tblPr>
        <w:tblW w:w="883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0"/>
        <w:gridCol w:w="1332"/>
        <w:gridCol w:w="2556"/>
        <w:gridCol w:w="2880"/>
      </w:tblGrid>
      <w:tr w:rsidR="00613BBB" w:rsidRPr="00653421" w:rsidTr="00AD353C">
        <w:trPr>
          <w:trHeight w:val="178"/>
          <w:tblHeader/>
        </w:trPr>
        <w:tc>
          <w:tcPr>
            <w:tcW w:w="207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53421" w:rsidRDefault="00613BBB" w:rsidP="00F42FB8">
            <w:pPr>
              <w:pStyle w:val="AppendixBodyText"/>
              <w:rPr>
                <w:rFonts w:ascii="Tahoma" w:hAnsi="Tahoma" w:cs="Tahoma"/>
                <w:b/>
                <w:bCs/>
              </w:rPr>
            </w:pPr>
            <w:r w:rsidRPr="00653421">
              <w:rPr>
                <w:rFonts w:ascii="Tahoma" w:hAnsi="Tahoma" w:cs="Tahoma"/>
                <w:b/>
                <w:bCs/>
              </w:rPr>
              <w:t>Nome da Moeda</w:t>
            </w:r>
          </w:p>
        </w:tc>
        <w:tc>
          <w:tcPr>
            <w:tcW w:w="1332"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53421" w:rsidRDefault="00613BBB" w:rsidP="00F42FB8">
            <w:pPr>
              <w:pStyle w:val="AppendixBodyText"/>
              <w:rPr>
                <w:rFonts w:ascii="Tahoma" w:hAnsi="Tahoma" w:cs="Tahoma"/>
                <w:b/>
                <w:bCs/>
              </w:rPr>
            </w:pPr>
            <w:r w:rsidRPr="00653421">
              <w:rPr>
                <w:rFonts w:ascii="Tahoma" w:hAnsi="Tahoma" w:cs="Tahoma"/>
                <w:b/>
                <w:bCs/>
              </w:rPr>
              <w:t>Código da Moeda</w:t>
            </w:r>
          </w:p>
        </w:tc>
        <w:tc>
          <w:tcPr>
            <w:tcW w:w="2556"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53421" w:rsidRDefault="00613BBB" w:rsidP="00F42FB8">
            <w:pPr>
              <w:pStyle w:val="AppendixBodyText"/>
            </w:pPr>
            <w:r w:rsidRPr="00653421">
              <w:rPr>
                <w:rFonts w:ascii="Tahoma" w:hAnsi="Tahoma" w:cs="Tahoma"/>
                <w:b/>
                <w:bCs/>
              </w:rPr>
              <w:t>Servidor/CAL</w:t>
            </w:r>
          </w:p>
          <w:p w:rsidR="00613BBB" w:rsidRPr="00653421" w:rsidRDefault="00613BBB" w:rsidP="00F42FB8">
            <w:pPr>
              <w:pStyle w:val="AppendixBodyText"/>
              <w:rPr>
                <w:rFonts w:ascii="Tahoma" w:hAnsi="Tahoma" w:cs="Tahoma"/>
                <w:b/>
                <w:bCs/>
              </w:rPr>
            </w:pPr>
            <w:r w:rsidRPr="00653421">
              <w:rPr>
                <w:rFonts w:ascii="Tahoma" w:hAnsi="Tahoma" w:cs="Tahoma"/>
                <w:b/>
                <w:bCs/>
              </w:rPr>
              <w:t>Incrementos de Prêmios de Incidentes</w:t>
            </w:r>
          </w:p>
        </w:tc>
        <w:tc>
          <w:tcPr>
            <w:tcW w:w="288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53421" w:rsidRDefault="00613BBB" w:rsidP="00F42FB8">
            <w:pPr>
              <w:pStyle w:val="AppendixBodyText"/>
            </w:pPr>
            <w:r w:rsidRPr="00653421">
              <w:rPr>
                <w:rFonts w:ascii="Tahoma" w:hAnsi="Tahoma" w:cs="Tahoma"/>
                <w:b/>
                <w:bCs/>
              </w:rPr>
              <w:t>IW/Cliente</w:t>
            </w:r>
          </w:p>
          <w:p w:rsidR="00613BBB" w:rsidRPr="00653421" w:rsidRDefault="00613BBB" w:rsidP="00F42FB8">
            <w:pPr>
              <w:pStyle w:val="AppendixBodyText"/>
              <w:rPr>
                <w:rFonts w:ascii="Tahoma" w:hAnsi="Tahoma" w:cs="Tahoma"/>
                <w:b/>
                <w:bCs/>
              </w:rPr>
            </w:pPr>
            <w:r w:rsidRPr="00653421">
              <w:rPr>
                <w:rFonts w:ascii="Tahoma" w:hAnsi="Tahoma" w:cs="Tahoma"/>
                <w:b/>
                <w:bCs/>
              </w:rPr>
              <w:t>Incrementos de Prêmios de Incidentes</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Dólar Americano</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USD</w:t>
            </w:r>
          </w:p>
        </w:tc>
        <w:tc>
          <w:tcPr>
            <w:tcW w:w="2556"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$20</w:t>
            </w:r>
            <w:r w:rsidR="00A23361" w:rsidRPr="00653421">
              <w:rPr>
                <w:rFonts w:ascii="Tahoma" w:hAnsi="Tahoma" w:cs="Tahoma"/>
                <w:sz w:val="18"/>
                <w:szCs w:val="18"/>
              </w:rPr>
              <w:t>.</w:t>
            </w:r>
            <w:r w:rsidRPr="00653421">
              <w:rPr>
                <w:rFonts w:ascii="Tahoma" w:hAnsi="Tahoma" w:cs="Tahoma"/>
                <w:sz w:val="18"/>
                <w:szCs w:val="18"/>
              </w:rPr>
              <w:t>000</w:t>
            </w:r>
          </w:p>
        </w:tc>
        <w:tc>
          <w:tcPr>
            <w:tcW w:w="2880"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$200</w:t>
            </w:r>
            <w:r w:rsidR="00A23361" w:rsidRPr="00653421">
              <w:rPr>
                <w:rFonts w:ascii="Tahoma" w:hAnsi="Tahoma" w:cs="Tahoma"/>
                <w:sz w:val="18"/>
                <w:szCs w:val="18"/>
              </w:rPr>
              <w:t>.</w:t>
            </w:r>
            <w:r w:rsidRPr="00653421">
              <w:rPr>
                <w:rFonts w:ascii="Tahoma" w:hAnsi="Tahoma" w:cs="Tahoma"/>
                <w:sz w:val="18"/>
                <w:szCs w:val="18"/>
              </w:rPr>
              <w:t>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Dólar Australiano</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AUD</w:t>
            </w:r>
          </w:p>
        </w:tc>
        <w:tc>
          <w:tcPr>
            <w:tcW w:w="2556"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30</w:t>
            </w:r>
            <w:r w:rsidR="00A23361" w:rsidRPr="00653421">
              <w:rPr>
                <w:rFonts w:ascii="Tahoma" w:hAnsi="Tahoma" w:cs="Tahoma"/>
                <w:sz w:val="18"/>
                <w:szCs w:val="18"/>
              </w:rPr>
              <w:t>.</w:t>
            </w:r>
            <w:r w:rsidRPr="00653421">
              <w:rPr>
                <w:rFonts w:ascii="Tahoma" w:hAnsi="Tahoma" w:cs="Tahoma"/>
                <w:sz w:val="18"/>
                <w:szCs w:val="18"/>
              </w:rPr>
              <w:t>000</w:t>
            </w:r>
          </w:p>
        </w:tc>
        <w:tc>
          <w:tcPr>
            <w:tcW w:w="2880"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300</w:t>
            </w:r>
            <w:r w:rsidR="00A23361" w:rsidRPr="00653421">
              <w:rPr>
                <w:rFonts w:ascii="Tahoma" w:hAnsi="Tahoma" w:cs="Tahoma"/>
                <w:sz w:val="18"/>
                <w:szCs w:val="18"/>
              </w:rPr>
              <w:t>.</w:t>
            </w:r>
            <w:r w:rsidRPr="00653421">
              <w:rPr>
                <w:rFonts w:ascii="Tahoma" w:hAnsi="Tahoma" w:cs="Tahoma"/>
                <w:sz w:val="18"/>
                <w:szCs w:val="18"/>
              </w:rPr>
              <w:t>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Dólar Canadense</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CAD</w:t>
            </w:r>
          </w:p>
        </w:tc>
        <w:tc>
          <w:tcPr>
            <w:tcW w:w="2556"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27</w:t>
            </w:r>
            <w:r w:rsidR="00A23361" w:rsidRPr="00653421">
              <w:rPr>
                <w:rFonts w:ascii="Tahoma" w:hAnsi="Tahoma" w:cs="Tahoma"/>
                <w:sz w:val="18"/>
                <w:szCs w:val="18"/>
              </w:rPr>
              <w:t>.</w:t>
            </w:r>
            <w:r w:rsidRPr="00653421">
              <w:rPr>
                <w:rFonts w:ascii="Tahoma" w:hAnsi="Tahoma" w:cs="Tahoma"/>
                <w:sz w:val="18"/>
                <w:szCs w:val="18"/>
              </w:rPr>
              <w:t>000</w:t>
            </w:r>
          </w:p>
        </w:tc>
        <w:tc>
          <w:tcPr>
            <w:tcW w:w="2880"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270</w:t>
            </w:r>
            <w:r w:rsidR="00A23361" w:rsidRPr="00653421">
              <w:rPr>
                <w:rFonts w:ascii="Tahoma" w:hAnsi="Tahoma" w:cs="Tahoma"/>
                <w:sz w:val="18"/>
                <w:szCs w:val="18"/>
              </w:rPr>
              <w:t>.</w:t>
            </w:r>
            <w:r w:rsidRPr="00653421">
              <w:rPr>
                <w:rFonts w:ascii="Tahoma" w:hAnsi="Tahoma" w:cs="Tahoma"/>
                <w:sz w:val="18"/>
                <w:szCs w:val="18"/>
              </w:rPr>
              <w:t>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Franco Suíço</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CHF</w:t>
            </w:r>
          </w:p>
        </w:tc>
        <w:tc>
          <w:tcPr>
            <w:tcW w:w="2556"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S Fr. 33</w:t>
            </w:r>
            <w:r w:rsidR="00A23361" w:rsidRPr="00653421">
              <w:rPr>
                <w:rFonts w:ascii="Tahoma" w:hAnsi="Tahoma" w:cs="Tahoma"/>
                <w:sz w:val="18"/>
                <w:szCs w:val="18"/>
              </w:rPr>
              <w:t>.</w:t>
            </w:r>
            <w:r w:rsidRPr="00653421">
              <w:rPr>
                <w:rFonts w:ascii="Tahoma" w:hAnsi="Tahoma" w:cs="Tahoma"/>
                <w:sz w:val="18"/>
                <w:szCs w:val="18"/>
              </w:rPr>
              <w:t>000</w:t>
            </w:r>
          </w:p>
        </w:tc>
        <w:tc>
          <w:tcPr>
            <w:tcW w:w="2880"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S Fr. 330</w:t>
            </w:r>
            <w:r w:rsidR="00A23361" w:rsidRPr="00653421">
              <w:rPr>
                <w:rFonts w:ascii="Tahoma" w:hAnsi="Tahoma" w:cs="Tahoma"/>
                <w:sz w:val="18"/>
                <w:szCs w:val="18"/>
              </w:rPr>
              <w:t>.</w:t>
            </w:r>
            <w:r w:rsidRPr="00653421">
              <w:rPr>
                <w:rFonts w:ascii="Tahoma" w:hAnsi="Tahoma" w:cs="Tahoma"/>
                <w:sz w:val="18"/>
                <w:szCs w:val="18"/>
              </w:rPr>
              <w:t>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Iuan Renmimbi (China)</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CNY</w:t>
            </w:r>
          </w:p>
        </w:tc>
        <w:tc>
          <w:tcPr>
            <w:tcW w:w="2556"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CRC 165.000</w:t>
            </w:r>
          </w:p>
        </w:tc>
        <w:tc>
          <w:tcPr>
            <w:tcW w:w="288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CRC 1.650.000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Coroa Dinamarquesa</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DKK</w:t>
            </w:r>
          </w:p>
        </w:tc>
        <w:tc>
          <w:tcPr>
            <w:tcW w:w="2556"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kr 160.000</w:t>
            </w:r>
          </w:p>
        </w:tc>
        <w:tc>
          <w:tcPr>
            <w:tcW w:w="288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kr 1.600.000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Euro</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EUR</w:t>
            </w:r>
          </w:p>
        </w:tc>
        <w:tc>
          <w:tcPr>
            <w:tcW w:w="2556"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21</w:t>
            </w:r>
            <w:r w:rsidR="00A23361" w:rsidRPr="00653421">
              <w:rPr>
                <w:rFonts w:ascii="Tahoma" w:hAnsi="Tahoma" w:cs="Tahoma"/>
                <w:sz w:val="18"/>
                <w:szCs w:val="18"/>
              </w:rPr>
              <w:t>.</w:t>
            </w:r>
            <w:r w:rsidRPr="00653421">
              <w:rPr>
                <w:rFonts w:ascii="Tahoma" w:hAnsi="Tahoma" w:cs="Tahoma"/>
                <w:sz w:val="18"/>
                <w:szCs w:val="18"/>
              </w:rPr>
              <w:t>500</w:t>
            </w:r>
          </w:p>
        </w:tc>
        <w:tc>
          <w:tcPr>
            <w:tcW w:w="2880"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215</w:t>
            </w:r>
            <w:r w:rsidR="00A23361" w:rsidRPr="00653421">
              <w:rPr>
                <w:rFonts w:ascii="Tahoma" w:hAnsi="Tahoma" w:cs="Tahoma"/>
                <w:sz w:val="18"/>
                <w:szCs w:val="18"/>
              </w:rPr>
              <w:t>.</w:t>
            </w:r>
            <w:r w:rsidRPr="00653421">
              <w:rPr>
                <w:rFonts w:ascii="Tahoma" w:hAnsi="Tahoma" w:cs="Tahoma"/>
                <w:sz w:val="18"/>
                <w:szCs w:val="18"/>
              </w:rPr>
              <w:t>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Libra Esterlina</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GBP</w:t>
            </w:r>
          </w:p>
        </w:tc>
        <w:tc>
          <w:tcPr>
            <w:tcW w:w="2556"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£13</w:t>
            </w:r>
            <w:r w:rsidR="00A23361" w:rsidRPr="00653421">
              <w:rPr>
                <w:rFonts w:ascii="Tahoma" w:hAnsi="Tahoma" w:cs="Tahoma"/>
                <w:sz w:val="18"/>
                <w:szCs w:val="18"/>
              </w:rPr>
              <w:t>.</w:t>
            </w:r>
            <w:r w:rsidRPr="00653421">
              <w:rPr>
                <w:rFonts w:ascii="Tahoma" w:hAnsi="Tahoma" w:cs="Tahoma"/>
                <w:sz w:val="18"/>
                <w:szCs w:val="18"/>
              </w:rPr>
              <w:t>500</w:t>
            </w:r>
          </w:p>
        </w:tc>
        <w:tc>
          <w:tcPr>
            <w:tcW w:w="2880"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£135</w:t>
            </w:r>
            <w:r w:rsidR="00A23361" w:rsidRPr="00653421">
              <w:rPr>
                <w:rFonts w:ascii="Tahoma" w:hAnsi="Tahoma" w:cs="Tahoma"/>
                <w:sz w:val="18"/>
                <w:szCs w:val="18"/>
              </w:rPr>
              <w:t>.</w:t>
            </w:r>
            <w:r w:rsidRPr="00653421">
              <w:rPr>
                <w:rFonts w:ascii="Tahoma" w:hAnsi="Tahoma" w:cs="Tahoma"/>
                <w:sz w:val="18"/>
                <w:szCs w:val="18"/>
              </w:rPr>
              <w:t>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Iene Japonês</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JPY</w:t>
            </w:r>
          </w:p>
        </w:tc>
        <w:tc>
          <w:tcPr>
            <w:tcW w:w="2556"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JPY 2.400.000</w:t>
            </w:r>
          </w:p>
        </w:tc>
        <w:tc>
          <w:tcPr>
            <w:tcW w:w="288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JPY 24.000.000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Won Coreano</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KRW</w:t>
            </w:r>
          </w:p>
        </w:tc>
        <w:tc>
          <w:tcPr>
            <w:tcW w:w="2556"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KWD 24.000.000</w:t>
            </w:r>
          </w:p>
        </w:tc>
        <w:tc>
          <w:tcPr>
            <w:tcW w:w="288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KWD 240.000.000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Coroa Norueguesa</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NOK</w:t>
            </w:r>
          </w:p>
        </w:tc>
        <w:tc>
          <w:tcPr>
            <w:tcW w:w="2556"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kr 165.000</w:t>
            </w:r>
          </w:p>
        </w:tc>
        <w:tc>
          <w:tcPr>
            <w:tcW w:w="288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kr 1.650.000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Dólar Neozelandês</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NZD</w:t>
            </w:r>
          </w:p>
        </w:tc>
        <w:tc>
          <w:tcPr>
            <w:tcW w:w="2556" w:type="dxa"/>
            <w:vAlign w:val="bottom"/>
          </w:tcPr>
          <w:p w:rsidR="00613BBB" w:rsidRPr="00653421" w:rsidRDefault="00613BBB" w:rsidP="00A23361">
            <w:pPr>
              <w:pStyle w:val="AppendixBodyText"/>
              <w:rPr>
                <w:rFonts w:ascii="Tahoma" w:hAnsi="Tahoma" w:cs="Tahoma"/>
                <w:sz w:val="18"/>
                <w:szCs w:val="18"/>
              </w:rPr>
            </w:pPr>
            <w:r w:rsidRPr="00653421">
              <w:rPr>
                <w:rFonts w:ascii="Tahoma" w:hAnsi="Tahoma" w:cs="Tahoma"/>
                <w:sz w:val="18"/>
                <w:szCs w:val="18"/>
              </w:rPr>
              <w:t>35</w:t>
            </w:r>
            <w:r w:rsidR="00A23361" w:rsidRPr="00653421">
              <w:rPr>
                <w:rFonts w:ascii="Tahoma" w:hAnsi="Tahoma" w:cs="Tahoma"/>
                <w:sz w:val="18"/>
                <w:szCs w:val="18"/>
              </w:rPr>
              <w:t>.</w:t>
            </w:r>
            <w:r w:rsidRPr="00653421">
              <w:rPr>
                <w:rFonts w:ascii="Tahoma" w:hAnsi="Tahoma" w:cs="Tahoma"/>
                <w:sz w:val="18"/>
                <w:szCs w:val="18"/>
              </w:rPr>
              <w:t>000</w:t>
            </w:r>
          </w:p>
        </w:tc>
        <w:tc>
          <w:tcPr>
            <w:tcW w:w="288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350,000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Coroa Sueca</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SEK</w:t>
            </w:r>
          </w:p>
        </w:tc>
        <w:tc>
          <w:tcPr>
            <w:tcW w:w="2556"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kr 200.000</w:t>
            </w:r>
          </w:p>
        </w:tc>
        <w:tc>
          <w:tcPr>
            <w:tcW w:w="288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kr 2.000.000</w:t>
            </w:r>
          </w:p>
        </w:tc>
      </w:tr>
      <w:tr w:rsidR="00613BBB" w:rsidRPr="00653421" w:rsidTr="00AD353C">
        <w:trPr>
          <w:trHeight w:val="236"/>
        </w:trPr>
        <w:tc>
          <w:tcPr>
            <w:tcW w:w="207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Novo Dólar Taiwanês</w:t>
            </w:r>
          </w:p>
        </w:tc>
        <w:tc>
          <w:tcPr>
            <w:tcW w:w="1332"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TWD</w:t>
            </w:r>
          </w:p>
        </w:tc>
        <w:tc>
          <w:tcPr>
            <w:tcW w:w="2556"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NTD 700.000</w:t>
            </w:r>
          </w:p>
        </w:tc>
        <w:tc>
          <w:tcPr>
            <w:tcW w:w="2880" w:type="dxa"/>
            <w:vAlign w:val="bottom"/>
          </w:tcPr>
          <w:p w:rsidR="00613BBB" w:rsidRPr="00653421" w:rsidRDefault="00613BBB" w:rsidP="00F42FB8">
            <w:pPr>
              <w:pStyle w:val="AppendixBodyText"/>
              <w:rPr>
                <w:rFonts w:ascii="Tahoma" w:hAnsi="Tahoma" w:cs="Tahoma"/>
                <w:sz w:val="18"/>
                <w:szCs w:val="18"/>
              </w:rPr>
            </w:pPr>
            <w:r w:rsidRPr="00653421">
              <w:rPr>
                <w:rFonts w:ascii="Tahoma" w:hAnsi="Tahoma" w:cs="Tahoma"/>
                <w:sz w:val="18"/>
                <w:szCs w:val="18"/>
              </w:rPr>
              <w:t>NTD 7.000.000</w:t>
            </w:r>
          </w:p>
        </w:tc>
      </w:tr>
      <w:tr w:rsidR="004B4C79" w:rsidRPr="00653421" w:rsidTr="00AD353C">
        <w:trPr>
          <w:trHeight w:val="236"/>
        </w:trPr>
        <w:tc>
          <w:tcPr>
            <w:tcW w:w="2070" w:type="dxa"/>
          </w:tcPr>
          <w:p w:rsidR="004B4C79" w:rsidRPr="00653421" w:rsidRDefault="004B4C79" w:rsidP="00F42FB8">
            <w:pPr>
              <w:pStyle w:val="AppendixBodyText"/>
              <w:rPr>
                <w:rFonts w:ascii="Tahoma" w:hAnsi="Tahoma" w:cs="Tahoma"/>
                <w:sz w:val="18"/>
                <w:szCs w:val="18"/>
              </w:rPr>
            </w:pPr>
            <w:r w:rsidRPr="00653421">
              <w:rPr>
                <w:rFonts w:ascii="Tahoma" w:hAnsi="Tahoma" w:cs="Tahoma"/>
                <w:sz w:val="18"/>
                <w:szCs w:val="18"/>
              </w:rPr>
              <w:t>Rúpia Indiana</w:t>
            </w:r>
          </w:p>
        </w:tc>
        <w:tc>
          <w:tcPr>
            <w:tcW w:w="1332" w:type="dxa"/>
          </w:tcPr>
          <w:p w:rsidR="004B4C79" w:rsidRPr="00653421" w:rsidRDefault="004B4C79" w:rsidP="00F42FB8">
            <w:pPr>
              <w:pStyle w:val="AppendixBodyText"/>
              <w:rPr>
                <w:rFonts w:ascii="Tahoma" w:hAnsi="Tahoma" w:cs="Tahoma"/>
                <w:sz w:val="18"/>
                <w:szCs w:val="18"/>
              </w:rPr>
            </w:pPr>
            <w:r w:rsidRPr="00653421">
              <w:rPr>
                <w:rFonts w:ascii="Tahoma" w:hAnsi="Tahoma" w:cs="Tahoma"/>
                <w:sz w:val="18"/>
                <w:szCs w:val="18"/>
              </w:rPr>
              <w:t>INR</w:t>
            </w:r>
          </w:p>
        </w:tc>
        <w:tc>
          <w:tcPr>
            <w:tcW w:w="2556" w:type="dxa"/>
          </w:tcPr>
          <w:p w:rsidR="004B4C79" w:rsidRPr="00653421" w:rsidRDefault="004B4C79" w:rsidP="00F42FB8">
            <w:pPr>
              <w:pStyle w:val="AppendixBodyText"/>
              <w:rPr>
                <w:rFonts w:ascii="Tahoma" w:hAnsi="Tahoma" w:cs="Tahoma"/>
                <w:sz w:val="18"/>
                <w:szCs w:val="18"/>
              </w:rPr>
            </w:pPr>
            <w:r w:rsidRPr="00653421">
              <w:rPr>
                <w:rFonts w:ascii="Tahoma" w:hAnsi="Tahoma" w:cs="Tahoma"/>
                <w:sz w:val="18"/>
                <w:szCs w:val="18"/>
              </w:rPr>
              <w:t>INR 1.000.000</w:t>
            </w:r>
          </w:p>
        </w:tc>
        <w:tc>
          <w:tcPr>
            <w:tcW w:w="2880" w:type="dxa"/>
          </w:tcPr>
          <w:p w:rsidR="004B4C79" w:rsidRPr="00653421" w:rsidRDefault="004B4C79" w:rsidP="00F42FB8">
            <w:pPr>
              <w:pStyle w:val="AppendixBodyText"/>
              <w:rPr>
                <w:rFonts w:ascii="Tahoma" w:hAnsi="Tahoma" w:cs="Tahoma"/>
                <w:sz w:val="18"/>
                <w:szCs w:val="18"/>
              </w:rPr>
            </w:pPr>
            <w:r w:rsidRPr="00653421">
              <w:rPr>
                <w:rFonts w:ascii="Tahoma" w:hAnsi="Tahoma" w:cs="Tahoma"/>
                <w:sz w:val="18"/>
                <w:szCs w:val="18"/>
              </w:rPr>
              <w:t>INR 10.000.000</w:t>
            </w:r>
          </w:p>
        </w:tc>
      </w:tr>
      <w:tr w:rsidR="004B4C79" w:rsidRPr="00653421" w:rsidTr="00AD353C">
        <w:trPr>
          <w:trHeight w:val="236"/>
        </w:trPr>
        <w:tc>
          <w:tcPr>
            <w:tcW w:w="2070" w:type="dxa"/>
          </w:tcPr>
          <w:p w:rsidR="004B4C79" w:rsidRPr="00653421" w:rsidRDefault="004B4C79" w:rsidP="00F42FB8">
            <w:pPr>
              <w:pStyle w:val="AppendixBodyText"/>
              <w:rPr>
                <w:rFonts w:ascii="Tahoma" w:hAnsi="Tahoma" w:cs="Tahoma"/>
                <w:sz w:val="18"/>
                <w:szCs w:val="18"/>
              </w:rPr>
            </w:pPr>
            <w:r w:rsidRPr="00653421">
              <w:rPr>
                <w:rFonts w:ascii="Tahoma" w:hAnsi="Tahoma" w:cs="Tahoma"/>
                <w:sz w:val="18"/>
                <w:szCs w:val="18"/>
              </w:rPr>
              <w:t>Rublo Russo</w:t>
            </w:r>
          </w:p>
        </w:tc>
        <w:tc>
          <w:tcPr>
            <w:tcW w:w="1332" w:type="dxa"/>
          </w:tcPr>
          <w:p w:rsidR="004B4C79" w:rsidRPr="00653421" w:rsidRDefault="004B4C79" w:rsidP="00F42FB8">
            <w:pPr>
              <w:pStyle w:val="AppendixBodyText"/>
              <w:rPr>
                <w:rFonts w:ascii="Tahoma" w:hAnsi="Tahoma" w:cs="Tahoma"/>
                <w:sz w:val="18"/>
                <w:szCs w:val="18"/>
              </w:rPr>
            </w:pPr>
            <w:r w:rsidRPr="00653421">
              <w:rPr>
                <w:rFonts w:ascii="Tahoma" w:hAnsi="Tahoma" w:cs="Tahoma"/>
                <w:sz w:val="18"/>
                <w:szCs w:val="18"/>
              </w:rPr>
              <w:t>RUB</w:t>
            </w:r>
          </w:p>
        </w:tc>
        <w:tc>
          <w:tcPr>
            <w:tcW w:w="2556" w:type="dxa"/>
          </w:tcPr>
          <w:p w:rsidR="004B4C79" w:rsidRPr="00653421" w:rsidRDefault="004B4C79" w:rsidP="00F42FB8">
            <w:pPr>
              <w:pStyle w:val="AppendixBodyText"/>
              <w:rPr>
                <w:rFonts w:ascii="Tahoma" w:hAnsi="Tahoma" w:cs="Tahoma"/>
                <w:sz w:val="18"/>
                <w:szCs w:val="18"/>
              </w:rPr>
            </w:pPr>
            <w:r w:rsidRPr="00653421">
              <w:rPr>
                <w:rFonts w:ascii="Tahoma" w:hAnsi="Tahoma" w:cs="Tahoma"/>
                <w:sz w:val="18"/>
                <w:szCs w:val="18"/>
              </w:rPr>
              <w:t>RUB 660.000</w:t>
            </w:r>
          </w:p>
        </w:tc>
        <w:tc>
          <w:tcPr>
            <w:tcW w:w="2880" w:type="dxa"/>
          </w:tcPr>
          <w:p w:rsidR="004B4C79" w:rsidRPr="00653421" w:rsidRDefault="004B4C79" w:rsidP="00F42FB8">
            <w:pPr>
              <w:pStyle w:val="AppendixBodyText"/>
              <w:rPr>
                <w:rFonts w:ascii="Tahoma" w:hAnsi="Tahoma" w:cs="Tahoma"/>
                <w:sz w:val="18"/>
                <w:szCs w:val="18"/>
              </w:rPr>
            </w:pPr>
            <w:r w:rsidRPr="00653421">
              <w:rPr>
                <w:rFonts w:ascii="Tahoma" w:hAnsi="Tahoma" w:cs="Tahoma"/>
                <w:sz w:val="18"/>
                <w:szCs w:val="18"/>
              </w:rPr>
              <w:t>RUB 6.600.000</w:t>
            </w:r>
          </w:p>
        </w:tc>
      </w:tr>
    </w:tbl>
    <w:p w:rsidR="00023FE7" w:rsidRPr="00653421" w:rsidRDefault="00023FE7" w:rsidP="00F93617">
      <w:pPr>
        <w:pStyle w:val="AppendixBodyText"/>
        <w:spacing w:after="0"/>
      </w:pPr>
    </w:p>
    <w:p w:rsidR="00AD353C" w:rsidRPr="00653421" w:rsidRDefault="00AD353C" w:rsidP="00F93617">
      <w:pPr>
        <w:pStyle w:val="AppendixBodyText"/>
        <w:spacing w:after="0"/>
      </w:pPr>
    </w:p>
    <w:p w:rsidR="00AD353C" w:rsidRPr="00653421" w:rsidRDefault="00AD353C" w:rsidP="00F93617">
      <w:pPr>
        <w:pStyle w:val="AppendixBodyText"/>
        <w:spacing w:after="0"/>
      </w:pPr>
    </w:p>
    <w:p w:rsidR="00AD353C" w:rsidRPr="00653421" w:rsidRDefault="00AD353C" w:rsidP="00F93617">
      <w:pPr>
        <w:pStyle w:val="AppendixBodyText"/>
        <w:spacing w:after="0"/>
      </w:pPr>
    </w:p>
    <w:p w:rsidR="00AD353C" w:rsidRPr="00653421" w:rsidRDefault="00AD353C" w:rsidP="00F93617">
      <w:pPr>
        <w:pStyle w:val="AppendixBodyText"/>
        <w:spacing w:after="0"/>
      </w:pPr>
    </w:p>
    <w:p w:rsidR="00AD353C" w:rsidRPr="00653421" w:rsidRDefault="00AD353C" w:rsidP="00F93617">
      <w:pPr>
        <w:pStyle w:val="AppendixBodyText"/>
        <w:spacing w:after="0"/>
      </w:pPr>
    </w:p>
    <w:p w:rsidR="00023FE7" w:rsidRPr="00C50FD1" w:rsidRDefault="00023FE7" w:rsidP="00F42FB8">
      <w:pPr>
        <w:pStyle w:val="AppendixBodyText"/>
        <w:spacing w:after="0"/>
        <w:rPr>
          <w:lang w:val="pt-BR"/>
        </w:rPr>
      </w:pPr>
      <w:r w:rsidRPr="00C50FD1">
        <w:rPr>
          <w:rFonts w:ascii="Tahoma" w:hAnsi="Tahoma" w:cs="Tahoma"/>
          <w:sz w:val="18"/>
          <w:szCs w:val="18"/>
          <w:lang w:val="pt-BR"/>
        </w:rPr>
        <w:lastRenderedPageBreak/>
        <w:t>Os incidentes com base em gastos de SA são recebidos com base nos gastos de SA de servidor e desktop sob um</w:t>
      </w:r>
      <w:r w:rsidR="00F7610F" w:rsidRPr="00C50FD1">
        <w:rPr>
          <w:rFonts w:ascii="Tahoma" w:hAnsi="Tahoma" w:cs="Tahoma"/>
          <w:sz w:val="18"/>
          <w:szCs w:val="18"/>
          <w:lang w:val="pt-BR"/>
        </w:rPr>
        <w:t> </w:t>
      </w:r>
      <w:r w:rsidRPr="00C50FD1">
        <w:rPr>
          <w:rFonts w:ascii="Tahoma" w:hAnsi="Tahoma" w:cs="Tahoma"/>
          <w:sz w:val="18"/>
          <w:szCs w:val="18"/>
          <w:lang w:val="pt-BR"/>
        </w:rPr>
        <w:t>registro Select ou Enterprise qualificado, um registro Select Plus, um Contrato Open Value ou um Número de</w:t>
      </w:r>
      <w:r w:rsidR="00F7610F" w:rsidRPr="00C50FD1">
        <w:rPr>
          <w:rFonts w:ascii="Tahoma" w:hAnsi="Tahoma" w:cs="Tahoma"/>
          <w:sz w:val="18"/>
          <w:szCs w:val="18"/>
          <w:lang w:val="pt-BR"/>
        </w:rPr>
        <w:t> </w:t>
      </w:r>
      <w:r w:rsidRPr="00C50FD1">
        <w:rPr>
          <w:rFonts w:ascii="Tahoma" w:hAnsi="Tahoma" w:cs="Tahoma"/>
          <w:sz w:val="18"/>
          <w:szCs w:val="18"/>
          <w:lang w:val="pt-BR"/>
        </w:rPr>
        <w:t>Autorização de Licença Open.</w:t>
      </w:r>
      <w:r w:rsidR="005A52A2" w:rsidRPr="00C50FD1">
        <w:rPr>
          <w:rFonts w:ascii="Tahoma" w:hAnsi="Tahoma" w:cs="Tahoma"/>
          <w:sz w:val="18"/>
          <w:szCs w:val="18"/>
          <w:lang w:val="pt-BR"/>
        </w:rPr>
        <w:t xml:space="preserve"> </w:t>
      </w:r>
      <w:r w:rsidRPr="00C50FD1">
        <w:rPr>
          <w:rFonts w:ascii="Tahoma" w:hAnsi="Tahoma" w:cs="Tahoma"/>
          <w:sz w:val="18"/>
          <w:szCs w:val="18"/>
          <w:lang w:val="pt-BR"/>
        </w:rPr>
        <w:t>A cada aproximadamente US$ 20.000 de gastos de SA de Servidor e CAL, concederemos um incidente.</w:t>
      </w:r>
      <w:r w:rsidR="005A52A2" w:rsidRPr="00C50FD1">
        <w:rPr>
          <w:rFonts w:ascii="Tahoma" w:hAnsi="Tahoma" w:cs="Tahoma"/>
          <w:sz w:val="18"/>
          <w:szCs w:val="18"/>
          <w:lang w:val="pt-BR"/>
        </w:rPr>
        <w:t xml:space="preserve"> </w:t>
      </w:r>
      <w:r w:rsidRPr="00C50FD1">
        <w:rPr>
          <w:rFonts w:ascii="Tahoma" w:hAnsi="Tahoma" w:cs="Tahoma"/>
          <w:sz w:val="18"/>
          <w:szCs w:val="18"/>
          <w:lang w:val="pt-BR"/>
        </w:rPr>
        <w:t>A cada aproximadamente US$ 200.000 de gastos de SA em Pools de Sistemas e</w:t>
      </w:r>
      <w:r w:rsidR="00F7610F" w:rsidRPr="00C50FD1">
        <w:rPr>
          <w:rFonts w:ascii="Tahoma" w:hAnsi="Tahoma" w:cs="Tahoma"/>
          <w:sz w:val="18"/>
          <w:szCs w:val="18"/>
          <w:lang w:val="pt-BR"/>
        </w:rPr>
        <w:t> </w:t>
      </w:r>
      <w:r w:rsidRPr="00C50FD1">
        <w:rPr>
          <w:rFonts w:ascii="Tahoma" w:hAnsi="Tahoma" w:cs="Tahoma"/>
          <w:sz w:val="18"/>
          <w:szCs w:val="18"/>
          <w:lang w:val="pt-BR"/>
        </w:rPr>
        <w:t>Aplicativos, concederemos um incidente.</w:t>
      </w:r>
      <w:r w:rsidR="005A52A2" w:rsidRPr="00C50FD1">
        <w:rPr>
          <w:rFonts w:ascii="Tahoma" w:hAnsi="Tahoma" w:cs="Tahoma"/>
          <w:sz w:val="18"/>
          <w:szCs w:val="18"/>
          <w:lang w:val="pt-BR"/>
        </w:rPr>
        <w:t xml:space="preserve"> </w:t>
      </w:r>
      <w:r w:rsidRPr="00C50FD1">
        <w:rPr>
          <w:rFonts w:ascii="Tahoma" w:hAnsi="Tahoma" w:cs="Tahoma"/>
          <w:sz w:val="18"/>
          <w:szCs w:val="18"/>
          <w:lang w:val="pt-BR"/>
        </w:rPr>
        <w:t>A tabela a seguir mostra os equivalentes monetários aproximados para</w:t>
      </w:r>
      <w:r w:rsidR="00F7610F" w:rsidRPr="00C50FD1">
        <w:rPr>
          <w:rFonts w:ascii="Tahoma" w:hAnsi="Tahoma" w:cs="Tahoma"/>
          <w:sz w:val="18"/>
          <w:szCs w:val="18"/>
          <w:lang w:val="pt-BR"/>
        </w:rPr>
        <w:t> </w:t>
      </w:r>
      <w:r w:rsidRPr="00C50FD1">
        <w:rPr>
          <w:rFonts w:ascii="Tahoma" w:hAnsi="Tahoma" w:cs="Tahoma"/>
          <w:sz w:val="18"/>
          <w:szCs w:val="18"/>
          <w:lang w:val="pt-BR"/>
        </w:rPr>
        <w:t>prêmios com base em gastos de SA de contratos com base em moedas que não sejam o USD.</w:t>
      </w:r>
      <w:r w:rsidR="005A52A2" w:rsidRPr="00C50FD1">
        <w:rPr>
          <w:rFonts w:ascii="Tahoma" w:hAnsi="Tahoma" w:cs="Tahoma"/>
          <w:sz w:val="18"/>
          <w:szCs w:val="18"/>
          <w:lang w:val="pt-BR"/>
        </w:rPr>
        <w:t xml:space="preserve"> </w:t>
      </w:r>
      <w:r w:rsidRPr="00C50FD1">
        <w:rPr>
          <w:rFonts w:ascii="Tahoma" w:hAnsi="Tahoma" w:cs="Tahoma"/>
          <w:sz w:val="18"/>
          <w:szCs w:val="18"/>
          <w:lang w:val="pt-BR"/>
        </w:rPr>
        <w:t>Devido à</w:t>
      </w:r>
      <w:r w:rsidR="00F7610F" w:rsidRPr="00C50FD1">
        <w:rPr>
          <w:rFonts w:ascii="Tahoma" w:hAnsi="Tahoma" w:cs="Tahoma"/>
          <w:sz w:val="18"/>
          <w:szCs w:val="18"/>
          <w:lang w:val="pt-BR"/>
        </w:rPr>
        <w:t> </w:t>
      </w:r>
      <w:r w:rsidRPr="00C50FD1">
        <w:rPr>
          <w:rFonts w:ascii="Tahoma" w:hAnsi="Tahoma" w:cs="Tahoma"/>
          <w:sz w:val="18"/>
          <w:szCs w:val="18"/>
          <w:lang w:val="pt-BR"/>
        </w:rPr>
        <w:t>flutuação das taxas de câmbio, essa tabela está sujeita a alterações.</w:t>
      </w:r>
    </w:p>
    <w:p w:rsidR="00023FE7" w:rsidRPr="00C50FD1" w:rsidRDefault="00023FE7" w:rsidP="00F42FB8">
      <w:pPr>
        <w:pStyle w:val="AppendixBodyText"/>
        <w:spacing w:after="0"/>
        <w:rPr>
          <w:lang w:val="pt-BR"/>
        </w:rPr>
      </w:pPr>
    </w:p>
    <w:p w:rsidR="00023FE7" w:rsidRPr="00C50FD1" w:rsidRDefault="00023FE7" w:rsidP="00F42FB8">
      <w:pPr>
        <w:pStyle w:val="AppendixBodyText"/>
        <w:spacing w:after="0"/>
        <w:rPr>
          <w:lang w:val="pt-BR"/>
        </w:rPr>
      </w:pPr>
      <w:r w:rsidRPr="00C50FD1">
        <w:rPr>
          <w:rFonts w:ascii="Tahoma" w:hAnsi="Tahoma" w:cs="Tahoma"/>
          <w:sz w:val="18"/>
          <w:szCs w:val="18"/>
          <w:lang w:val="pt-BR"/>
        </w:rPr>
        <w:t>Os incidentes são alocados sobre o prazo da cobertura do Software Assurance com base na forma de pagamento.</w:t>
      </w:r>
      <w:r w:rsidR="005A52A2" w:rsidRPr="00C50FD1">
        <w:rPr>
          <w:rFonts w:ascii="Tahoma" w:hAnsi="Tahoma" w:cs="Tahoma"/>
          <w:sz w:val="18"/>
          <w:szCs w:val="18"/>
          <w:lang w:val="pt-BR"/>
        </w:rPr>
        <w:t xml:space="preserve"> </w:t>
      </w:r>
      <w:r w:rsidRPr="00C50FD1">
        <w:rPr>
          <w:rFonts w:ascii="Tahoma" w:hAnsi="Tahoma" w:cs="Tahoma"/>
          <w:sz w:val="18"/>
          <w:szCs w:val="18"/>
          <w:lang w:val="pt-BR"/>
        </w:rPr>
        <w:t>Os</w:t>
      </w:r>
      <w:r w:rsidR="00F7610F" w:rsidRPr="00C50FD1">
        <w:rPr>
          <w:rFonts w:ascii="Tahoma" w:hAnsi="Tahoma" w:cs="Tahoma"/>
          <w:sz w:val="18"/>
          <w:szCs w:val="18"/>
          <w:lang w:val="pt-BR"/>
        </w:rPr>
        <w:t> </w:t>
      </w:r>
      <w:r w:rsidRPr="00C50FD1">
        <w:rPr>
          <w:rFonts w:ascii="Tahoma" w:hAnsi="Tahoma" w:cs="Tahoma"/>
          <w:sz w:val="18"/>
          <w:szCs w:val="18"/>
          <w:lang w:val="pt-BR"/>
        </w:rPr>
        <w:t>contratos que refletem pagamentos em parcelas levarão a incidentes concedidos durante o prazo. Os contratos que refletem pagamentos únicos serão premiados de maneira adiantada.</w:t>
      </w:r>
      <w:r w:rsidR="005A52A2" w:rsidRPr="00C50FD1">
        <w:rPr>
          <w:rFonts w:ascii="Tahoma" w:hAnsi="Tahoma" w:cs="Tahoma"/>
          <w:sz w:val="18"/>
          <w:szCs w:val="18"/>
          <w:lang w:val="pt-BR"/>
        </w:rPr>
        <w:t xml:space="preserve"> </w:t>
      </w:r>
      <w:r w:rsidRPr="00C50FD1">
        <w:rPr>
          <w:rFonts w:ascii="Tahoma" w:hAnsi="Tahoma" w:cs="Tahoma"/>
          <w:sz w:val="18"/>
          <w:szCs w:val="18"/>
          <w:lang w:val="pt-BR"/>
        </w:rPr>
        <w:t>As compras feitas após o pedido inicial levarão a um novo cálculo dos incidentes concedidos e da alocação anual.</w:t>
      </w:r>
      <w:r w:rsidR="005A52A2" w:rsidRPr="00C50FD1">
        <w:rPr>
          <w:rFonts w:ascii="Tahoma" w:hAnsi="Tahoma" w:cs="Tahoma"/>
          <w:sz w:val="18"/>
          <w:szCs w:val="18"/>
          <w:lang w:val="pt-BR"/>
        </w:rPr>
        <w:t xml:space="preserve"> </w:t>
      </w:r>
      <w:r w:rsidRPr="00C50FD1">
        <w:rPr>
          <w:rFonts w:ascii="Tahoma" w:hAnsi="Tahoma" w:cs="Tahoma"/>
          <w:sz w:val="18"/>
          <w:szCs w:val="18"/>
          <w:lang w:val="pt-BR"/>
        </w:rPr>
        <w:t>Os Incidentes de Suporte por Telefone que</w:t>
      </w:r>
      <w:r w:rsidR="00F7610F" w:rsidRPr="00C50FD1">
        <w:rPr>
          <w:rFonts w:ascii="Tahoma" w:hAnsi="Tahoma" w:cs="Tahoma"/>
          <w:sz w:val="18"/>
          <w:szCs w:val="18"/>
          <w:lang w:val="pt-BR"/>
        </w:rPr>
        <w:t> </w:t>
      </w:r>
      <w:r w:rsidRPr="00C50FD1">
        <w:rPr>
          <w:rFonts w:ascii="Tahoma" w:hAnsi="Tahoma" w:cs="Tahoma"/>
          <w:sz w:val="18"/>
          <w:szCs w:val="18"/>
          <w:lang w:val="pt-BR"/>
        </w:rPr>
        <w:t>não forem usados expirarão no término da cobertura do Software Assurance.</w:t>
      </w:r>
      <w:r w:rsidR="005A52A2" w:rsidRPr="00C50FD1">
        <w:rPr>
          <w:rFonts w:ascii="Tahoma" w:hAnsi="Tahoma" w:cs="Tahoma"/>
          <w:sz w:val="18"/>
          <w:szCs w:val="18"/>
          <w:lang w:val="pt-BR"/>
        </w:rPr>
        <w:t xml:space="preserve"> </w:t>
      </w:r>
      <w:r w:rsidRPr="00C50FD1">
        <w:rPr>
          <w:rFonts w:ascii="Tahoma" w:hAnsi="Tahoma" w:cs="Tahoma"/>
          <w:sz w:val="18"/>
          <w:szCs w:val="18"/>
          <w:lang w:val="pt-BR"/>
        </w:rPr>
        <w:t>Os Incidentes de Suporte por Telefone não podem ser transferidos entre registros ou contratos.</w:t>
      </w:r>
    </w:p>
    <w:p w:rsidR="00AD353C" w:rsidRPr="00C50FD1" w:rsidRDefault="00AD353C" w:rsidP="00F42FB8">
      <w:pPr>
        <w:pStyle w:val="AppendixBodyText"/>
        <w:spacing w:after="0"/>
        <w:rPr>
          <w:rFonts w:ascii="Tahoma" w:hAnsi="Tahoma" w:cs="Tahoma"/>
          <w:sz w:val="18"/>
          <w:szCs w:val="18"/>
          <w:lang w:val="pt-BR"/>
        </w:rPr>
      </w:pPr>
    </w:p>
    <w:p w:rsidR="00023FE7" w:rsidRPr="00C50FD1" w:rsidRDefault="00023FE7" w:rsidP="00F42FB8">
      <w:pPr>
        <w:pStyle w:val="AppendixBodyText"/>
        <w:spacing w:after="0"/>
        <w:rPr>
          <w:lang w:val="pt-BR"/>
        </w:rPr>
      </w:pPr>
      <w:r w:rsidRPr="00C50FD1">
        <w:rPr>
          <w:rFonts w:ascii="Tahoma" w:hAnsi="Tahoma" w:cs="Tahoma"/>
          <w:sz w:val="18"/>
          <w:szCs w:val="18"/>
          <w:lang w:val="pt-BR"/>
        </w:rPr>
        <w:t>O acesso ao suporte por telefone local está disponível durante o horário comercial*</w:t>
      </w:r>
      <w:r w:rsidRPr="00C50FD1">
        <w:rPr>
          <w:rFonts w:ascii="Tahoma" w:hAnsi="Tahoma" w:cs="Tahoma"/>
          <w:sz w:val="18"/>
          <w:szCs w:val="18"/>
          <w:vertAlign w:val="superscript"/>
          <w:lang w:val="pt-BR"/>
        </w:rPr>
        <w:t>(1)</w:t>
      </w:r>
      <w:r w:rsidRPr="00C50FD1">
        <w:rPr>
          <w:rFonts w:ascii="Tahoma" w:hAnsi="Tahoma" w:cs="Tahoma"/>
          <w:sz w:val="18"/>
          <w:szCs w:val="18"/>
          <w:lang w:val="pt-BR"/>
        </w:rPr>
        <w:t>.</w:t>
      </w:r>
      <w:r w:rsidR="005A52A2" w:rsidRPr="00C50FD1">
        <w:rPr>
          <w:rFonts w:ascii="Tahoma" w:hAnsi="Tahoma" w:cs="Tahoma"/>
          <w:sz w:val="18"/>
          <w:szCs w:val="18"/>
          <w:lang w:val="pt-BR"/>
        </w:rPr>
        <w:t xml:space="preserve"> </w:t>
      </w:r>
      <w:r w:rsidRPr="00C50FD1">
        <w:rPr>
          <w:rFonts w:ascii="Tahoma" w:hAnsi="Tahoma" w:cs="Tahoma"/>
          <w:sz w:val="18"/>
          <w:szCs w:val="18"/>
          <w:lang w:val="pt-BR"/>
        </w:rPr>
        <w:t>O suporte por telefone fora do</w:t>
      </w:r>
      <w:r w:rsidR="00F7610F" w:rsidRPr="00C50FD1">
        <w:rPr>
          <w:rFonts w:ascii="Tahoma" w:hAnsi="Tahoma" w:cs="Tahoma"/>
          <w:sz w:val="18"/>
          <w:szCs w:val="18"/>
          <w:lang w:val="pt-BR"/>
        </w:rPr>
        <w:t> </w:t>
      </w:r>
      <w:r w:rsidRPr="00C50FD1">
        <w:rPr>
          <w:rFonts w:ascii="Tahoma" w:hAnsi="Tahoma" w:cs="Tahoma"/>
          <w:sz w:val="18"/>
          <w:szCs w:val="18"/>
          <w:lang w:val="pt-BR"/>
        </w:rPr>
        <w:t>horário comercial pode ser fornecido por meio de centros de suporte regionais e internacionais.</w:t>
      </w:r>
      <w:r w:rsidR="005A52A2" w:rsidRPr="00C50FD1">
        <w:rPr>
          <w:rFonts w:ascii="Tahoma" w:hAnsi="Tahoma" w:cs="Tahoma"/>
          <w:sz w:val="18"/>
          <w:szCs w:val="18"/>
          <w:lang w:val="pt-BR"/>
        </w:rPr>
        <w:t xml:space="preserve"> </w:t>
      </w:r>
      <w:r w:rsidRPr="00C50FD1">
        <w:rPr>
          <w:rFonts w:ascii="Tahoma" w:hAnsi="Tahoma" w:cs="Tahoma"/>
          <w:sz w:val="18"/>
          <w:szCs w:val="18"/>
          <w:lang w:val="pt-BR"/>
        </w:rPr>
        <w:t>O suporte por telefone fora do horário comercial pode ser usada apenas para iniciar solicitações de suporte essenciais aos negócios.</w:t>
      </w:r>
      <w:r w:rsidR="005A52A2" w:rsidRPr="00C50FD1">
        <w:rPr>
          <w:rFonts w:ascii="Tahoma" w:hAnsi="Tahoma" w:cs="Tahoma"/>
          <w:sz w:val="18"/>
          <w:szCs w:val="18"/>
          <w:lang w:val="pt-BR"/>
        </w:rPr>
        <w:t xml:space="preserve"> </w:t>
      </w:r>
      <w:r w:rsidRPr="00C50FD1">
        <w:rPr>
          <w:rFonts w:ascii="Tahoma" w:hAnsi="Tahoma" w:cs="Tahoma"/>
          <w:sz w:val="18"/>
          <w:szCs w:val="18"/>
          <w:lang w:val="pt-BR"/>
        </w:rPr>
        <w:t>O horário comercial é determinado de acordo com a região. Os representantes da Microsoft do cliente podem indicar o horário comercial definido na região ou no país do cliente.</w:t>
      </w:r>
      <w:r w:rsidR="005A52A2" w:rsidRPr="00C50FD1">
        <w:rPr>
          <w:rFonts w:ascii="Tahoma" w:hAnsi="Tahoma" w:cs="Tahoma"/>
          <w:sz w:val="18"/>
          <w:szCs w:val="18"/>
          <w:lang w:val="pt-BR"/>
        </w:rPr>
        <w:t xml:space="preserve"> </w:t>
      </w:r>
      <w:r w:rsidRPr="00C50FD1">
        <w:rPr>
          <w:rFonts w:ascii="Tahoma" w:hAnsi="Tahoma" w:cs="Tahoma"/>
          <w:sz w:val="18"/>
          <w:szCs w:val="18"/>
          <w:lang w:val="pt-BR"/>
        </w:rPr>
        <w:t xml:space="preserve">A assistência de suporte por telefone não está disponível em todos os idiomas nem em todas as regiões. </w:t>
      </w:r>
    </w:p>
    <w:p w:rsidR="00023FE7" w:rsidRPr="00C50FD1" w:rsidRDefault="00023FE7" w:rsidP="001C6BD7">
      <w:pPr>
        <w:pStyle w:val="AppendixBodyText"/>
        <w:spacing w:after="0" w:line="160" w:lineRule="exact"/>
        <w:rPr>
          <w:rFonts w:ascii="Tahoma" w:hAnsi="Tahoma" w:cs="Tahoma"/>
          <w:sz w:val="18"/>
          <w:szCs w:val="18"/>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91"/>
      </w:tblGrid>
      <w:tr w:rsidR="00023FE7" w:rsidRPr="00C50FD1" w:rsidTr="00F7610F">
        <w:trPr>
          <w:cantSplit/>
          <w:trHeight w:val="20"/>
        </w:trPr>
        <w:tc>
          <w:tcPr>
            <w:tcW w:w="612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50FD1" w:rsidRDefault="00023FE7">
            <w:pPr>
              <w:pStyle w:val="AppendixBodyText"/>
              <w:rPr>
                <w:rFonts w:ascii="Tahoma" w:hAnsi="Tahoma" w:cs="Tahoma"/>
                <w:b/>
                <w:bCs/>
                <w:vertAlign w:val="superscript"/>
                <w:lang w:val="pt-BR"/>
              </w:rPr>
            </w:pPr>
            <w:r w:rsidRPr="00C50FD1">
              <w:rPr>
                <w:rFonts w:ascii="Tahoma" w:hAnsi="Tahoma" w:cs="Tahoma"/>
                <w:b/>
                <w:bCs/>
                <w:lang w:val="pt-BR"/>
              </w:rPr>
              <w:t>*(1) Variações de Horário Comercial por Região</w:t>
            </w:r>
          </w:p>
        </w:tc>
      </w:tr>
      <w:tr w:rsidR="00023FE7" w:rsidRPr="00C50FD1" w:rsidTr="00F7610F">
        <w:trPr>
          <w:cantSplit/>
          <w:trHeight w:val="20"/>
        </w:trPr>
        <w:tc>
          <w:tcPr>
            <w:tcW w:w="2629" w:type="dxa"/>
            <w:tcBorders>
              <w:top w:val="single" w:sz="8" w:space="0" w:color="auto"/>
            </w:tcBorders>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Américas</w:t>
            </w:r>
          </w:p>
        </w:tc>
        <w:tc>
          <w:tcPr>
            <w:tcW w:w="3491" w:type="dxa"/>
            <w:tcBorders>
              <w:top w:val="single" w:sz="8" w:space="0" w:color="auto"/>
            </w:tcBorders>
          </w:tcPr>
          <w:p w:rsidR="00023FE7" w:rsidRPr="00C50FD1" w:rsidRDefault="00023FE7">
            <w:pPr>
              <w:pStyle w:val="AppendixBodyText"/>
              <w:rPr>
                <w:rFonts w:ascii="Tahoma" w:hAnsi="Tahoma" w:cs="Tahoma"/>
                <w:sz w:val="18"/>
                <w:szCs w:val="18"/>
                <w:lang w:val="pt-BR"/>
              </w:rPr>
            </w:pPr>
            <w:r w:rsidRPr="00C50FD1">
              <w:rPr>
                <w:rFonts w:ascii="Tahoma" w:hAnsi="Tahoma" w:cs="Tahoma"/>
                <w:sz w:val="18"/>
                <w:szCs w:val="18"/>
                <w:lang w:val="pt-BR"/>
              </w:rPr>
              <w:t>Segunda à sexta, das 6h às 18h (PST)</w:t>
            </w:r>
          </w:p>
        </w:tc>
      </w:tr>
      <w:tr w:rsidR="00023FE7" w:rsidRPr="00C50FD1" w:rsidTr="00F7610F">
        <w:trPr>
          <w:cantSplit/>
          <w:trHeight w:val="20"/>
        </w:trPr>
        <w:tc>
          <w:tcPr>
            <w:tcW w:w="2629" w:type="dxa"/>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EMEA</w:t>
            </w:r>
          </w:p>
        </w:tc>
        <w:tc>
          <w:tcPr>
            <w:tcW w:w="3491" w:type="dxa"/>
          </w:tcPr>
          <w:p w:rsidR="00023FE7" w:rsidRPr="00C50FD1" w:rsidRDefault="00023FE7">
            <w:pPr>
              <w:pStyle w:val="AppendixBodyText"/>
              <w:rPr>
                <w:rFonts w:ascii="Tahoma" w:hAnsi="Tahoma" w:cs="Tahoma"/>
                <w:sz w:val="18"/>
                <w:szCs w:val="18"/>
                <w:lang w:val="pt-BR"/>
              </w:rPr>
            </w:pPr>
            <w:r w:rsidRPr="00C50FD1">
              <w:rPr>
                <w:rFonts w:ascii="Tahoma" w:hAnsi="Tahoma" w:cs="Tahoma"/>
                <w:sz w:val="18"/>
                <w:szCs w:val="18"/>
                <w:lang w:val="pt-BR"/>
              </w:rPr>
              <w:t>Segunda à sexta, das 6h às 18h (GMT)</w:t>
            </w:r>
          </w:p>
        </w:tc>
      </w:tr>
      <w:tr w:rsidR="00023FE7" w:rsidRPr="00C50FD1" w:rsidTr="00F7610F">
        <w:trPr>
          <w:cantSplit/>
          <w:trHeight w:val="20"/>
        </w:trPr>
        <w:tc>
          <w:tcPr>
            <w:tcW w:w="2629" w:type="dxa"/>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Austrália/Nova Zelândia</w:t>
            </w:r>
          </w:p>
        </w:tc>
        <w:tc>
          <w:tcPr>
            <w:tcW w:w="3491" w:type="dxa"/>
          </w:tcPr>
          <w:p w:rsidR="00023FE7" w:rsidRPr="00C50FD1" w:rsidRDefault="00023FE7">
            <w:pPr>
              <w:pStyle w:val="AppendixBodyText"/>
              <w:rPr>
                <w:rFonts w:ascii="Tahoma" w:hAnsi="Tahoma" w:cs="Tahoma"/>
                <w:sz w:val="18"/>
                <w:szCs w:val="18"/>
                <w:lang w:val="pt-BR"/>
              </w:rPr>
            </w:pPr>
            <w:r w:rsidRPr="00C50FD1">
              <w:rPr>
                <w:rFonts w:ascii="Tahoma" w:hAnsi="Tahoma" w:cs="Tahoma"/>
                <w:sz w:val="18"/>
                <w:szCs w:val="18"/>
                <w:lang w:val="pt-BR"/>
              </w:rPr>
              <w:t>Segunda à sexta, das 7h às 18h</w:t>
            </w:r>
          </w:p>
        </w:tc>
      </w:tr>
      <w:tr w:rsidR="00023FE7" w:rsidRPr="00C50FD1" w:rsidTr="00F7610F">
        <w:trPr>
          <w:cantSplit/>
          <w:trHeight w:val="20"/>
        </w:trPr>
        <w:tc>
          <w:tcPr>
            <w:tcW w:w="2629" w:type="dxa"/>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Japão</w:t>
            </w:r>
          </w:p>
        </w:tc>
        <w:tc>
          <w:tcPr>
            <w:tcW w:w="3491" w:type="dxa"/>
          </w:tcPr>
          <w:p w:rsidR="00023FE7" w:rsidRPr="00C50FD1" w:rsidRDefault="00023FE7">
            <w:pPr>
              <w:pStyle w:val="AppendixBodyText"/>
              <w:rPr>
                <w:rFonts w:ascii="Tahoma" w:hAnsi="Tahoma" w:cs="Tahoma"/>
                <w:sz w:val="18"/>
                <w:szCs w:val="18"/>
                <w:lang w:val="pt-BR"/>
              </w:rPr>
            </w:pPr>
            <w:r w:rsidRPr="00C50FD1">
              <w:rPr>
                <w:rFonts w:ascii="Tahoma" w:hAnsi="Tahoma" w:cs="Tahoma"/>
                <w:sz w:val="18"/>
                <w:szCs w:val="18"/>
                <w:lang w:val="pt-BR"/>
              </w:rPr>
              <w:t>Segunda à sexta, das 9h</w:t>
            </w:r>
            <w:r w:rsidR="00F7610F" w:rsidRPr="00C50FD1">
              <w:rPr>
                <w:rFonts w:ascii="Tahoma" w:hAnsi="Tahoma" w:cs="Tahoma"/>
                <w:sz w:val="18"/>
                <w:szCs w:val="18"/>
                <w:lang w:val="pt-BR"/>
              </w:rPr>
              <w:t xml:space="preserve"> </w:t>
            </w:r>
            <w:r w:rsidRPr="00C50FD1">
              <w:rPr>
                <w:rFonts w:ascii="Tahoma" w:hAnsi="Tahoma" w:cs="Tahoma"/>
                <w:sz w:val="18"/>
                <w:szCs w:val="18"/>
                <w:lang w:val="pt-BR"/>
              </w:rPr>
              <w:t>30 às 19h</w:t>
            </w:r>
          </w:p>
        </w:tc>
      </w:tr>
      <w:tr w:rsidR="00023FE7" w:rsidRPr="00C50FD1" w:rsidTr="00F7610F">
        <w:trPr>
          <w:cantSplit/>
          <w:trHeight w:val="20"/>
        </w:trPr>
        <w:tc>
          <w:tcPr>
            <w:tcW w:w="2629" w:type="dxa"/>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Ásia</w:t>
            </w:r>
          </w:p>
        </w:tc>
        <w:tc>
          <w:tcPr>
            <w:tcW w:w="3491" w:type="dxa"/>
          </w:tcPr>
          <w:p w:rsidR="00023FE7" w:rsidRPr="00C50FD1" w:rsidRDefault="00023FE7">
            <w:pPr>
              <w:pStyle w:val="AppendixBodyText"/>
              <w:rPr>
                <w:rFonts w:ascii="Tahoma" w:hAnsi="Tahoma" w:cs="Tahoma"/>
                <w:sz w:val="18"/>
                <w:szCs w:val="18"/>
                <w:lang w:val="pt-BR"/>
              </w:rPr>
            </w:pPr>
            <w:r w:rsidRPr="00C50FD1">
              <w:rPr>
                <w:rFonts w:ascii="Tahoma" w:hAnsi="Tahoma" w:cs="Tahoma"/>
                <w:sz w:val="18"/>
                <w:szCs w:val="18"/>
                <w:lang w:val="pt-BR"/>
              </w:rPr>
              <w:t>Segunda à sexta, das 9h às 18h</w:t>
            </w:r>
          </w:p>
        </w:tc>
      </w:tr>
    </w:tbl>
    <w:p w:rsidR="0034219A" w:rsidRPr="00C50FD1" w:rsidRDefault="0034219A" w:rsidP="001C6BD7">
      <w:pPr>
        <w:spacing w:line="160" w:lineRule="exact"/>
        <w:rPr>
          <w:rFonts w:cs="Tahoma"/>
          <w:szCs w:val="18"/>
          <w:lang w:val="pt-BR"/>
        </w:rPr>
      </w:pPr>
      <w:bookmarkStart w:id="795" w:name="_Toc240899164"/>
    </w:p>
    <w:p w:rsidR="00023FE7" w:rsidRPr="00C50FD1" w:rsidRDefault="00023FE7" w:rsidP="00DA2788">
      <w:pPr>
        <w:spacing w:after="60"/>
        <w:rPr>
          <w:lang w:val="pt-BR"/>
        </w:rPr>
      </w:pPr>
      <w:r w:rsidRPr="00C50FD1">
        <w:rPr>
          <w:rFonts w:cs="Tahoma"/>
          <w:b/>
          <w:szCs w:val="20"/>
          <w:lang w:val="pt-BR"/>
        </w:rPr>
        <w:t>Incidentes com base na Web</w:t>
      </w:r>
      <w:bookmarkEnd w:id="795"/>
      <w:r w:rsidRPr="00C50FD1">
        <w:rPr>
          <w:rFonts w:cs="Tahoma"/>
          <w:b/>
          <w:szCs w:val="20"/>
          <w:lang w:val="pt-BR"/>
        </w:rPr>
        <w:t xml:space="preserve"> </w:t>
      </w:r>
    </w:p>
    <w:p w:rsidR="00023FE7" w:rsidRPr="00C50FD1" w:rsidRDefault="00023FE7" w:rsidP="00F42FB8">
      <w:pPr>
        <w:pStyle w:val="AppendixBodyText"/>
        <w:spacing w:after="0"/>
        <w:rPr>
          <w:lang w:val="pt-BR"/>
        </w:rPr>
      </w:pPr>
      <w:r w:rsidRPr="00C50FD1">
        <w:rPr>
          <w:rFonts w:ascii="Tahoma" w:hAnsi="Tahoma" w:cs="Tahoma"/>
          <w:sz w:val="18"/>
          <w:szCs w:val="18"/>
          <w:lang w:val="pt-BR"/>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 serviços de Suporte para Resolução de Problemas com base na Web conforme necessário.</w:t>
      </w:r>
      <w:r w:rsidR="005A52A2" w:rsidRPr="00C50FD1">
        <w:rPr>
          <w:rFonts w:ascii="Tahoma" w:hAnsi="Tahoma" w:cs="Tahoma"/>
          <w:sz w:val="18"/>
          <w:szCs w:val="18"/>
          <w:lang w:val="pt-BR"/>
        </w:rPr>
        <w:t xml:space="preserve"> </w:t>
      </w:r>
      <w:r w:rsidRPr="00C50FD1">
        <w:rPr>
          <w:rFonts w:ascii="Tahoma" w:hAnsi="Tahoma" w:cs="Tahoma"/>
          <w:sz w:val="18"/>
          <w:szCs w:val="18"/>
          <w:lang w:val="pt-BR"/>
        </w:rPr>
        <w:t>O acesso a sites de suporte eletrônico está disponível 24 horas por dia, 7 dias por semana, embora as respostas ocorram durante o Horário Comercial.</w:t>
      </w:r>
      <w:r w:rsidR="005A52A2" w:rsidRPr="00C50FD1">
        <w:rPr>
          <w:rFonts w:ascii="Tahoma" w:hAnsi="Tahoma" w:cs="Tahoma"/>
          <w:sz w:val="18"/>
          <w:szCs w:val="18"/>
          <w:lang w:val="pt-BR"/>
        </w:rPr>
        <w:t xml:space="preserve"> </w:t>
      </w:r>
      <w:r w:rsidRPr="00C50FD1">
        <w:rPr>
          <w:rFonts w:ascii="Tahoma" w:hAnsi="Tahoma" w:cs="Tahoma"/>
          <w:sz w:val="18"/>
          <w:szCs w:val="18"/>
          <w:lang w:val="pt-BR"/>
        </w:rPr>
        <w:t>Dessa maneira, os Incidentes com base na Web não devem ser iniciados no caso de situações críticas para os negócios que exijam uma assistência mais imediata. Consulte Variações de Horário Comercial por Região na seção “Prêmios de Incidentes de Suporte pelo Telefone” acima.</w:t>
      </w:r>
    </w:p>
    <w:p w:rsidR="00023FE7" w:rsidRPr="00C50FD1" w:rsidRDefault="00023FE7" w:rsidP="001C6BD7">
      <w:pPr>
        <w:pStyle w:val="AppendixBodyText"/>
        <w:spacing w:after="0" w:line="160" w:lineRule="exact"/>
        <w:rPr>
          <w:rFonts w:ascii="Tahoma" w:hAnsi="Tahoma" w:cs="Tahoma"/>
          <w:sz w:val="18"/>
          <w:szCs w:val="18"/>
          <w:lang w:val="pt-BR"/>
        </w:rPr>
      </w:pPr>
    </w:p>
    <w:p w:rsidR="00023FE7" w:rsidRPr="00C50FD1" w:rsidRDefault="00023FE7" w:rsidP="00F42FB8">
      <w:pPr>
        <w:pStyle w:val="AppendixBodyText"/>
        <w:spacing w:after="0"/>
        <w:rPr>
          <w:lang w:val="pt-BR"/>
        </w:rPr>
      </w:pPr>
      <w:r w:rsidRPr="00C50FD1">
        <w:rPr>
          <w:rFonts w:ascii="Tahoma" w:hAnsi="Tahoma" w:cs="Tahoma"/>
          <w:sz w:val="18"/>
          <w:szCs w:val="18"/>
          <w:lang w:val="pt-BR"/>
        </w:rPr>
        <w:t>Os incidentes iniciados via Telefone são descontados do saldo de incidentes por telefone disponíveis no momento da resolução.</w:t>
      </w:r>
      <w:r w:rsidR="005A52A2" w:rsidRPr="00C50FD1">
        <w:rPr>
          <w:rFonts w:ascii="Tahoma" w:hAnsi="Tahoma" w:cs="Tahoma"/>
          <w:sz w:val="18"/>
          <w:szCs w:val="18"/>
          <w:lang w:val="pt-BR"/>
        </w:rPr>
        <w:t xml:space="preserve"> </w:t>
      </w:r>
      <w:r w:rsidRPr="00C50FD1">
        <w:rPr>
          <w:rFonts w:ascii="Tahoma" w:hAnsi="Tahoma" w:cs="Tahoma"/>
          <w:sz w:val="18"/>
          <w:szCs w:val="18"/>
          <w:lang w:val="pt-BR"/>
        </w:rPr>
        <w:t>Os incidentes iniciados via Web tem como base a necessidade e serão conduzidos via Web, email e outros meios eletrônicos.</w:t>
      </w:r>
      <w:r w:rsidR="005A52A2" w:rsidRPr="00C50FD1">
        <w:rPr>
          <w:rFonts w:ascii="Tahoma" w:hAnsi="Tahoma" w:cs="Tahoma"/>
          <w:sz w:val="18"/>
          <w:szCs w:val="18"/>
          <w:lang w:val="pt-BR"/>
        </w:rPr>
        <w:t xml:space="preserve"> </w:t>
      </w:r>
      <w:r w:rsidRPr="00C50FD1">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5A52A2" w:rsidRPr="00C50FD1">
        <w:rPr>
          <w:rFonts w:ascii="Tahoma" w:hAnsi="Tahoma" w:cs="Tahoma"/>
          <w:sz w:val="18"/>
          <w:szCs w:val="18"/>
          <w:lang w:val="pt-BR"/>
        </w:rPr>
        <w:t xml:space="preserve"> </w:t>
      </w:r>
      <w:r w:rsidRPr="00C50FD1">
        <w:rPr>
          <w:rFonts w:ascii="Tahoma" w:hAnsi="Tahoma" w:cs="Tahoma"/>
          <w:sz w:val="18"/>
          <w:szCs w:val="18"/>
          <w:lang w:val="pt-BR"/>
        </w:rPr>
        <w:t>Os incidentes iniciados via Web e acompanhados por telefone pela Microsoft não serão descontados do saldo de incidentes por telefone disponíveis se a resolução continuar via Web, email e outros meios eletrônicos.</w:t>
      </w:r>
      <w:r w:rsidR="005A52A2" w:rsidRPr="00C50FD1">
        <w:rPr>
          <w:rFonts w:ascii="Tahoma" w:hAnsi="Tahoma" w:cs="Tahoma"/>
          <w:sz w:val="18"/>
          <w:szCs w:val="18"/>
          <w:lang w:val="pt-BR"/>
        </w:rPr>
        <w:t xml:space="preserve"> </w:t>
      </w:r>
    </w:p>
    <w:p w:rsidR="00023FE7" w:rsidRPr="00C50FD1" w:rsidRDefault="00023FE7" w:rsidP="001C6BD7">
      <w:pPr>
        <w:pStyle w:val="AppendixBodyText"/>
        <w:spacing w:after="0" w:line="160" w:lineRule="exact"/>
        <w:rPr>
          <w:rFonts w:ascii="Tahoma" w:hAnsi="Tahoma" w:cs="Tahoma"/>
          <w:sz w:val="18"/>
          <w:szCs w:val="18"/>
          <w:lang w:val="pt-BR"/>
        </w:rPr>
      </w:pPr>
    </w:p>
    <w:p w:rsidR="00023FE7" w:rsidRPr="00C50FD1" w:rsidRDefault="00023FE7" w:rsidP="00F42FB8">
      <w:pPr>
        <w:pStyle w:val="AppendixBodyText"/>
        <w:spacing w:after="0"/>
        <w:rPr>
          <w:lang w:val="pt-BR"/>
        </w:rPr>
      </w:pPr>
      <w:r w:rsidRPr="00C50FD1">
        <w:rPr>
          <w:rFonts w:ascii="Tahoma" w:hAnsi="Tahoma" w:cs="Tahoma"/>
          <w:sz w:val="18"/>
          <w:szCs w:val="18"/>
          <w:lang w:val="pt-BR"/>
        </w:rPr>
        <w:t>O Software Assurance é necessário para o software de servidor e as CALs relacionadas para incidentes de Suporte pela Web. Os clientes podem enviar apenas solicitações de Suporte para Resolução de Problemas com base na Web</w:t>
      </w:r>
      <w:r w:rsidR="00F7610F" w:rsidRPr="00C50FD1">
        <w:rPr>
          <w:rFonts w:ascii="Tahoma" w:hAnsi="Tahoma" w:cs="Tahoma"/>
          <w:sz w:val="18"/>
          <w:szCs w:val="18"/>
          <w:lang w:val="pt-BR"/>
        </w:rPr>
        <w:t> </w:t>
      </w:r>
      <w:r w:rsidRPr="00C50FD1">
        <w:rPr>
          <w:rFonts w:ascii="Tahoma" w:hAnsi="Tahoma" w:cs="Tahoma"/>
          <w:sz w:val="18"/>
          <w:szCs w:val="18"/>
          <w:lang w:val="pt-BR"/>
        </w:rPr>
        <w:t>relacionadas às cópias licenciadas do software de servidor coberto pelo Software Assurance.</w:t>
      </w:r>
    </w:p>
    <w:p w:rsidR="00023FE7" w:rsidRPr="00C50FD1" w:rsidRDefault="00023FE7" w:rsidP="001C6BD7">
      <w:pPr>
        <w:pStyle w:val="AppendixBodyText"/>
        <w:spacing w:after="0" w:line="160" w:lineRule="exact"/>
        <w:rPr>
          <w:rFonts w:ascii="Tahoma" w:hAnsi="Tahoma" w:cs="Tahoma"/>
          <w:sz w:val="18"/>
          <w:szCs w:val="18"/>
          <w:lang w:val="pt-BR"/>
        </w:rPr>
      </w:pPr>
    </w:p>
    <w:p w:rsidR="00023FE7" w:rsidRPr="00C50FD1" w:rsidRDefault="00023FE7" w:rsidP="00F42FB8">
      <w:pPr>
        <w:pStyle w:val="AppendixBodyText"/>
        <w:spacing w:after="0"/>
        <w:rPr>
          <w:lang w:val="pt-BR"/>
        </w:rPr>
      </w:pPr>
      <w:r w:rsidRPr="00C50FD1">
        <w:rPr>
          <w:rFonts w:ascii="Tahoma" w:hAnsi="Tahoma" w:cs="Tahoma"/>
          <w:sz w:val="18"/>
          <w:szCs w:val="18"/>
          <w:lang w:val="pt-BR"/>
        </w:rPr>
        <w:t>Os incidentes de Suporte pela Web não podem ser transferidos entre licenças.</w:t>
      </w:r>
      <w:r w:rsidR="005A52A2" w:rsidRPr="00C50FD1">
        <w:rPr>
          <w:rFonts w:ascii="Tahoma" w:hAnsi="Tahoma" w:cs="Tahoma"/>
          <w:sz w:val="18"/>
          <w:szCs w:val="18"/>
          <w:lang w:val="pt-BR"/>
        </w:rPr>
        <w:t xml:space="preserve"> </w:t>
      </w:r>
      <w:r w:rsidRPr="00C50FD1">
        <w:rPr>
          <w:rFonts w:ascii="Tahoma" w:hAnsi="Tahoma" w:cs="Tahoma"/>
          <w:sz w:val="18"/>
          <w:szCs w:val="18"/>
          <w:lang w:val="pt-BR"/>
        </w:rPr>
        <w:t>Consulte os direitos de uso do produto</w:t>
      </w:r>
      <w:r w:rsidR="00F7610F" w:rsidRPr="00C50FD1">
        <w:rPr>
          <w:rFonts w:ascii="Tahoma" w:hAnsi="Tahoma" w:cs="Tahoma"/>
          <w:sz w:val="18"/>
          <w:szCs w:val="18"/>
          <w:lang w:val="pt-BR"/>
        </w:rPr>
        <w:t> </w:t>
      </w:r>
      <w:r w:rsidRPr="00C50FD1">
        <w:rPr>
          <w:rFonts w:ascii="Tahoma" w:hAnsi="Tahoma" w:cs="Tahoma"/>
          <w:sz w:val="18"/>
          <w:szCs w:val="18"/>
          <w:lang w:val="pt-BR"/>
        </w:rPr>
        <w:t>para obter mais detalhes sobre como atribuir ou reatribuir licenças a servidores físicos.</w:t>
      </w:r>
    </w:p>
    <w:p w:rsidR="00697E59" w:rsidRPr="00C50FD1" w:rsidRDefault="00697E59" w:rsidP="001C6BD7">
      <w:pPr>
        <w:spacing w:line="160" w:lineRule="exact"/>
        <w:rPr>
          <w:rFonts w:cs="Tahoma"/>
          <w:szCs w:val="18"/>
          <w:lang w:val="pt-BR"/>
        </w:rPr>
      </w:pPr>
      <w:bookmarkStart w:id="796" w:name="_Toc240899165"/>
    </w:p>
    <w:p w:rsidR="00AD353C" w:rsidRPr="00C50FD1" w:rsidRDefault="00AD353C" w:rsidP="001C6BD7">
      <w:pPr>
        <w:spacing w:line="160" w:lineRule="exact"/>
        <w:rPr>
          <w:rFonts w:cs="Tahoma"/>
          <w:szCs w:val="18"/>
          <w:lang w:val="pt-BR"/>
        </w:rPr>
      </w:pPr>
    </w:p>
    <w:p w:rsidR="00AD353C" w:rsidRPr="00C50FD1" w:rsidRDefault="00AD353C" w:rsidP="001C6BD7">
      <w:pPr>
        <w:spacing w:line="160" w:lineRule="exact"/>
        <w:rPr>
          <w:rFonts w:cs="Tahoma"/>
          <w:szCs w:val="18"/>
          <w:lang w:val="pt-BR"/>
        </w:rPr>
      </w:pPr>
    </w:p>
    <w:p w:rsidR="00AD353C" w:rsidRPr="00C50FD1" w:rsidRDefault="00AD353C" w:rsidP="001C6BD7">
      <w:pPr>
        <w:spacing w:line="160" w:lineRule="exact"/>
        <w:rPr>
          <w:rFonts w:cs="Tahoma"/>
          <w:szCs w:val="18"/>
          <w:lang w:val="pt-BR"/>
        </w:rPr>
      </w:pPr>
    </w:p>
    <w:p w:rsidR="00AD353C" w:rsidRPr="00C50FD1" w:rsidRDefault="00AD353C" w:rsidP="001C6BD7">
      <w:pPr>
        <w:spacing w:line="160" w:lineRule="exact"/>
        <w:rPr>
          <w:rFonts w:cs="Tahoma"/>
          <w:szCs w:val="18"/>
          <w:lang w:val="pt-BR"/>
        </w:rPr>
      </w:pPr>
    </w:p>
    <w:p w:rsidR="00AD353C" w:rsidRPr="00C50FD1" w:rsidRDefault="00AD353C" w:rsidP="001C6BD7">
      <w:pPr>
        <w:spacing w:line="160" w:lineRule="exact"/>
        <w:rPr>
          <w:rFonts w:cs="Tahoma"/>
          <w:szCs w:val="18"/>
          <w:lang w:val="pt-BR"/>
        </w:rPr>
      </w:pPr>
    </w:p>
    <w:p w:rsidR="00AD353C" w:rsidRPr="00C50FD1" w:rsidRDefault="00AD353C" w:rsidP="001C6BD7">
      <w:pPr>
        <w:spacing w:line="160" w:lineRule="exact"/>
        <w:rPr>
          <w:rFonts w:cs="Tahoma"/>
          <w:szCs w:val="18"/>
          <w:lang w:val="pt-BR"/>
        </w:rPr>
      </w:pPr>
    </w:p>
    <w:p w:rsidR="00AD353C" w:rsidRPr="00C50FD1" w:rsidRDefault="00AD353C" w:rsidP="001C6BD7">
      <w:pPr>
        <w:spacing w:line="160" w:lineRule="exact"/>
        <w:rPr>
          <w:rFonts w:cs="Tahoma"/>
          <w:szCs w:val="18"/>
          <w:lang w:val="pt-BR"/>
        </w:rPr>
      </w:pPr>
    </w:p>
    <w:p w:rsidR="00023FE7" w:rsidRPr="00C50FD1" w:rsidRDefault="00023FE7" w:rsidP="00F93617">
      <w:pPr>
        <w:spacing w:after="60"/>
        <w:rPr>
          <w:lang w:val="pt-BR"/>
        </w:rPr>
      </w:pPr>
      <w:r w:rsidRPr="00C50FD1">
        <w:rPr>
          <w:rFonts w:cs="Tahoma"/>
          <w:b/>
          <w:szCs w:val="20"/>
          <w:lang w:val="pt-BR"/>
        </w:rPr>
        <w:lastRenderedPageBreak/>
        <w:t>Contatos de Suporte</w:t>
      </w:r>
      <w:bookmarkEnd w:id="796"/>
    </w:p>
    <w:p w:rsidR="00023FE7" w:rsidRPr="00C50FD1" w:rsidRDefault="00023FE7" w:rsidP="00F42FB8">
      <w:pPr>
        <w:pStyle w:val="AppendixBodyText"/>
        <w:spacing w:after="0"/>
        <w:rPr>
          <w:lang w:val="pt-BR"/>
        </w:rPr>
      </w:pPr>
      <w:r w:rsidRPr="00C50FD1">
        <w:rPr>
          <w:rFonts w:ascii="Tahoma" w:hAnsi="Tahoma" w:cs="Tahoma"/>
          <w:sz w:val="18"/>
          <w:szCs w:val="18"/>
          <w:lang w:val="pt-BR"/>
        </w:rPr>
        <w:t>O número de contatos de suporte permitidos varia de acordo com o programa de Licenciamento por Volume e o</w:t>
      </w:r>
      <w:r w:rsidR="00F7610F" w:rsidRPr="00C50FD1">
        <w:rPr>
          <w:rFonts w:ascii="Tahoma" w:hAnsi="Tahoma" w:cs="Tahoma"/>
          <w:sz w:val="18"/>
          <w:szCs w:val="18"/>
          <w:lang w:val="pt-BR"/>
        </w:rPr>
        <w:t> </w:t>
      </w:r>
      <w:r w:rsidRPr="00C50FD1">
        <w:rPr>
          <w:rFonts w:ascii="Tahoma" w:hAnsi="Tahoma" w:cs="Tahoma"/>
          <w:sz w:val="18"/>
          <w:szCs w:val="18"/>
          <w:lang w:val="pt-BR"/>
        </w:rPr>
        <w:t>número de licenças cobertas pelo Software Assurance, conforme mostrado a seguir.</w:t>
      </w:r>
      <w:r w:rsidR="005A52A2" w:rsidRPr="00C50FD1">
        <w:rPr>
          <w:rFonts w:ascii="Tahoma" w:hAnsi="Tahoma" w:cs="Tahoma"/>
          <w:sz w:val="18"/>
          <w:szCs w:val="18"/>
          <w:lang w:val="pt-BR"/>
        </w:rPr>
        <w:t xml:space="preserve"> </w:t>
      </w:r>
      <w:r w:rsidRPr="00C50FD1">
        <w:rPr>
          <w:rFonts w:ascii="Tahoma" w:hAnsi="Tahoma" w:cs="Tahoma"/>
          <w:sz w:val="18"/>
          <w:szCs w:val="18"/>
          <w:lang w:val="pt-BR"/>
        </w:rPr>
        <w:t>Os contatos devem ser indivíduos nomeados e podem incluir indivíduos de fora da organização do cliente.</w:t>
      </w:r>
      <w:r w:rsidR="005A52A2" w:rsidRPr="00C50FD1">
        <w:rPr>
          <w:rFonts w:ascii="Tahoma" w:hAnsi="Tahoma" w:cs="Tahoma"/>
          <w:sz w:val="18"/>
          <w:szCs w:val="18"/>
          <w:lang w:val="pt-BR"/>
        </w:rPr>
        <w:t xml:space="preserve"> </w:t>
      </w:r>
      <w:r w:rsidRPr="00C50FD1">
        <w:rPr>
          <w:rFonts w:ascii="Tahoma" w:hAnsi="Tahoma" w:cs="Tahoma"/>
          <w:sz w:val="18"/>
          <w:szCs w:val="18"/>
          <w:lang w:val="pt-BR"/>
        </w:rPr>
        <w:t>Entretanto, o nome de uma</w:t>
      </w:r>
      <w:r w:rsidR="00F7610F" w:rsidRPr="00C50FD1">
        <w:rPr>
          <w:rFonts w:ascii="Tahoma" w:hAnsi="Tahoma" w:cs="Tahoma"/>
          <w:sz w:val="18"/>
          <w:szCs w:val="18"/>
          <w:lang w:val="pt-BR"/>
        </w:rPr>
        <w:t> </w:t>
      </w:r>
      <w:r w:rsidRPr="00C50FD1">
        <w:rPr>
          <w:rFonts w:ascii="Tahoma" w:hAnsi="Tahoma" w:cs="Tahoma"/>
          <w:sz w:val="18"/>
          <w:szCs w:val="18"/>
          <w:lang w:val="pt-BR"/>
        </w:rPr>
        <w:t>organização, um departamento ou um grupo não pode ser listado como um contato.</w:t>
      </w:r>
    </w:p>
    <w:p w:rsidR="00F7610F" w:rsidRPr="00C50FD1" w:rsidRDefault="00F7610F" w:rsidP="001C6BD7">
      <w:pPr>
        <w:pStyle w:val="AppendixBodyText"/>
        <w:spacing w:after="0" w:line="160" w:lineRule="exact"/>
        <w:rPr>
          <w:rFonts w:ascii="Tahoma" w:hAnsi="Tahoma" w:cs="Tahoma"/>
          <w:sz w:val="18"/>
          <w:szCs w:val="18"/>
          <w:lang w:val="pt-BR"/>
        </w:rPr>
      </w:pPr>
    </w:p>
    <w:tbl>
      <w:tblPr>
        <w:tblW w:w="969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080"/>
        <w:gridCol w:w="1080"/>
        <w:gridCol w:w="1233"/>
        <w:gridCol w:w="1260"/>
        <w:gridCol w:w="1260"/>
        <w:gridCol w:w="1260"/>
      </w:tblGrid>
      <w:tr w:rsidR="00023FE7" w:rsidRPr="00C50FD1" w:rsidTr="00F7610F">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53421" w:rsidRDefault="00023FE7">
            <w:pPr>
              <w:pStyle w:val="AppendixBodyText"/>
              <w:rPr>
                <w:rFonts w:ascii="Tahoma" w:hAnsi="Tahoma" w:cs="Tahoma"/>
                <w:b/>
                <w:bCs/>
              </w:rPr>
            </w:pPr>
            <w:r w:rsidRPr="00653421">
              <w:rPr>
                <w:rFonts w:ascii="Tahoma" w:hAnsi="Tahoma" w:cs="Tahoma"/>
                <w:b/>
                <w:bCs/>
              </w:rPr>
              <w:t>Benefícios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53421" w:rsidRDefault="00023FE7">
            <w:pPr>
              <w:pStyle w:val="AppendixBodyText"/>
              <w:rPr>
                <w:rFonts w:ascii="Tahoma" w:hAnsi="Tahoma" w:cs="Tahoma"/>
                <w:b/>
                <w:bCs/>
              </w:rPr>
            </w:pPr>
            <w:r w:rsidRPr="00653421">
              <w:rPr>
                <w:rFonts w:ascii="Tahoma" w:hAnsi="Tahoma" w:cs="Tahoma"/>
                <w:b/>
                <w:bCs/>
              </w:rPr>
              <w:t>Licença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53421" w:rsidRDefault="00023FE7" w:rsidP="007E466C">
            <w:pPr>
              <w:pStyle w:val="AppendixBodyText"/>
              <w:spacing w:before="120" w:after="120"/>
              <w:rPr>
                <w:rFonts w:ascii="Tahoma" w:hAnsi="Tahoma" w:cs="Tahoma"/>
                <w:b/>
              </w:rPr>
            </w:pPr>
            <w:r w:rsidRPr="00653421">
              <w:rPr>
                <w:rFonts w:ascii="Tahoma" w:hAnsi="Tahoma" w:cs="Tahoma"/>
                <w:b/>
                <w:bCs/>
              </w:rPr>
              <w:t>Open Value(1)</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50FD1" w:rsidRDefault="00023FE7">
            <w:pPr>
              <w:pStyle w:val="AppendixBodyText"/>
              <w:rPr>
                <w:lang w:val="pt-BR"/>
              </w:rPr>
            </w:pPr>
            <w:r w:rsidRPr="00C50FD1">
              <w:rPr>
                <w:rFonts w:ascii="Tahoma" w:hAnsi="Tahoma" w:cs="Tahoma"/>
                <w:b/>
                <w:bCs/>
                <w:lang w:val="pt-BR"/>
              </w:rPr>
              <w:t>Licença Select/</w:t>
            </w:r>
            <w:r w:rsidR="00F7610F" w:rsidRPr="00C50FD1">
              <w:rPr>
                <w:rFonts w:ascii="Tahoma" w:hAnsi="Tahoma" w:cs="Tahoma"/>
                <w:b/>
                <w:bCs/>
                <w:lang w:val="pt-BR"/>
              </w:rPr>
              <w:br/>
            </w:r>
            <w:r w:rsidRPr="00C50FD1">
              <w:rPr>
                <w:rFonts w:ascii="Tahoma" w:hAnsi="Tahoma" w:cs="Tahoma"/>
                <w:b/>
                <w:bCs/>
                <w:lang w:val="pt-BR"/>
              </w:rPr>
              <w:t>Select Plus/</w:t>
            </w:r>
            <w:r w:rsidR="00F7610F" w:rsidRPr="00C50FD1">
              <w:rPr>
                <w:rFonts w:ascii="Tahoma" w:hAnsi="Tahoma" w:cs="Tahoma"/>
                <w:b/>
                <w:bCs/>
                <w:lang w:val="pt-BR"/>
              </w:rPr>
              <w:br/>
            </w:r>
            <w:r w:rsidRPr="00C50FD1">
              <w:rPr>
                <w:rFonts w:ascii="Tahoma" w:hAnsi="Tahoma" w:cs="Tahoma"/>
                <w:b/>
                <w:bCs/>
                <w:lang w:val="pt-BR"/>
              </w:rPr>
              <w:t>Contrato Enterprise</w:t>
            </w:r>
          </w:p>
          <w:p w:rsidR="00023FE7" w:rsidRPr="00C50FD1" w:rsidRDefault="00023FE7">
            <w:pPr>
              <w:pStyle w:val="AppendixBodyText"/>
              <w:rPr>
                <w:rFonts w:ascii="Tahoma" w:hAnsi="Tahoma" w:cs="Tahoma"/>
                <w:b/>
                <w:bCs/>
                <w:lang w:val="pt-BR"/>
              </w:rPr>
            </w:pPr>
            <w:r w:rsidRPr="00C50FD1">
              <w:rPr>
                <w:rFonts w:ascii="Tahoma" w:hAnsi="Tahoma" w:cs="Tahoma"/>
                <w:b/>
                <w:bCs/>
                <w:lang w:val="pt-BR"/>
              </w:rPr>
              <w:t>Nível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50FD1" w:rsidRDefault="00023FE7">
            <w:pPr>
              <w:pStyle w:val="AppendixBodyText"/>
              <w:rPr>
                <w:lang w:val="pt-BR"/>
              </w:rPr>
            </w:pPr>
            <w:r w:rsidRPr="00C50FD1">
              <w:rPr>
                <w:rFonts w:ascii="Tahoma" w:hAnsi="Tahoma" w:cs="Tahoma"/>
                <w:b/>
                <w:bCs/>
                <w:lang w:val="pt-BR"/>
              </w:rPr>
              <w:t>Licença Select/</w:t>
            </w:r>
            <w:r w:rsidR="00F7610F" w:rsidRPr="00C50FD1">
              <w:rPr>
                <w:rFonts w:ascii="Tahoma" w:hAnsi="Tahoma" w:cs="Tahoma"/>
                <w:b/>
                <w:bCs/>
                <w:lang w:val="pt-BR"/>
              </w:rPr>
              <w:br/>
            </w:r>
            <w:r w:rsidRPr="00C50FD1">
              <w:rPr>
                <w:rFonts w:ascii="Tahoma" w:hAnsi="Tahoma" w:cs="Tahoma"/>
                <w:b/>
                <w:bCs/>
                <w:lang w:val="pt-BR"/>
              </w:rPr>
              <w:t>Select Plus/</w:t>
            </w:r>
            <w:r w:rsidR="00F7610F" w:rsidRPr="00C50FD1">
              <w:rPr>
                <w:rFonts w:ascii="Tahoma" w:hAnsi="Tahoma" w:cs="Tahoma"/>
                <w:b/>
                <w:bCs/>
                <w:lang w:val="pt-BR"/>
              </w:rPr>
              <w:br/>
            </w:r>
            <w:r w:rsidRPr="00C50FD1">
              <w:rPr>
                <w:rFonts w:ascii="Tahoma" w:hAnsi="Tahoma" w:cs="Tahoma"/>
                <w:b/>
                <w:bCs/>
                <w:lang w:val="pt-BR"/>
              </w:rPr>
              <w:t>Contrato Enterprise</w:t>
            </w:r>
          </w:p>
          <w:p w:rsidR="00023FE7" w:rsidRPr="00C50FD1" w:rsidRDefault="00023FE7">
            <w:pPr>
              <w:pStyle w:val="AppendixBodyText"/>
              <w:rPr>
                <w:rFonts w:ascii="Tahoma" w:hAnsi="Tahoma" w:cs="Tahoma"/>
                <w:b/>
                <w:bCs/>
                <w:lang w:val="pt-BR"/>
              </w:rPr>
            </w:pPr>
            <w:r w:rsidRPr="00C50FD1">
              <w:rPr>
                <w:rFonts w:ascii="Tahoma" w:hAnsi="Tahoma" w:cs="Tahoma"/>
                <w:b/>
                <w:bCs/>
                <w:lang w:val="pt-BR"/>
              </w:rPr>
              <w:t>Nível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50FD1" w:rsidRDefault="00023FE7">
            <w:pPr>
              <w:pStyle w:val="AppendixBodyText"/>
              <w:rPr>
                <w:lang w:val="pt-BR"/>
              </w:rPr>
            </w:pPr>
            <w:r w:rsidRPr="00C50FD1">
              <w:rPr>
                <w:rFonts w:ascii="Tahoma" w:hAnsi="Tahoma" w:cs="Tahoma"/>
                <w:b/>
                <w:bCs/>
                <w:lang w:val="pt-BR"/>
              </w:rPr>
              <w:t>Licença Select/</w:t>
            </w:r>
            <w:r w:rsidR="00F7610F" w:rsidRPr="00C50FD1">
              <w:rPr>
                <w:rFonts w:ascii="Tahoma" w:hAnsi="Tahoma" w:cs="Tahoma"/>
                <w:b/>
                <w:bCs/>
                <w:lang w:val="pt-BR"/>
              </w:rPr>
              <w:br/>
            </w:r>
            <w:r w:rsidRPr="00C50FD1">
              <w:rPr>
                <w:rFonts w:ascii="Tahoma" w:hAnsi="Tahoma" w:cs="Tahoma"/>
                <w:b/>
                <w:bCs/>
                <w:lang w:val="pt-BR"/>
              </w:rPr>
              <w:t>Select Plus/</w:t>
            </w:r>
            <w:r w:rsidR="00F7610F" w:rsidRPr="00C50FD1">
              <w:rPr>
                <w:rFonts w:ascii="Tahoma" w:hAnsi="Tahoma" w:cs="Tahoma"/>
                <w:b/>
                <w:bCs/>
                <w:lang w:val="pt-BR"/>
              </w:rPr>
              <w:br/>
            </w:r>
            <w:r w:rsidRPr="00C50FD1">
              <w:rPr>
                <w:rFonts w:ascii="Tahoma" w:hAnsi="Tahoma" w:cs="Tahoma"/>
                <w:b/>
                <w:bCs/>
                <w:lang w:val="pt-BR"/>
              </w:rPr>
              <w:t>Contrato Enterprise</w:t>
            </w:r>
          </w:p>
          <w:p w:rsidR="00023FE7" w:rsidRPr="00C50FD1" w:rsidRDefault="00023FE7">
            <w:pPr>
              <w:pStyle w:val="AppendixBodyText"/>
              <w:rPr>
                <w:rFonts w:ascii="Tahoma" w:hAnsi="Tahoma" w:cs="Tahoma"/>
                <w:b/>
                <w:bCs/>
                <w:lang w:val="pt-BR"/>
              </w:rPr>
            </w:pPr>
            <w:r w:rsidRPr="00C50FD1">
              <w:rPr>
                <w:rFonts w:ascii="Tahoma" w:hAnsi="Tahoma" w:cs="Tahoma"/>
                <w:b/>
                <w:bCs/>
                <w:lang w:val="pt-BR"/>
              </w:rPr>
              <w:t>Nível C</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50FD1" w:rsidRDefault="00023FE7">
            <w:pPr>
              <w:pStyle w:val="AppendixBodyText"/>
              <w:rPr>
                <w:lang w:val="pt-BR"/>
              </w:rPr>
            </w:pPr>
            <w:r w:rsidRPr="00C50FD1">
              <w:rPr>
                <w:rFonts w:ascii="Tahoma" w:hAnsi="Tahoma" w:cs="Tahoma"/>
                <w:b/>
                <w:bCs/>
                <w:lang w:val="pt-BR"/>
              </w:rPr>
              <w:t>Licença Select/</w:t>
            </w:r>
            <w:r w:rsidR="00F7610F" w:rsidRPr="00C50FD1">
              <w:rPr>
                <w:rFonts w:ascii="Tahoma" w:hAnsi="Tahoma" w:cs="Tahoma"/>
                <w:b/>
                <w:bCs/>
                <w:lang w:val="pt-BR"/>
              </w:rPr>
              <w:br/>
            </w:r>
            <w:r w:rsidRPr="00C50FD1">
              <w:rPr>
                <w:rFonts w:ascii="Tahoma" w:hAnsi="Tahoma" w:cs="Tahoma"/>
                <w:b/>
                <w:bCs/>
                <w:lang w:val="pt-BR"/>
              </w:rPr>
              <w:t>Select Plus/</w:t>
            </w:r>
            <w:r w:rsidR="00F7610F" w:rsidRPr="00C50FD1">
              <w:rPr>
                <w:rFonts w:ascii="Tahoma" w:hAnsi="Tahoma" w:cs="Tahoma"/>
                <w:b/>
                <w:bCs/>
                <w:lang w:val="pt-BR"/>
              </w:rPr>
              <w:br/>
            </w:r>
            <w:r w:rsidRPr="00C50FD1">
              <w:rPr>
                <w:rFonts w:ascii="Tahoma" w:hAnsi="Tahoma" w:cs="Tahoma"/>
                <w:b/>
                <w:bCs/>
                <w:lang w:val="pt-BR"/>
              </w:rPr>
              <w:t>Contrato Enterprise</w:t>
            </w:r>
          </w:p>
          <w:p w:rsidR="00023FE7" w:rsidRPr="00C50FD1" w:rsidRDefault="00023FE7">
            <w:pPr>
              <w:pStyle w:val="AppendixBodyText"/>
              <w:rPr>
                <w:rFonts w:ascii="Tahoma" w:hAnsi="Tahoma" w:cs="Tahoma"/>
                <w:b/>
                <w:bCs/>
                <w:lang w:val="pt-BR"/>
              </w:rPr>
            </w:pPr>
            <w:r w:rsidRPr="00C50FD1">
              <w:rPr>
                <w:rFonts w:ascii="Tahoma" w:hAnsi="Tahoma" w:cs="Tahoma"/>
                <w:b/>
                <w:bCs/>
                <w:lang w:val="pt-BR"/>
              </w:rPr>
              <w:t>Nível D</w:t>
            </w:r>
          </w:p>
        </w:tc>
      </w:tr>
      <w:tr w:rsidR="00023FE7" w:rsidRPr="00653421" w:rsidTr="00F7610F">
        <w:trPr>
          <w:trHeight w:val="236"/>
        </w:trPr>
        <w:tc>
          <w:tcPr>
            <w:tcW w:w="2520" w:type="dxa"/>
            <w:vAlign w:val="center"/>
          </w:tcPr>
          <w:p w:rsidR="00023FE7" w:rsidRPr="00C50FD1" w:rsidRDefault="00023FE7">
            <w:pPr>
              <w:pStyle w:val="AppendixBodyText"/>
              <w:rPr>
                <w:rFonts w:ascii="Tahoma" w:hAnsi="Tahoma" w:cs="Tahoma"/>
                <w:sz w:val="18"/>
                <w:szCs w:val="18"/>
                <w:lang w:val="pt-BR"/>
              </w:rPr>
            </w:pPr>
            <w:r w:rsidRPr="00C50FD1">
              <w:rPr>
                <w:rFonts w:ascii="Tahoma" w:hAnsi="Tahoma" w:cs="Tahoma"/>
                <w:sz w:val="18"/>
                <w:szCs w:val="18"/>
                <w:lang w:val="pt-BR"/>
              </w:rPr>
              <w:t>Nº de Contatos de Suporte por Telefone para Resolução de Problemas</w:t>
            </w:r>
          </w:p>
        </w:tc>
        <w:tc>
          <w:tcPr>
            <w:tcW w:w="1080" w:type="dxa"/>
            <w:vAlign w:val="center"/>
          </w:tcPr>
          <w:p w:rsidR="00023FE7" w:rsidRPr="00653421" w:rsidRDefault="00620185">
            <w:pPr>
              <w:pStyle w:val="AppendixBodyText"/>
              <w:rPr>
                <w:rFonts w:ascii="Tahoma" w:hAnsi="Tahoma" w:cs="Tahoma"/>
                <w:sz w:val="18"/>
                <w:szCs w:val="18"/>
              </w:rPr>
            </w:pPr>
            <w:r w:rsidRPr="00653421">
              <w:rPr>
                <w:rFonts w:ascii="Tahoma" w:hAnsi="Tahoma" w:cs="Tahoma"/>
                <w:sz w:val="18"/>
                <w:szCs w:val="18"/>
              </w:rPr>
              <w:t>Conforme Necessário</w:t>
            </w:r>
          </w:p>
        </w:tc>
        <w:tc>
          <w:tcPr>
            <w:tcW w:w="1080"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Conforme Necessário</w:t>
            </w:r>
          </w:p>
        </w:tc>
        <w:tc>
          <w:tcPr>
            <w:tcW w:w="1233"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Conforme Necessário</w:t>
            </w:r>
          </w:p>
        </w:tc>
        <w:tc>
          <w:tcPr>
            <w:tcW w:w="1260"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Conforme Necessário</w:t>
            </w:r>
          </w:p>
        </w:tc>
        <w:tc>
          <w:tcPr>
            <w:tcW w:w="1260"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Conforme Necessário</w:t>
            </w:r>
          </w:p>
        </w:tc>
        <w:tc>
          <w:tcPr>
            <w:tcW w:w="1260"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Conforme Necessário</w:t>
            </w:r>
          </w:p>
        </w:tc>
      </w:tr>
      <w:tr w:rsidR="00023FE7" w:rsidRPr="00653421" w:rsidTr="00F7610F">
        <w:trPr>
          <w:trHeight w:val="236"/>
        </w:trPr>
        <w:tc>
          <w:tcPr>
            <w:tcW w:w="2520" w:type="dxa"/>
            <w:vAlign w:val="center"/>
          </w:tcPr>
          <w:p w:rsidR="00023FE7" w:rsidRPr="00C50FD1" w:rsidRDefault="00023FE7">
            <w:pPr>
              <w:pStyle w:val="AppendixBodyText"/>
              <w:rPr>
                <w:rFonts w:ascii="Tahoma" w:hAnsi="Tahoma" w:cs="Tahoma"/>
                <w:sz w:val="18"/>
                <w:szCs w:val="18"/>
                <w:lang w:val="pt-BR"/>
              </w:rPr>
            </w:pPr>
            <w:r w:rsidRPr="00C50FD1">
              <w:rPr>
                <w:rFonts w:ascii="Tahoma" w:hAnsi="Tahoma" w:cs="Tahoma"/>
                <w:sz w:val="18"/>
                <w:szCs w:val="18"/>
                <w:lang w:val="pt-BR"/>
              </w:rPr>
              <w:t>Nº de Contatos de Suporte pela Web Autorizados</w:t>
            </w:r>
          </w:p>
        </w:tc>
        <w:tc>
          <w:tcPr>
            <w:tcW w:w="1080"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N/D</w:t>
            </w:r>
          </w:p>
        </w:tc>
        <w:tc>
          <w:tcPr>
            <w:tcW w:w="1080"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1</w:t>
            </w:r>
          </w:p>
        </w:tc>
        <w:tc>
          <w:tcPr>
            <w:tcW w:w="1233"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2</w:t>
            </w:r>
          </w:p>
        </w:tc>
        <w:tc>
          <w:tcPr>
            <w:tcW w:w="1260"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4</w:t>
            </w:r>
          </w:p>
        </w:tc>
        <w:tc>
          <w:tcPr>
            <w:tcW w:w="1260"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8</w:t>
            </w:r>
          </w:p>
        </w:tc>
        <w:tc>
          <w:tcPr>
            <w:tcW w:w="1260" w:type="dxa"/>
            <w:vAlign w:val="cente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16</w:t>
            </w:r>
          </w:p>
        </w:tc>
      </w:tr>
    </w:tbl>
    <w:p w:rsidR="00AD353C" w:rsidRPr="00653421" w:rsidRDefault="00AD353C" w:rsidP="00F93617">
      <w:pPr>
        <w:spacing w:after="60"/>
        <w:rPr>
          <w:rFonts w:cs="Tahoma"/>
          <w:b/>
          <w:szCs w:val="20"/>
        </w:rPr>
      </w:pPr>
      <w:bookmarkStart w:id="797" w:name="_Toc240899166"/>
    </w:p>
    <w:p w:rsidR="001C20C9" w:rsidRPr="00C50FD1" w:rsidRDefault="00023FE7" w:rsidP="00F93617">
      <w:pPr>
        <w:spacing w:after="60"/>
        <w:rPr>
          <w:lang w:val="pt-BR"/>
        </w:rPr>
      </w:pPr>
      <w:r w:rsidRPr="00C50FD1">
        <w:rPr>
          <w:rFonts w:cs="Tahoma"/>
          <w:b/>
          <w:szCs w:val="20"/>
          <w:lang w:val="pt-BR"/>
        </w:rPr>
        <w:t>Nível de Serviço para Clientes do Software Assurance</w:t>
      </w:r>
      <w:bookmarkEnd w:id="797"/>
    </w:p>
    <w:p w:rsidR="00023FE7" w:rsidRPr="00C50FD1" w:rsidRDefault="00023FE7" w:rsidP="00F42FB8">
      <w:pPr>
        <w:pStyle w:val="AppendixBodyText"/>
        <w:spacing w:after="0"/>
        <w:rPr>
          <w:lang w:val="pt-BR"/>
        </w:rPr>
      </w:pPr>
    </w:p>
    <w:p w:rsidR="00023FE7" w:rsidRPr="00C50FD1" w:rsidRDefault="00023FE7" w:rsidP="00F93617">
      <w:pPr>
        <w:pStyle w:val="AppendixBodyText"/>
        <w:spacing w:after="0"/>
        <w:rPr>
          <w:lang w:val="pt-BR"/>
        </w:rPr>
      </w:pPr>
      <w:r w:rsidRPr="00C50FD1">
        <w:rPr>
          <w:rFonts w:ascii="Tahoma" w:hAnsi="Tahoma" w:cs="Tahoma"/>
          <w:sz w:val="18"/>
          <w:szCs w:val="18"/>
          <w:lang w:val="pt-BR"/>
        </w:rPr>
        <w:t>As solicitações de suporte podem ser realizadas por telefone ou eletronicamente por meio de contatos designados de</w:t>
      </w:r>
      <w:r w:rsidR="00F7610F" w:rsidRPr="00C50FD1">
        <w:rPr>
          <w:rFonts w:ascii="Tahoma" w:hAnsi="Tahoma" w:cs="Tahoma"/>
          <w:sz w:val="18"/>
          <w:szCs w:val="18"/>
          <w:lang w:val="pt-BR"/>
        </w:rPr>
        <w:t> </w:t>
      </w:r>
      <w:r w:rsidRPr="00C50FD1">
        <w:rPr>
          <w:rFonts w:ascii="Tahoma" w:hAnsi="Tahoma" w:cs="Tahoma"/>
          <w:sz w:val="18"/>
          <w:szCs w:val="18"/>
          <w:lang w:val="pt-BR"/>
        </w:rPr>
        <w:t xml:space="preserve">um cliente, exceto para Severidade A e B, que devem ser solicitadas por telefone, conforme definido a seguir. </w:t>
      </w:r>
    </w:p>
    <w:p w:rsidR="00023FE7" w:rsidRPr="00C50FD1" w:rsidRDefault="00023FE7" w:rsidP="00F42FB8">
      <w:pPr>
        <w:pStyle w:val="AppendixBodyText"/>
        <w:spacing w:after="0"/>
        <w:rPr>
          <w:lang w:val="pt-BR"/>
        </w:rPr>
      </w:pPr>
    </w:p>
    <w:p w:rsidR="00023FE7" w:rsidRPr="00C50FD1" w:rsidRDefault="00023FE7" w:rsidP="00F93617">
      <w:pPr>
        <w:pStyle w:val="AppendixBodyText"/>
        <w:spacing w:after="0"/>
        <w:rPr>
          <w:lang w:val="pt-BR"/>
        </w:rPr>
      </w:pPr>
      <w:r w:rsidRPr="00C50FD1">
        <w:rPr>
          <w:rFonts w:ascii="Tahoma" w:hAnsi="Tahoma" w:cs="Tahoma"/>
          <w:sz w:val="18"/>
          <w:szCs w:val="18"/>
          <w:lang w:val="pt-BR"/>
        </w:rPr>
        <w:t>Os clientes são responsáveis pela definição do nível inicial de severidade ao nos consultar e podem solicitar uma alteração no nível de severidade a qualquer momento.</w:t>
      </w:r>
      <w:r w:rsidR="005A52A2" w:rsidRPr="00C50FD1">
        <w:rPr>
          <w:rFonts w:ascii="Tahoma" w:hAnsi="Tahoma" w:cs="Tahoma"/>
          <w:sz w:val="18"/>
          <w:szCs w:val="18"/>
          <w:lang w:val="pt-BR"/>
        </w:rPr>
        <w:t xml:space="preserve"> </w:t>
      </w:r>
      <w:r w:rsidRPr="00C50FD1">
        <w:rPr>
          <w:rFonts w:ascii="Tahoma" w:hAnsi="Tahoma" w:cs="Tahoma"/>
          <w:sz w:val="18"/>
          <w:szCs w:val="18"/>
          <w:lang w:val="pt-BR"/>
        </w:rPr>
        <w:t>A severidade do incidente determinará os níveis de resposta na Microsoft e o tempo estimado de resposta. As responsabilidades dos clientes são definidas na tabela a seguir:</w:t>
      </w:r>
    </w:p>
    <w:p w:rsidR="00023FE7" w:rsidRPr="00C50FD1" w:rsidRDefault="00023FE7">
      <w:pPr>
        <w:pStyle w:val="AppendixBodyText"/>
        <w:rPr>
          <w:lang w:val="pt-BR"/>
        </w:rPr>
      </w:pPr>
    </w:p>
    <w:tbl>
      <w:tblPr>
        <w:tblW w:w="9477" w:type="dxa"/>
        <w:tblInd w:w="108" w:type="dxa"/>
        <w:tblLayout w:type="fixed"/>
        <w:tblCellMar>
          <w:left w:w="0" w:type="dxa"/>
          <w:right w:w="0" w:type="dxa"/>
        </w:tblCellMar>
        <w:tblLook w:val="0000" w:firstRow="0" w:lastRow="0" w:firstColumn="0" w:lastColumn="0" w:noHBand="0" w:noVBand="0"/>
      </w:tblPr>
      <w:tblGrid>
        <w:gridCol w:w="1350"/>
        <w:gridCol w:w="2790"/>
        <w:gridCol w:w="2790"/>
        <w:gridCol w:w="2547"/>
      </w:tblGrid>
      <w:tr w:rsidR="00023FE7" w:rsidRPr="00653421" w:rsidTr="00AD353C">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53421" w:rsidRDefault="00023FE7">
            <w:pPr>
              <w:pStyle w:val="AppendixBodyText"/>
              <w:spacing w:after="0"/>
              <w:jc w:val="center"/>
              <w:rPr>
                <w:rFonts w:ascii="Tahoma" w:hAnsi="Tahoma" w:cs="Tahoma"/>
                <w:b/>
                <w:bCs/>
              </w:rPr>
            </w:pPr>
            <w:r w:rsidRPr="00653421">
              <w:rPr>
                <w:rFonts w:ascii="Tahoma" w:hAnsi="Tahoma" w:cs="Tahoma"/>
                <w:b/>
                <w:bCs/>
              </w:rPr>
              <w:t>Severidade</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53421" w:rsidRDefault="00023FE7">
            <w:pPr>
              <w:pStyle w:val="AppendixBodyText"/>
              <w:spacing w:after="0"/>
              <w:jc w:val="center"/>
              <w:rPr>
                <w:rFonts w:ascii="Tahoma" w:hAnsi="Tahoma" w:cs="Tahoma"/>
                <w:b/>
                <w:bCs/>
              </w:rPr>
            </w:pPr>
            <w:r w:rsidRPr="00653421">
              <w:rPr>
                <w:rFonts w:ascii="Tahoma" w:hAnsi="Tahoma" w:cs="Tahoma"/>
                <w:b/>
                <w:bCs/>
              </w:rPr>
              <w:t>Situação</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53421" w:rsidRDefault="00023FE7">
            <w:pPr>
              <w:pStyle w:val="AppendixBodyText"/>
              <w:spacing w:after="0"/>
              <w:jc w:val="center"/>
              <w:rPr>
                <w:rFonts w:ascii="Tahoma" w:hAnsi="Tahoma" w:cs="Tahoma"/>
                <w:b/>
                <w:bCs/>
              </w:rPr>
            </w:pPr>
            <w:r w:rsidRPr="00653421">
              <w:rPr>
                <w:rFonts w:ascii="Tahoma" w:hAnsi="Tahoma" w:cs="Tahoma"/>
                <w:b/>
                <w:bCs/>
              </w:rPr>
              <w:t>Nossa Resposta Esperada</w:t>
            </w:r>
          </w:p>
        </w:tc>
        <w:tc>
          <w:tcPr>
            <w:tcW w:w="254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53421" w:rsidRDefault="00023FE7" w:rsidP="00F7610F">
            <w:pPr>
              <w:pStyle w:val="AppendixBodyText"/>
              <w:spacing w:after="0"/>
              <w:jc w:val="center"/>
              <w:rPr>
                <w:rFonts w:ascii="Tahoma" w:hAnsi="Tahoma" w:cs="Tahoma"/>
                <w:b/>
                <w:bCs/>
              </w:rPr>
            </w:pPr>
            <w:r w:rsidRPr="00653421">
              <w:rPr>
                <w:rFonts w:ascii="Tahoma" w:hAnsi="Tahoma" w:cs="Tahoma"/>
                <w:b/>
                <w:bCs/>
              </w:rPr>
              <w:t>Resposta Esperada do</w:t>
            </w:r>
            <w:r w:rsidR="00F7610F" w:rsidRPr="00653421">
              <w:rPr>
                <w:rFonts w:ascii="Tahoma" w:hAnsi="Tahoma" w:cs="Tahoma"/>
                <w:b/>
                <w:bCs/>
              </w:rPr>
              <w:t> </w:t>
            </w:r>
            <w:r w:rsidRPr="00653421">
              <w:rPr>
                <w:rFonts w:ascii="Tahoma" w:hAnsi="Tahoma" w:cs="Tahoma"/>
                <w:b/>
                <w:bCs/>
              </w:rPr>
              <w:t>Cliente</w:t>
            </w:r>
          </w:p>
        </w:tc>
      </w:tr>
      <w:tr w:rsidR="00023FE7" w:rsidRPr="00653421" w:rsidTr="00AD353C">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 xml:space="preserve">A Solicitação por telefone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653421" w:rsidRDefault="00023FE7" w:rsidP="0027028A">
            <w:pPr>
              <w:pStyle w:val="AppendixBodyText"/>
              <w:numPr>
                <w:ilvl w:val="0"/>
                <w:numId w:val="2"/>
              </w:numPr>
              <w:tabs>
                <w:tab w:val="clear" w:pos="1440"/>
                <w:tab w:val="num" w:pos="612"/>
              </w:tabs>
              <w:ind w:left="612"/>
            </w:pPr>
            <w:r w:rsidRPr="00653421">
              <w:rPr>
                <w:rFonts w:ascii="Tahoma" w:hAnsi="Tahoma" w:cs="Tahoma"/>
                <w:sz w:val="18"/>
                <w:szCs w:val="18"/>
              </w:rPr>
              <w:t xml:space="preserve">Impacto crítico nos negócios: </w:t>
            </w:r>
          </w:p>
          <w:p w:rsidR="00023FE7" w:rsidRPr="00C50FD1" w:rsidRDefault="00023FE7" w:rsidP="00F7610F">
            <w:pPr>
              <w:pStyle w:val="AppendixBodyText"/>
              <w:numPr>
                <w:ilvl w:val="0"/>
                <w:numId w:val="2"/>
              </w:numPr>
              <w:tabs>
                <w:tab w:val="clear" w:pos="1440"/>
                <w:tab w:val="num" w:pos="612"/>
              </w:tabs>
              <w:ind w:left="612"/>
              <w:rPr>
                <w:rFonts w:ascii="Tahoma" w:hAnsi="Tahoma" w:cs="Tahoma"/>
                <w:sz w:val="18"/>
                <w:szCs w:val="18"/>
                <w:lang w:val="pt-BR"/>
              </w:rPr>
            </w:pPr>
            <w:r w:rsidRPr="00C50FD1">
              <w:rPr>
                <w:rFonts w:ascii="Tahoma" w:hAnsi="Tahoma" w:cs="Tahoma"/>
                <w:sz w:val="18"/>
                <w:szCs w:val="18"/>
                <w:lang w:val="pt-BR"/>
              </w:rPr>
              <w:t>A empresa do cliente tem uma perda ou</w:t>
            </w:r>
            <w:r w:rsidR="00F7610F" w:rsidRPr="00C50FD1">
              <w:rPr>
                <w:rFonts w:ascii="Tahoma" w:hAnsi="Tahoma" w:cs="Tahoma"/>
                <w:sz w:val="18"/>
                <w:szCs w:val="18"/>
                <w:lang w:val="pt-BR"/>
              </w:rPr>
              <w:t> </w:t>
            </w:r>
            <w:r w:rsidRPr="00C50FD1">
              <w:rPr>
                <w:rFonts w:ascii="Tahoma" w:hAnsi="Tahoma" w:cs="Tahoma"/>
                <w:sz w:val="18"/>
                <w:szCs w:val="18"/>
                <w:lang w:val="pt-BR"/>
              </w:rPr>
              <w:t>degradação significativa de serviços.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C50FD1" w:rsidRDefault="00023FE7" w:rsidP="0027028A">
            <w:pPr>
              <w:pStyle w:val="AppendixBodyText"/>
              <w:numPr>
                <w:ilvl w:val="0"/>
                <w:numId w:val="2"/>
              </w:numPr>
              <w:tabs>
                <w:tab w:val="clear" w:pos="1440"/>
                <w:tab w:val="num" w:pos="522"/>
              </w:tabs>
              <w:ind w:left="522"/>
              <w:rPr>
                <w:lang w:val="pt-BR"/>
              </w:rPr>
            </w:pPr>
            <w:r w:rsidRPr="00C50FD1">
              <w:rPr>
                <w:rFonts w:ascii="Tahoma" w:hAnsi="Tahoma" w:cs="Tahoma"/>
                <w:sz w:val="18"/>
                <w:szCs w:val="18"/>
                <w:lang w:val="pt-BR"/>
              </w:rPr>
              <w:t>Resposta à 1</w:t>
            </w:r>
            <w:r w:rsidRPr="00C50FD1">
              <w:rPr>
                <w:rFonts w:ascii="Tahoma" w:hAnsi="Tahoma" w:cs="Tahoma"/>
                <w:sz w:val="18"/>
                <w:szCs w:val="18"/>
                <w:vertAlign w:val="superscript"/>
                <w:lang w:val="pt-BR"/>
              </w:rPr>
              <w:t>a</w:t>
            </w:r>
            <w:r w:rsidRPr="00C50FD1">
              <w:rPr>
                <w:rFonts w:ascii="Tahoma" w:hAnsi="Tahoma" w:cs="Tahoma"/>
                <w:sz w:val="18"/>
                <w:szCs w:val="18"/>
                <w:lang w:val="pt-BR"/>
              </w:rPr>
              <w:t xml:space="preserve"> chamada em 2 horas ou menos, com base na oferta de suporte</w:t>
            </w:r>
          </w:p>
          <w:p w:rsidR="00023FE7" w:rsidRPr="00C50FD1" w:rsidRDefault="00023FE7" w:rsidP="0027028A">
            <w:pPr>
              <w:pStyle w:val="AppendixBodyText"/>
              <w:numPr>
                <w:ilvl w:val="0"/>
                <w:numId w:val="2"/>
              </w:numPr>
              <w:tabs>
                <w:tab w:val="clear" w:pos="1440"/>
                <w:tab w:val="num" w:pos="522"/>
              </w:tabs>
              <w:ind w:left="522"/>
              <w:rPr>
                <w:lang w:val="pt-BR"/>
              </w:rPr>
            </w:pPr>
            <w:r w:rsidRPr="00C50FD1">
              <w:rPr>
                <w:rFonts w:ascii="Tahoma" w:hAnsi="Tahoma" w:cs="Tahoma"/>
                <w:sz w:val="18"/>
                <w:szCs w:val="18"/>
                <w:lang w:val="pt-BR"/>
              </w:rPr>
              <w:t>Recursos da Microsoft encaminhados ao local do</w:t>
            </w:r>
            <w:r w:rsidR="00F7610F" w:rsidRPr="00C50FD1">
              <w:rPr>
                <w:rFonts w:ascii="Tahoma" w:hAnsi="Tahoma" w:cs="Tahoma"/>
                <w:sz w:val="18"/>
                <w:szCs w:val="18"/>
                <w:lang w:val="pt-BR"/>
              </w:rPr>
              <w:t> </w:t>
            </w:r>
            <w:r w:rsidRPr="00C50FD1">
              <w:rPr>
                <w:rFonts w:ascii="Tahoma" w:hAnsi="Tahoma" w:cs="Tahoma"/>
                <w:sz w:val="18"/>
                <w:szCs w:val="18"/>
                <w:lang w:val="pt-BR"/>
              </w:rPr>
              <w:t>cliente, conforme a</w:t>
            </w:r>
            <w:r w:rsidR="00F7610F" w:rsidRPr="00C50FD1">
              <w:rPr>
                <w:rFonts w:ascii="Tahoma" w:hAnsi="Tahoma" w:cs="Tahoma"/>
                <w:sz w:val="18"/>
                <w:szCs w:val="18"/>
                <w:lang w:val="pt-BR"/>
              </w:rPr>
              <w:t> </w:t>
            </w:r>
            <w:r w:rsidRPr="00C50FD1">
              <w:rPr>
                <w:rFonts w:ascii="Tahoma" w:hAnsi="Tahoma" w:cs="Tahoma"/>
                <w:sz w:val="18"/>
                <w:szCs w:val="18"/>
                <w:lang w:val="pt-BR"/>
              </w:rPr>
              <w:t>necessidade</w:t>
            </w:r>
          </w:p>
          <w:p w:rsidR="00023FE7" w:rsidRPr="00653421" w:rsidRDefault="00023FE7" w:rsidP="0027028A">
            <w:pPr>
              <w:pStyle w:val="AppendixBodyText"/>
              <w:numPr>
                <w:ilvl w:val="0"/>
                <w:numId w:val="2"/>
              </w:numPr>
              <w:tabs>
                <w:tab w:val="clear" w:pos="1440"/>
                <w:tab w:val="num" w:pos="522"/>
              </w:tabs>
              <w:ind w:left="522"/>
            </w:pPr>
            <w:r w:rsidRPr="00653421">
              <w:rPr>
                <w:rFonts w:ascii="Tahoma" w:hAnsi="Tahoma" w:cs="Tahoma"/>
                <w:sz w:val="18"/>
                <w:szCs w:val="18"/>
              </w:rPr>
              <w:t>Esforço contínuo 24x7</w:t>
            </w:r>
          </w:p>
          <w:p w:rsidR="00023FE7" w:rsidRPr="00C50FD1"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C50FD1">
              <w:rPr>
                <w:rFonts w:ascii="Tahoma" w:hAnsi="Tahoma" w:cs="Tahoma"/>
                <w:sz w:val="18"/>
                <w:szCs w:val="18"/>
                <w:lang w:val="pt-BR"/>
              </w:rPr>
              <w:t>Notificação de Gerentes Sênior na Microsoft com base na oferta de suporte</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C50FD1" w:rsidRDefault="00023FE7" w:rsidP="0027028A">
            <w:pPr>
              <w:pStyle w:val="AppendixBodyText"/>
              <w:numPr>
                <w:ilvl w:val="0"/>
                <w:numId w:val="2"/>
              </w:numPr>
              <w:tabs>
                <w:tab w:val="clear" w:pos="1440"/>
              </w:tabs>
              <w:ind w:left="432"/>
              <w:rPr>
                <w:lang w:val="pt-BR"/>
              </w:rPr>
            </w:pPr>
            <w:r w:rsidRPr="00C50FD1">
              <w:rPr>
                <w:rFonts w:ascii="Tahoma" w:hAnsi="Tahoma" w:cs="Tahoma"/>
                <w:sz w:val="18"/>
                <w:szCs w:val="18"/>
                <w:lang w:val="pt-BR"/>
              </w:rPr>
              <w:t>Alocação de recursos adequados para manter os esforços contínuos em uma base 24x7</w:t>
            </w:r>
            <w:r w:rsidRPr="00C50FD1">
              <w:rPr>
                <w:rFonts w:ascii="Tahoma" w:hAnsi="Tahoma" w:cs="Tahoma"/>
                <w:sz w:val="18"/>
                <w:szCs w:val="18"/>
                <w:vertAlign w:val="superscript"/>
                <w:lang w:val="pt-BR"/>
              </w:rPr>
              <w:t>2</w:t>
            </w:r>
          </w:p>
          <w:p w:rsidR="00023FE7" w:rsidRPr="00C50FD1" w:rsidRDefault="00023FE7" w:rsidP="0027028A">
            <w:pPr>
              <w:pStyle w:val="AppendixBodyText"/>
              <w:numPr>
                <w:ilvl w:val="0"/>
                <w:numId w:val="2"/>
              </w:numPr>
              <w:tabs>
                <w:tab w:val="clear" w:pos="1440"/>
              </w:tabs>
              <w:ind w:left="432"/>
              <w:rPr>
                <w:lang w:val="pt-BR"/>
              </w:rPr>
            </w:pPr>
            <w:r w:rsidRPr="00C50FD1">
              <w:rPr>
                <w:rFonts w:ascii="Tahoma" w:hAnsi="Tahoma" w:cs="Tahoma"/>
                <w:sz w:val="18"/>
                <w:szCs w:val="18"/>
                <w:lang w:val="pt-BR"/>
              </w:rPr>
              <w:t>Acesso e resposta rápidos da autoridade de controle de alterações</w:t>
            </w:r>
          </w:p>
          <w:p w:rsidR="00023FE7" w:rsidRPr="00653421" w:rsidRDefault="00023FE7" w:rsidP="0027028A">
            <w:pPr>
              <w:pStyle w:val="AppendixBodyText"/>
              <w:numPr>
                <w:ilvl w:val="0"/>
                <w:numId w:val="2"/>
              </w:numPr>
              <w:tabs>
                <w:tab w:val="clear" w:pos="1440"/>
              </w:tabs>
              <w:ind w:left="432"/>
              <w:rPr>
                <w:rFonts w:ascii="Tahoma" w:hAnsi="Tahoma" w:cs="Tahoma"/>
                <w:sz w:val="18"/>
                <w:szCs w:val="18"/>
              </w:rPr>
            </w:pPr>
            <w:r w:rsidRPr="00653421">
              <w:rPr>
                <w:rFonts w:ascii="Tahoma" w:hAnsi="Tahoma" w:cs="Tahoma"/>
                <w:sz w:val="18"/>
                <w:szCs w:val="18"/>
              </w:rPr>
              <w:t>Notificação à gerência</w:t>
            </w:r>
          </w:p>
        </w:tc>
      </w:tr>
      <w:tr w:rsidR="00023FE7" w:rsidRPr="00C50FD1" w:rsidTr="00AD353C">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53421" w:rsidRDefault="00023FE7">
            <w:pPr>
              <w:pStyle w:val="AppendixBodyText"/>
              <w:rPr>
                <w:rFonts w:ascii="Tahoma" w:hAnsi="Tahoma" w:cs="Tahoma"/>
                <w:sz w:val="18"/>
                <w:szCs w:val="18"/>
              </w:rPr>
            </w:pPr>
            <w:r w:rsidRPr="00653421">
              <w:rPr>
                <w:rFonts w:ascii="Tahoma" w:hAnsi="Tahoma" w:cs="Tahoma"/>
                <w:sz w:val="18"/>
                <w:szCs w:val="18"/>
              </w:rPr>
              <w:t xml:space="preserve">B Solicitação por telefone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653421" w:rsidRDefault="00023FE7" w:rsidP="0027028A">
            <w:pPr>
              <w:pStyle w:val="AppendixBodyText"/>
              <w:numPr>
                <w:ilvl w:val="0"/>
                <w:numId w:val="2"/>
              </w:numPr>
              <w:tabs>
                <w:tab w:val="clear" w:pos="1440"/>
                <w:tab w:val="num" w:pos="612"/>
              </w:tabs>
              <w:ind w:left="612"/>
            </w:pPr>
            <w:r w:rsidRPr="00653421">
              <w:rPr>
                <w:rFonts w:ascii="Tahoma" w:hAnsi="Tahoma" w:cs="Tahoma"/>
                <w:sz w:val="18"/>
                <w:szCs w:val="18"/>
              </w:rPr>
              <w:t xml:space="preserve">Impacto moderado nos negócios: </w:t>
            </w:r>
          </w:p>
          <w:p w:rsidR="00023FE7" w:rsidRPr="00C50FD1"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C50FD1">
              <w:rPr>
                <w:rFonts w:ascii="Tahoma" w:hAnsi="Tahoma" w:cs="Tahoma"/>
                <w:sz w:val="18"/>
                <w:szCs w:val="18"/>
                <w:lang w:val="pt-BR"/>
              </w:rPr>
              <w:t>A empresa do cliente tem uma perda ou degradação moderada dos serviços, mas o trabalho pode razoavelmente continuar, mesmo que de maneira prejudicada.</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C50FD1" w:rsidRDefault="00023FE7" w:rsidP="0027028A">
            <w:pPr>
              <w:pStyle w:val="AppendixBodyText"/>
              <w:numPr>
                <w:ilvl w:val="0"/>
                <w:numId w:val="2"/>
              </w:numPr>
              <w:tabs>
                <w:tab w:val="num" w:pos="522"/>
              </w:tabs>
              <w:ind w:left="522"/>
              <w:rPr>
                <w:lang w:val="pt-BR"/>
              </w:rPr>
            </w:pPr>
            <w:r w:rsidRPr="00C50FD1">
              <w:rPr>
                <w:rFonts w:ascii="Tahoma" w:hAnsi="Tahoma" w:cs="Tahoma"/>
                <w:sz w:val="18"/>
                <w:szCs w:val="18"/>
                <w:lang w:val="pt-BR"/>
              </w:rPr>
              <w:t>Resposta à 1</w:t>
            </w:r>
            <w:r w:rsidRPr="00C50FD1">
              <w:rPr>
                <w:rFonts w:ascii="Tahoma" w:hAnsi="Tahoma" w:cs="Tahoma"/>
                <w:sz w:val="18"/>
                <w:szCs w:val="18"/>
                <w:vertAlign w:val="superscript"/>
                <w:lang w:val="pt-BR"/>
              </w:rPr>
              <w:t>a</w:t>
            </w:r>
            <w:r w:rsidRPr="00C50FD1">
              <w:rPr>
                <w:rFonts w:ascii="Tahoma" w:hAnsi="Tahoma" w:cs="Tahoma"/>
                <w:sz w:val="18"/>
                <w:szCs w:val="18"/>
                <w:lang w:val="pt-BR"/>
              </w:rPr>
              <w:t xml:space="preserve"> chamada em 4 horas ou menos, com base na oferta de suporte</w:t>
            </w:r>
          </w:p>
          <w:p w:rsidR="00023FE7" w:rsidRPr="00C50FD1" w:rsidRDefault="00023FE7" w:rsidP="0027028A">
            <w:pPr>
              <w:pStyle w:val="AppendixBodyText"/>
              <w:numPr>
                <w:ilvl w:val="0"/>
                <w:numId w:val="2"/>
              </w:numPr>
              <w:tabs>
                <w:tab w:val="num" w:pos="522"/>
              </w:tabs>
              <w:ind w:left="522"/>
              <w:rPr>
                <w:lang w:val="pt-BR"/>
              </w:rPr>
            </w:pPr>
            <w:r w:rsidRPr="00C50FD1">
              <w:rPr>
                <w:rFonts w:ascii="Tahoma" w:hAnsi="Tahoma" w:cs="Tahoma"/>
                <w:sz w:val="18"/>
                <w:szCs w:val="18"/>
                <w:lang w:val="pt-BR"/>
              </w:rPr>
              <w:t xml:space="preserve">Esforço apenas durante </w:t>
            </w:r>
            <w:r w:rsidRPr="00C50FD1">
              <w:rPr>
                <w:rFonts w:ascii="Tahoma" w:hAnsi="Tahoma" w:cs="Tahoma"/>
                <w:bCs/>
                <w:sz w:val="18"/>
                <w:szCs w:val="18"/>
                <w:lang w:val="pt-BR"/>
              </w:rPr>
              <w:t>o</w:t>
            </w:r>
            <w:r w:rsidR="00F7610F" w:rsidRPr="00C50FD1">
              <w:rPr>
                <w:rFonts w:ascii="Tahoma" w:hAnsi="Tahoma" w:cs="Tahoma"/>
                <w:bCs/>
                <w:sz w:val="18"/>
                <w:szCs w:val="18"/>
                <w:lang w:val="pt-BR"/>
              </w:rPr>
              <w:t> </w:t>
            </w:r>
            <w:r w:rsidRPr="00C50FD1">
              <w:rPr>
                <w:rFonts w:ascii="Tahoma" w:hAnsi="Tahoma" w:cs="Tahoma"/>
                <w:bCs/>
                <w:sz w:val="18"/>
                <w:szCs w:val="18"/>
                <w:lang w:val="pt-BR"/>
              </w:rPr>
              <w:t>Horário Comercial</w:t>
            </w:r>
            <w:r w:rsidRPr="00C50FD1">
              <w:rPr>
                <w:rFonts w:ascii="Tahoma" w:hAnsi="Tahoma" w:cs="Tahoma"/>
                <w:sz w:val="18"/>
                <w:szCs w:val="18"/>
                <w:vertAlign w:val="superscript"/>
                <w:lang w:val="pt-BR"/>
              </w:rPr>
              <w:t>1</w:t>
            </w:r>
            <w:r w:rsidRPr="00C50FD1">
              <w:rPr>
                <w:rFonts w:ascii="Tahoma" w:hAnsi="Tahoma" w:cs="Tahoma"/>
                <w:bCs/>
                <w:sz w:val="18"/>
                <w:szCs w:val="18"/>
                <w:lang w:val="pt-BR"/>
              </w:rPr>
              <w:t xml:space="preserve"> </w:t>
            </w:r>
          </w:p>
          <w:p w:rsidR="00023FE7" w:rsidRPr="00C50FD1" w:rsidRDefault="00023FE7">
            <w:pPr>
              <w:pStyle w:val="AppendixBodyText"/>
              <w:tabs>
                <w:tab w:val="num" w:pos="522"/>
              </w:tabs>
              <w:ind w:left="522" w:hanging="360"/>
              <w:rPr>
                <w:rFonts w:ascii="Tahoma" w:hAnsi="Tahoma" w:cs="Tahoma"/>
                <w:sz w:val="18"/>
                <w:szCs w:val="18"/>
                <w:lang w:val="pt-BR"/>
              </w:rPr>
            </w:pP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C50FD1" w:rsidRDefault="00023FE7" w:rsidP="0027028A">
            <w:pPr>
              <w:pStyle w:val="AppendixBodyText"/>
              <w:numPr>
                <w:ilvl w:val="0"/>
                <w:numId w:val="2"/>
              </w:numPr>
              <w:tabs>
                <w:tab w:val="clear" w:pos="1440"/>
                <w:tab w:val="num" w:pos="432"/>
              </w:tabs>
              <w:ind w:left="432" w:hanging="270"/>
              <w:rPr>
                <w:lang w:val="pt-BR"/>
              </w:rPr>
            </w:pPr>
            <w:r w:rsidRPr="00C50FD1">
              <w:rPr>
                <w:rFonts w:ascii="Tahoma" w:hAnsi="Tahoma" w:cs="Tahoma"/>
                <w:sz w:val="18"/>
                <w:szCs w:val="18"/>
                <w:lang w:val="pt-BR"/>
              </w:rPr>
              <w:t>Alocação de recursos adequados para manter esforços contínuos no</w:t>
            </w:r>
            <w:r w:rsidR="005A52A2" w:rsidRPr="00C50FD1">
              <w:rPr>
                <w:rFonts w:ascii="Tahoma" w:hAnsi="Tahoma" w:cs="Tahoma"/>
                <w:sz w:val="18"/>
                <w:szCs w:val="18"/>
                <w:lang w:val="pt-BR"/>
              </w:rPr>
              <w:t xml:space="preserve"> </w:t>
            </w:r>
            <w:r w:rsidRPr="00C50FD1">
              <w:rPr>
                <w:rFonts w:ascii="Tahoma" w:hAnsi="Tahoma" w:cs="Tahoma"/>
                <w:sz w:val="18"/>
                <w:szCs w:val="18"/>
                <w:lang w:val="pt-BR"/>
              </w:rPr>
              <w:t>Horário Comercial</w:t>
            </w:r>
          </w:p>
          <w:p w:rsidR="00023FE7" w:rsidRPr="00C50FD1" w:rsidRDefault="00023FE7" w:rsidP="00F7610F">
            <w:pPr>
              <w:pStyle w:val="AppendixBodyText"/>
              <w:numPr>
                <w:ilvl w:val="0"/>
                <w:numId w:val="2"/>
              </w:numPr>
              <w:tabs>
                <w:tab w:val="clear" w:pos="1440"/>
                <w:tab w:val="num" w:pos="432"/>
              </w:tabs>
              <w:ind w:left="432" w:hanging="270"/>
              <w:rPr>
                <w:rFonts w:ascii="Tahoma" w:hAnsi="Tahoma" w:cs="Tahoma"/>
                <w:sz w:val="18"/>
                <w:szCs w:val="18"/>
                <w:lang w:val="pt-BR"/>
              </w:rPr>
            </w:pPr>
            <w:r w:rsidRPr="00C50FD1">
              <w:rPr>
                <w:rFonts w:ascii="Tahoma" w:hAnsi="Tahoma" w:cs="Tahoma"/>
                <w:sz w:val="18"/>
                <w:szCs w:val="18"/>
                <w:lang w:val="pt-BR"/>
              </w:rPr>
              <w:t>Acesso e resposta da autoridade de controle de</w:t>
            </w:r>
            <w:r w:rsidR="00F7610F" w:rsidRPr="00C50FD1">
              <w:rPr>
                <w:rFonts w:ascii="Tahoma" w:hAnsi="Tahoma" w:cs="Tahoma"/>
                <w:sz w:val="18"/>
                <w:szCs w:val="18"/>
                <w:lang w:val="pt-BR"/>
              </w:rPr>
              <w:t> </w:t>
            </w:r>
            <w:r w:rsidRPr="00C50FD1">
              <w:rPr>
                <w:rFonts w:ascii="Tahoma" w:hAnsi="Tahoma" w:cs="Tahoma"/>
                <w:sz w:val="18"/>
                <w:szCs w:val="18"/>
                <w:lang w:val="pt-BR"/>
              </w:rPr>
              <w:t>alterações dentro de 4</w:t>
            </w:r>
            <w:r w:rsidR="00F7610F" w:rsidRPr="00C50FD1">
              <w:rPr>
                <w:rFonts w:ascii="Tahoma" w:hAnsi="Tahoma" w:cs="Tahoma"/>
                <w:sz w:val="18"/>
                <w:szCs w:val="18"/>
                <w:lang w:val="pt-BR"/>
              </w:rPr>
              <w:t> </w:t>
            </w:r>
            <w:r w:rsidRPr="00C50FD1">
              <w:rPr>
                <w:rFonts w:ascii="Tahoma" w:hAnsi="Tahoma" w:cs="Tahoma"/>
                <w:sz w:val="18"/>
                <w:szCs w:val="18"/>
                <w:lang w:val="pt-BR"/>
              </w:rPr>
              <w:t>Horas Comerciais</w:t>
            </w:r>
          </w:p>
        </w:tc>
      </w:tr>
      <w:tr w:rsidR="00023FE7" w:rsidRPr="00C50FD1" w:rsidTr="00AD353C">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C50FD1" w:rsidRDefault="00023FE7" w:rsidP="00F7610F">
            <w:pPr>
              <w:pStyle w:val="AppendixBodyText"/>
              <w:keepNext/>
              <w:keepLines/>
              <w:rPr>
                <w:rFonts w:ascii="Tahoma" w:hAnsi="Tahoma" w:cs="Tahoma"/>
                <w:sz w:val="18"/>
                <w:szCs w:val="18"/>
                <w:lang w:val="pt-BR"/>
              </w:rPr>
            </w:pPr>
            <w:r w:rsidRPr="00C50FD1">
              <w:rPr>
                <w:rFonts w:ascii="Tahoma" w:hAnsi="Tahoma" w:cs="Tahoma"/>
                <w:sz w:val="18"/>
                <w:szCs w:val="18"/>
                <w:lang w:val="pt-BR"/>
              </w:rPr>
              <w:lastRenderedPageBreak/>
              <w:t>C Solicitação por telefone ou pela Web</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653421" w:rsidRDefault="00023FE7" w:rsidP="00F7610F">
            <w:pPr>
              <w:pStyle w:val="AppendixBodyText"/>
              <w:keepNext/>
              <w:keepLines/>
              <w:numPr>
                <w:ilvl w:val="0"/>
                <w:numId w:val="2"/>
              </w:numPr>
              <w:tabs>
                <w:tab w:val="clear" w:pos="1440"/>
                <w:tab w:val="num" w:pos="612"/>
              </w:tabs>
              <w:ind w:left="612"/>
            </w:pPr>
            <w:r w:rsidRPr="00653421">
              <w:rPr>
                <w:rFonts w:ascii="Tahoma" w:hAnsi="Tahoma" w:cs="Tahoma"/>
                <w:sz w:val="18"/>
                <w:szCs w:val="18"/>
              </w:rPr>
              <w:t xml:space="preserve">Impacto mínimo nos negócios: </w:t>
            </w:r>
          </w:p>
          <w:p w:rsidR="00023FE7" w:rsidRPr="00C50FD1" w:rsidRDefault="00023FE7" w:rsidP="00F7610F">
            <w:pPr>
              <w:pStyle w:val="AppendixBodyText"/>
              <w:keepNext/>
              <w:keepLines/>
              <w:numPr>
                <w:ilvl w:val="0"/>
                <w:numId w:val="2"/>
              </w:numPr>
              <w:tabs>
                <w:tab w:val="clear" w:pos="1440"/>
                <w:tab w:val="num" w:pos="612"/>
              </w:tabs>
              <w:ind w:left="612"/>
              <w:rPr>
                <w:rFonts w:ascii="Tahoma" w:hAnsi="Tahoma" w:cs="Tahoma"/>
                <w:sz w:val="18"/>
                <w:szCs w:val="18"/>
                <w:lang w:val="pt-BR"/>
              </w:rPr>
            </w:pPr>
            <w:r w:rsidRPr="00C50FD1">
              <w:rPr>
                <w:rFonts w:ascii="Tahoma" w:hAnsi="Tahoma" w:cs="Tahoma"/>
                <w:sz w:val="18"/>
                <w:szCs w:val="18"/>
                <w:lang w:val="pt-BR"/>
              </w:rPr>
              <w:t>A empresa do cliente está funcionando de forma substancial, com poucos ou nenhum impedimento dos serviços.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C50FD1" w:rsidRDefault="00023FE7" w:rsidP="00F7610F">
            <w:pPr>
              <w:pStyle w:val="AppendixBodyText"/>
              <w:keepNext/>
              <w:keepLines/>
              <w:numPr>
                <w:ilvl w:val="0"/>
                <w:numId w:val="2"/>
              </w:numPr>
              <w:tabs>
                <w:tab w:val="num" w:pos="522"/>
              </w:tabs>
              <w:ind w:left="522"/>
              <w:rPr>
                <w:lang w:val="pt-BR"/>
              </w:rPr>
            </w:pPr>
            <w:r w:rsidRPr="00C50FD1">
              <w:rPr>
                <w:rFonts w:ascii="Tahoma" w:hAnsi="Tahoma" w:cs="Tahoma"/>
                <w:sz w:val="18"/>
                <w:szCs w:val="18"/>
                <w:lang w:val="pt-BR"/>
              </w:rPr>
              <w:t>1</w:t>
            </w:r>
            <w:r w:rsidRPr="00C50FD1">
              <w:rPr>
                <w:rFonts w:ascii="Tahoma" w:hAnsi="Tahoma" w:cs="Tahoma"/>
                <w:sz w:val="18"/>
                <w:szCs w:val="18"/>
                <w:vertAlign w:val="superscript"/>
                <w:lang w:val="pt-BR"/>
              </w:rPr>
              <w:t>ª</w:t>
            </w:r>
            <w:r w:rsidRPr="00C50FD1">
              <w:rPr>
                <w:rFonts w:ascii="Tahoma" w:hAnsi="Tahoma" w:cs="Tahoma"/>
                <w:sz w:val="18"/>
                <w:szCs w:val="18"/>
                <w:lang w:val="pt-BR"/>
              </w:rPr>
              <w:t xml:space="preserve"> resposta em 1 dia útil ou menos, com base na oferta de suporte</w:t>
            </w:r>
          </w:p>
          <w:p w:rsidR="00023FE7" w:rsidRPr="00C50FD1" w:rsidRDefault="00023FE7" w:rsidP="00F7610F">
            <w:pPr>
              <w:pStyle w:val="AppendixBodyText"/>
              <w:keepNext/>
              <w:keepLines/>
              <w:numPr>
                <w:ilvl w:val="0"/>
                <w:numId w:val="2"/>
              </w:numPr>
              <w:tabs>
                <w:tab w:val="num" w:pos="522"/>
              </w:tabs>
              <w:ind w:left="522"/>
              <w:rPr>
                <w:lang w:val="pt-BR"/>
              </w:rPr>
            </w:pPr>
            <w:r w:rsidRPr="00C50FD1">
              <w:rPr>
                <w:rFonts w:ascii="Tahoma" w:hAnsi="Tahoma" w:cs="Tahoma"/>
                <w:sz w:val="18"/>
                <w:szCs w:val="18"/>
                <w:lang w:val="pt-BR"/>
              </w:rPr>
              <w:t>Esforço apenas durante</w:t>
            </w:r>
            <w:r w:rsidRPr="00C50FD1">
              <w:rPr>
                <w:rFonts w:ascii="Tahoma" w:hAnsi="Tahoma" w:cs="Tahoma"/>
                <w:bCs/>
                <w:sz w:val="18"/>
                <w:szCs w:val="18"/>
                <w:lang w:val="pt-BR"/>
              </w:rPr>
              <w:t xml:space="preserve"> o</w:t>
            </w:r>
            <w:r w:rsidR="00F7610F" w:rsidRPr="00C50FD1">
              <w:rPr>
                <w:rFonts w:ascii="Tahoma" w:hAnsi="Tahoma" w:cs="Tahoma"/>
                <w:bCs/>
                <w:sz w:val="18"/>
                <w:szCs w:val="18"/>
                <w:lang w:val="pt-BR"/>
              </w:rPr>
              <w:t> </w:t>
            </w:r>
            <w:r w:rsidRPr="00C50FD1">
              <w:rPr>
                <w:rFonts w:ascii="Tahoma" w:hAnsi="Tahoma" w:cs="Tahoma"/>
                <w:bCs/>
                <w:sz w:val="18"/>
                <w:szCs w:val="18"/>
                <w:lang w:val="pt-BR"/>
              </w:rPr>
              <w:t>Horário Comercial</w:t>
            </w:r>
          </w:p>
          <w:p w:rsidR="00023FE7" w:rsidRPr="00C50FD1" w:rsidRDefault="00023FE7" w:rsidP="00F7610F">
            <w:pPr>
              <w:pStyle w:val="AppendixBodyText"/>
              <w:keepNext/>
              <w:keepLines/>
              <w:tabs>
                <w:tab w:val="num" w:pos="522"/>
              </w:tabs>
              <w:ind w:left="522" w:hanging="360"/>
              <w:rPr>
                <w:rFonts w:ascii="Tahoma" w:hAnsi="Tahoma" w:cs="Tahoma"/>
                <w:sz w:val="18"/>
                <w:szCs w:val="18"/>
                <w:lang w:val="pt-BR"/>
              </w:rPr>
            </w:pP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C50FD1" w:rsidRDefault="00023FE7" w:rsidP="00F7610F">
            <w:pPr>
              <w:pStyle w:val="AppendixBodyText"/>
              <w:keepNext/>
              <w:keepLines/>
              <w:numPr>
                <w:ilvl w:val="0"/>
                <w:numId w:val="2"/>
              </w:numPr>
              <w:tabs>
                <w:tab w:val="clear" w:pos="1440"/>
                <w:tab w:val="num" w:pos="432"/>
              </w:tabs>
              <w:ind w:left="432"/>
              <w:rPr>
                <w:lang w:val="pt-BR"/>
              </w:rPr>
            </w:pPr>
            <w:r w:rsidRPr="00C50FD1">
              <w:rPr>
                <w:rFonts w:ascii="Tahoma" w:hAnsi="Tahoma" w:cs="Tahoma"/>
                <w:sz w:val="18"/>
                <w:szCs w:val="18"/>
                <w:lang w:val="pt-BR"/>
              </w:rPr>
              <w:t>Informações de contato precisas sobre o proprietário do caso</w:t>
            </w:r>
          </w:p>
          <w:p w:rsidR="00023FE7" w:rsidRPr="00C50FD1" w:rsidRDefault="00023FE7" w:rsidP="00F7610F">
            <w:pPr>
              <w:pStyle w:val="AppendixBodyText"/>
              <w:keepNext/>
              <w:keepLines/>
              <w:numPr>
                <w:ilvl w:val="0"/>
                <w:numId w:val="2"/>
              </w:numPr>
              <w:tabs>
                <w:tab w:val="clear" w:pos="1440"/>
                <w:tab w:val="num" w:pos="432"/>
              </w:tabs>
              <w:ind w:left="432"/>
              <w:rPr>
                <w:rFonts w:ascii="Tahoma" w:hAnsi="Tahoma" w:cs="Tahoma"/>
                <w:sz w:val="18"/>
                <w:szCs w:val="18"/>
                <w:lang w:val="pt-BR"/>
              </w:rPr>
            </w:pPr>
            <w:r w:rsidRPr="00C50FD1">
              <w:rPr>
                <w:rFonts w:ascii="Tahoma" w:hAnsi="Tahoma" w:cs="Tahoma"/>
                <w:sz w:val="18"/>
                <w:szCs w:val="18"/>
                <w:lang w:val="pt-BR"/>
              </w:rPr>
              <w:t>Resposta dentro de 1</w:t>
            </w:r>
            <w:r w:rsidR="00F7610F" w:rsidRPr="00C50FD1">
              <w:rPr>
                <w:rFonts w:ascii="Tahoma" w:hAnsi="Tahoma" w:cs="Tahoma"/>
                <w:sz w:val="18"/>
                <w:szCs w:val="18"/>
                <w:lang w:val="pt-BR"/>
              </w:rPr>
              <w:t> </w:t>
            </w:r>
            <w:r w:rsidRPr="00C50FD1">
              <w:rPr>
                <w:rFonts w:ascii="Tahoma" w:hAnsi="Tahoma" w:cs="Tahoma"/>
                <w:sz w:val="18"/>
                <w:szCs w:val="18"/>
                <w:lang w:val="pt-BR"/>
              </w:rPr>
              <w:t>dia</w:t>
            </w:r>
            <w:r w:rsidR="00F7610F" w:rsidRPr="00C50FD1">
              <w:rPr>
                <w:rFonts w:ascii="Tahoma" w:hAnsi="Tahoma" w:cs="Tahoma"/>
                <w:sz w:val="18"/>
                <w:szCs w:val="18"/>
                <w:lang w:val="pt-BR"/>
              </w:rPr>
              <w:t> </w:t>
            </w:r>
            <w:r w:rsidRPr="00C50FD1">
              <w:rPr>
                <w:rFonts w:ascii="Tahoma" w:hAnsi="Tahoma" w:cs="Tahoma"/>
                <w:sz w:val="18"/>
                <w:szCs w:val="18"/>
                <w:lang w:val="pt-BR"/>
              </w:rPr>
              <w:t>útil</w:t>
            </w:r>
          </w:p>
        </w:tc>
      </w:tr>
    </w:tbl>
    <w:p w:rsidR="00023FE7" w:rsidRPr="00C50FD1" w:rsidRDefault="00023FE7">
      <w:pPr>
        <w:pStyle w:val="AppendixBodyText"/>
        <w:ind w:left="90" w:right="2160"/>
        <w:rPr>
          <w:lang w:val="pt-BR"/>
        </w:rPr>
      </w:pPr>
      <w:r w:rsidRPr="00C50FD1">
        <w:rPr>
          <w:rFonts w:ascii="Tahoma" w:hAnsi="Tahoma" w:cs="Tahoma"/>
          <w:i/>
          <w:sz w:val="16"/>
          <w:szCs w:val="16"/>
          <w:vertAlign w:val="superscript"/>
          <w:lang w:val="pt-BR"/>
        </w:rPr>
        <w:t>1</w:t>
      </w:r>
      <w:r w:rsidRPr="00C50FD1">
        <w:rPr>
          <w:rFonts w:ascii="Tahoma" w:hAnsi="Tahoma" w:cs="Tahoma"/>
          <w:i/>
          <w:sz w:val="16"/>
          <w:szCs w:val="16"/>
          <w:lang w:val="pt-BR"/>
        </w:rPr>
        <w:t xml:space="preserve"> Contate um representante da Microsoft para verificar o horário comercial local.</w:t>
      </w:r>
    </w:p>
    <w:p w:rsidR="00023FE7" w:rsidRPr="00C50FD1" w:rsidRDefault="00023FE7">
      <w:pPr>
        <w:pStyle w:val="AppendixBodyText"/>
        <w:ind w:left="90" w:right="2160"/>
        <w:rPr>
          <w:lang w:val="pt-BR"/>
        </w:rPr>
      </w:pPr>
      <w:r w:rsidRPr="00C50FD1">
        <w:rPr>
          <w:rFonts w:ascii="Tahoma" w:hAnsi="Tahoma" w:cs="Tahoma"/>
          <w:i/>
          <w:sz w:val="16"/>
          <w:szCs w:val="16"/>
          <w:vertAlign w:val="superscript"/>
          <w:lang w:val="pt-BR"/>
        </w:rPr>
        <w:t>2</w:t>
      </w:r>
      <w:r w:rsidRPr="00C50FD1">
        <w:rPr>
          <w:rFonts w:ascii="Tahoma" w:hAnsi="Tahoma" w:cs="Tahoma"/>
          <w:i/>
          <w:sz w:val="16"/>
          <w:szCs w:val="16"/>
          <w:lang w:val="pt-BR"/>
        </w:rPr>
        <w:t xml:space="preserve"> Pode ser necessário reduzir o nível de severidade se o cliente não puder fornecer os recursos ou as respostas adequadas para darmos continuidade aos esforços de resolução do problema.</w:t>
      </w:r>
    </w:p>
    <w:p w:rsidR="00023FE7" w:rsidRPr="00C50FD1" w:rsidRDefault="00023FE7" w:rsidP="00F42FB8">
      <w:pPr>
        <w:pStyle w:val="AppendixBodyText"/>
        <w:spacing w:after="0"/>
        <w:ind w:right="2160"/>
        <w:rPr>
          <w:lang w:val="pt-BR"/>
        </w:rPr>
      </w:pPr>
    </w:p>
    <w:p w:rsidR="00023FE7" w:rsidRPr="00C50FD1" w:rsidRDefault="00023FE7" w:rsidP="00F42FB8">
      <w:pPr>
        <w:pStyle w:val="AppendixBodyText"/>
        <w:spacing w:after="0"/>
        <w:rPr>
          <w:lang w:val="pt-BR"/>
        </w:rPr>
      </w:pPr>
      <w:r w:rsidRPr="00C50FD1">
        <w:rPr>
          <w:rFonts w:ascii="Tahoma" w:hAnsi="Tahoma" w:cs="Tahoma"/>
          <w:bCs/>
          <w:sz w:val="18"/>
          <w:szCs w:val="18"/>
          <w:lang w:val="pt-BR"/>
        </w:rPr>
        <w:t>Os clientes podem ser solicitados a executar atividades de determinação e resolução do problema, conforme solicitado por nós.</w:t>
      </w:r>
      <w:r w:rsidR="005A52A2" w:rsidRPr="00C50FD1">
        <w:rPr>
          <w:rFonts w:ascii="Tahoma" w:hAnsi="Tahoma" w:cs="Tahoma"/>
          <w:bCs/>
          <w:sz w:val="18"/>
          <w:szCs w:val="18"/>
          <w:lang w:val="pt-BR"/>
        </w:rPr>
        <w:t xml:space="preserve"> </w:t>
      </w:r>
      <w:r w:rsidRPr="00C50FD1">
        <w:rPr>
          <w:rFonts w:ascii="Tahoma" w:hAnsi="Tahoma" w:cs="Tahoma"/>
          <w:bCs/>
          <w:sz w:val="18"/>
          <w:szCs w:val="18"/>
          <w:lang w:val="pt-BR"/>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w:t>
      </w:r>
      <w:r w:rsidR="00F5590D" w:rsidRPr="00C50FD1">
        <w:rPr>
          <w:rFonts w:ascii="Tahoma" w:hAnsi="Tahoma" w:cs="Tahoma"/>
          <w:bCs/>
          <w:sz w:val="18"/>
          <w:szCs w:val="18"/>
          <w:lang w:val="pt-BR"/>
        </w:rPr>
        <w:t> </w:t>
      </w:r>
      <w:r w:rsidRPr="00C50FD1">
        <w:rPr>
          <w:rFonts w:ascii="Tahoma" w:hAnsi="Tahoma" w:cs="Tahoma"/>
          <w:bCs/>
          <w:sz w:val="18"/>
          <w:szCs w:val="18"/>
          <w:lang w:val="pt-BR"/>
        </w:rPr>
        <w:t xml:space="preserve">processos. </w:t>
      </w:r>
    </w:p>
    <w:p w:rsidR="00077CE5" w:rsidRPr="00C50FD1" w:rsidRDefault="00077CE5" w:rsidP="00F42FB8">
      <w:pPr>
        <w:pStyle w:val="AppendixBodyText"/>
        <w:spacing w:after="0"/>
        <w:rPr>
          <w:lang w:val="pt-BR"/>
        </w:rPr>
      </w:pPr>
    </w:p>
    <w:p w:rsidR="00023FE7" w:rsidRPr="00C50FD1" w:rsidRDefault="00023FE7" w:rsidP="00F42FB8">
      <w:pPr>
        <w:pStyle w:val="AppendixBodyText"/>
        <w:spacing w:after="0"/>
        <w:rPr>
          <w:lang w:val="pt-BR"/>
        </w:rPr>
      </w:pPr>
      <w:r w:rsidRPr="00C50FD1">
        <w:rPr>
          <w:rFonts w:ascii="Tahoma" w:hAnsi="Tahoma" w:cs="Tahoma"/>
          <w:bCs/>
          <w:sz w:val="18"/>
          <w:szCs w:val="18"/>
          <w:lang w:val="pt-BR"/>
        </w:rPr>
        <w:t>Os clientes são responsáveis pela implementação de procedimentos necessários para proteger a integridade e</w:t>
      </w:r>
      <w:r w:rsidR="00F5590D" w:rsidRPr="00C50FD1">
        <w:rPr>
          <w:rFonts w:ascii="Tahoma" w:hAnsi="Tahoma" w:cs="Tahoma"/>
          <w:bCs/>
          <w:sz w:val="18"/>
          <w:szCs w:val="18"/>
          <w:lang w:val="pt-BR"/>
        </w:rPr>
        <w:t> </w:t>
      </w:r>
      <w:r w:rsidRPr="00C50FD1">
        <w:rPr>
          <w:rFonts w:ascii="Tahoma" w:hAnsi="Tahoma" w:cs="Tahoma"/>
          <w:bCs/>
          <w:sz w:val="18"/>
          <w:szCs w:val="18"/>
          <w:lang w:val="pt-BR"/>
        </w:rPr>
        <w:t>a</w:t>
      </w:r>
      <w:r w:rsidR="00F5590D" w:rsidRPr="00C50FD1">
        <w:rPr>
          <w:rFonts w:ascii="Tahoma" w:hAnsi="Tahoma" w:cs="Tahoma"/>
          <w:bCs/>
          <w:sz w:val="18"/>
          <w:szCs w:val="18"/>
          <w:lang w:val="pt-BR"/>
        </w:rPr>
        <w:t> </w:t>
      </w:r>
      <w:r w:rsidRPr="00C50FD1">
        <w:rPr>
          <w:rFonts w:ascii="Tahoma" w:hAnsi="Tahoma" w:cs="Tahoma"/>
          <w:bCs/>
          <w:sz w:val="18"/>
          <w:szCs w:val="18"/>
          <w:lang w:val="pt-BR"/>
        </w:rPr>
        <w:t>segurança de seu software e seus dados contra o acesso não autorizado e por reconstruir arquivos perdidos ou</w:t>
      </w:r>
      <w:r w:rsidR="00F5590D" w:rsidRPr="00C50FD1">
        <w:rPr>
          <w:rFonts w:ascii="Tahoma" w:hAnsi="Tahoma" w:cs="Tahoma"/>
          <w:bCs/>
          <w:sz w:val="18"/>
          <w:szCs w:val="18"/>
          <w:lang w:val="pt-BR"/>
        </w:rPr>
        <w:t> </w:t>
      </w:r>
      <w:r w:rsidRPr="00C50FD1">
        <w:rPr>
          <w:rFonts w:ascii="Tahoma" w:hAnsi="Tahoma" w:cs="Tahoma"/>
          <w:bCs/>
          <w:sz w:val="18"/>
          <w:szCs w:val="18"/>
          <w:lang w:val="pt-BR"/>
        </w:rPr>
        <w:t>alterados em decorrência de falhas catastróficas.</w:t>
      </w:r>
    </w:p>
    <w:p w:rsidR="00077CE5" w:rsidRPr="00C50FD1" w:rsidRDefault="00077CE5" w:rsidP="00F42FB8">
      <w:pPr>
        <w:pStyle w:val="AppendixBodyText"/>
        <w:spacing w:after="0"/>
        <w:rPr>
          <w:lang w:val="pt-BR"/>
        </w:rPr>
      </w:pPr>
    </w:p>
    <w:p w:rsidR="00023FE7" w:rsidRPr="00C50FD1" w:rsidRDefault="00023FE7" w:rsidP="00F42FB8">
      <w:pPr>
        <w:pStyle w:val="AppendixBodyText"/>
        <w:spacing w:after="0"/>
        <w:rPr>
          <w:lang w:val="pt-BR"/>
        </w:rPr>
      </w:pPr>
      <w:r w:rsidRPr="00C50FD1">
        <w:rPr>
          <w:rFonts w:ascii="Tahoma" w:hAnsi="Tahoma" w:cs="Tahoma"/>
          <w:bCs/>
          <w:sz w:val="18"/>
          <w:szCs w:val="18"/>
          <w:lang w:val="pt-BR"/>
        </w:rPr>
        <w:t>Esse benefício de suporte está vinculado ao investimento de SA, e não à versão. Os clientes podem adquirir a versão</w:t>
      </w:r>
      <w:r w:rsidR="00F5590D" w:rsidRPr="00C50FD1">
        <w:rPr>
          <w:rFonts w:ascii="Tahoma" w:hAnsi="Tahoma" w:cs="Tahoma"/>
          <w:bCs/>
          <w:sz w:val="18"/>
          <w:szCs w:val="18"/>
          <w:lang w:val="pt-BR"/>
        </w:rPr>
        <w:t> </w:t>
      </w:r>
      <w:r w:rsidRPr="00C50FD1">
        <w:rPr>
          <w:rFonts w:ascii="Tahoma" w:hAnsi="Tahoma" w:cs="Tahoma"/>
          <w:bCs/>
          <w:sz w:val="18"/>
          <w:szCs w:val="18"/>
          <w:lang w:val="pt-BR"/>
        </w:rPr>
        <w:t>mais recente a fim de usar uma versão mais antiga com direitos de downgrade, mas estarão qualificados para</w:t>
      </w:r>
      <w:r w:rsidR="00F5590D" w:rsidRPr="00C50FD1">
        <w:rPr>
          <w:rFonts w:ascii="Tahoma" w:hAnsi="Tahoma" w:cs="Tahoma"/>
          <w:bCs/>
          <w:sz w:val="18"/>
          <w:szCs w:val="18"/>
          <w:lang w:val="pt-BR"/>
        </w:rPr>
        <w:t> </w:t>
      </w:r>
      <w:r w:rsidRPr="00C50FD1">
        <w:rPr>
          <w:rFonts w:ascii="Tahoma" w:hAnsi="Tahoma" w:cs="Tahoma"/>
          <w:bCs/>
          <w:sz w:val="18"/>
          <w:szCs w:val="18"/>
          <w:lang w:val="pt-BR"/>
        </w:rPr>
        <w:t>o suporte a esse produto apenas se ele estiver listado como um produto com suporte no site de ciclo de vida</w:t>
      </w:r>
      <w:r w:rsidR="00F5590D" w:rsidRPr="00C50FD1">
        <w:rPr>
          <w:rFonts w:ascii="Tahoma" w:hAnsi="Tahoma" w:cs="Tahoma"/>
          <w:bCs/>
          <w:sz w:val="18"/>
          <w:szCs w:val="18"/>
          <w:lang w:val="pt-BR"/>
        </w:rPr>
        <w:t> </w:t>
      </w:r>
      <w:r w:rsidRPr="00C50FD1">
        <w:rPr>
          <w:rFonts w:ascii="Tahoma" w:hAnsi="Tahoma" w:cs="Tahoma"/>
          <w:bCs/>
          <w:sz w:val="18"/>
          <w:szCs w:val="18"/>
          <w:lang w:val="pt-BR"/>
        </w:rPr>
        <w:t>de</w:t>
      </w:r>
      <w:r w:rsidR="00F5590D" w:rsidRPr="00C50FD1">
        <w:rPr>
          <w:rFonts w:ascii="Tahoma" w:hAnsi="Tahoma" w:cs="Tahoma"/>
          <w:bCs/>
          <w:sz w:val="18"/>
          <w:szCs w:val="18"/>
          <w:lang w:val="pt-BR"/>
        </w:rPr>
        <w:t> </w:t>
      </w:r>
      <w:r w:rsidRPr="00C50FD1">
        <w:rPr>
          <w:rFonts w:ascii="Tahoma" w:hAnsi="Tahoma" w:cs="Tahoma"/>
          <w:bCs/>
          <w:sz w:val="18"/>
          <w:szCs w:val="18"/>
          <w:lang w:val="pt-BR"/>
        </w:rPr>
        <w:t>produtos da Microsoft.</w:t>
      </w:r>
      <w:r w:rsidR="005A52A2" w:rsidRPr="00C50FD1">
        <w:rPr>
          <w:rFonts w:ascii="Tahoma" w:hAnsi="Tahoma" w:cs="Tahoma"/>
          <w:bCs/>
          <w:sz w:val="18"/>
          <w:szCs w:val="18"/>
          <w:lang w:val="pt-BR"/>
        </w:rPr>
        <w:t xml:space="preserve"> </w:t>
      </w:r>
      <w:r w:rsidRPr="00C50FD1">
        <w:rPr>
          <w:rFonts w:ascii="Tahoma" w:hAnsi="Tahoma" w:cs="Tahoma"/>
          <w:bCs/>
          <w:sz w:val="18"/>
          <w:szCs w:val="18"/>
          <w:lang w:val="pt-BR"/>
        </w:rPr>
        <w:t xml:space="preserve">O site atual de ciclo de vida de produtos da Microsoft é o seguinte </w:t>
      </w:r>
      <w:hyperlink r:id="rId27" w:history="1">
        <w:r w:rsidRPr="00C50FD1">
          <w:rPr>
            <w:rStyle w:val="Hyperlink"/>
            <w:rFonts w:ascii="Tahoma" w:hAnsi="Tahoma" w:cs="Tahoma"/>
            <w:bCs/>
            <w:sz w:val="18"/>
            <w:szCs w:val="18"/>
            <w:lang w:val="pt-BR"/>
          </w:rPr>
          <w:t>http://support.microsoft.com/common/international.aspx?rdpath=dm;en-us;lifecycle</w:t>
        </w:r>
      </w:hyperlink>
      <w:r w:rsidRPr="00C50FD1">
        <w:rPr>
          <w:rFonts w:ascii="Tahoma" w:hAnsi="Tahoma" w:cs="Tahoma"/>
          <w:bCs/>
          <w:sz w:val="18"/>
          <w:szCs w:val="18"/>
          <w:lang w:val="pt-BR"/>
        </w:rPr>
        <w:t xml:space="preserve">. </w:t>
      </w:r>
    </w:p>
    <w:p w:rsidR="00023FE7" w:rsidRPr="00C50FD1" w:rsidRDefault="00023FE7" w:rsidP="00F42FB8">
      <w:pPr>
        <w:pStyle w:val="AppendixBodyText"/>
        <w:spacing w:after="0"/>
        <w:rPr>
          <w:lang w:val="pt-BR"/>
        </w:rPr>
      </w:pPr>
    </w:p>
    <w:p w:rsidR="00077CE5" w:rsidRPr="00C50FD1" w:rsidRDefault="00AF539A" w:rsidP="00DA2788">
      <w:pPr>
        <w:pStyle w:val="AppendixBodyText"/>
        <w:rPr>
          <w:lang w:val="pt-BR"/>
        </w:rPr>
      </w:pPr>
      <w:r w:rsidRPr="00C50FD1">
        <w:rPr>
          <w:rFonts w:ascii="Tahoma" w:hAnsi="Tahoma" w:cs="Tahoma"/>
          <w:b/>
          <w:bCs/>
          <w:color w:val="000000"/>
          <w:sz w:val="18"/>
          <w:szCs w:val="18"/>
          <w:lang w:val="pt-BR"/>
        </w:rPr>
        <w:t>Conversão de Incidentes do Suporte para Resolução de Problemas 24x7 do Software Assurance em Serviços de Suporte Premier</w:t>
      </w:r>
    </w:p>
    <w:p w:rsidR="00077CE5" w:rsidRPr="00C50FD1" w:rsidRDefault="00AF539A" w:rsidP="00DA2788">
      <w:pPr>
        <w:pStyle w:val="AppendixBodyText"/>
        <w:spacing w:after="0"/>
        <w:rPr>
          <w:lang w:val="pt-BR"/>
        </w:rPr>
      </w:pPr>
      <w:r w:rsidRPr="00C50FD1">
        <w:rPr>
          <w:rFonts w:ascii="Tahoma" w:hAnsi="Tahoma" w:cs="Tahoma"/>
          <w:color w:val="000000"/>
          <w:sz w:val="18"/>
          <w:szCs w:val="18"/>
          <w:lang w:val="pt-BR"/>
        </w:rPr>
        <w:t>Os clientes podem optar por converter os Incidentes de Suporte para Resolução de Problemas 24x7 do Software Assurance (Incidentes de PRS do SA ou “SAB”) em:</w:t>
      </w:r>
    </w:p>
    <w:p w:rsidR="00077CE5" w:rsidRPr="00C50FD1" w:rsidRDefault="00077CE5" w:rsidP="00DA2788">
      <w:pPr>
        <w:pStyle w:val="AppendixBodyText"/>
        <w:spacing w:after="0"/>
        <w:rPr>
          <w:lang w:val="pt-BR"/>
        </w:rPr>
      </w:pPr>
    </w:p>
    <w:p w:rsidR="00AF539A" w:rsidRPr="00C50FD1" w:rsidRDefault="00AF539A" w:rsidP="001C20C9">
      <w:pPr>
        <w:pStyle w:val="AppendixBodyText"/>
        <w:numPr>
          <w:ilvl w:val="0"/>
          <w:numId w:val="31"/>
        </w:numPr>
        <w:tabs>
          <w:tab w:val="left" w:pos="1440"/>
        </w:tabs>
        <w:ind w:left="1440"/>
        <w:rPr>
          <w:lang w:val="pt-BR"/>
        </w:rPr>
      </w:pPr>
      <w:r w:rsidRPr="00C50FD1">
        <w:rPr>
          <w:rFonts w:ascii="Tahoma" w:hAnsi="Tahoma" w:cs="Tahoma"/>
          <w:color w:val="000000"/>
          <w:sz w:val="18"/>
          <w:szCs w:val="18"/>
          <w:lang w:val="pt-BR"/>
        </w:rPr>
        <w:t>Horas de Suporte para Resolução de Problemas (PRS) Premier</w:t>
      </w:r>
    </w:p>
    <w:p w:rsidR="00AF539A" w:rsidRPr="00C50FD1" w:rsidRDefault="00AF539A" w:rsidP="001C20C9">
      <w:pPr>
        <w:pStyle w:val="AppendixBodyText"/>
        <w:numPr>
          <w:ilvl w:val="0"/>
          <w:numId w:val="31"/>
        </w:numPr>
        <w:tabs>
          <w:tab w:val="left" w:pos="1440"/>
        </w:tabs>
        <w:ind w:left="1440"/>
        <w:rPr>
          <w:lang w:val="pt-BR"/>
        </w:rPr>
      </w:pPr>
      <w:r w:rsidRPr="00C50FD1">
        <w:rPr>
          <w:rFonts w:ascii="Tahoma" w:hAnsi="Tahoma" w:cs="Tahoma"/>
          <w:color w:val="000000"/>
          <w:sz w:val="18"/>
          <w:szCs w:val="18"/>
          <w:lang w:val="pt-BR"/>
        </w:rPr>
        <w:t>Horas de Engenheiro de Suporte Dedicado (DSE)</w:t>
      </w:r>
    </w:p>
    <w:p w:rsidR="00077CE5" w:rsidRPr="00C50FD1" w:rsidRDefault="00077CE5" w:rsidP="00DA2788">
      <w:pPr>
        <w:pStyle w:val="AppendixBodyText"/>
        <w:tabs>
          <w:tab w:val="left" w:pos="1440"/>
        </w:tabs>
        <w:spacing w:after="0"/>
        <w:rPr>
          <w:lang w:val="pt-BR"/>
        </w:rPr>
      </w:pPr>
    </w:p>
    <w:p w:rsidR="00AF539A" w:rsidRPr="00C50FD1" w:rsidRDefault="00AF539A" w:rsidP="00F42FB8">
      <w:pPr>
        <w:rPr>
          <w:lang w:val="pt-BR"/>
        </w:rPr>
      </w:pPr>
      <w:r w:rsidRPr="00C50FD1">
        <w:rPr>
          <w:rFonts w:cs="Tahoma"/>
          <w:color w:val="000000"/>
          <w:szCs w:val="18"/>
          <w:lang w:val="pt-BR"/>
        </w:rPr>
        <w:t>Esses serviços destinam-se ao uso consistente com seu plano de serviço Premier no momento da transferência. A</w:t>
      </w:r>
      <w:r w:rsidR="00B95007" w:rsidRPr="00C50FD1">
        <w:rPr>
          <w:rFonts w:cs="Tahoma"/>
          <w:color w:val="000000"/>
          <w:szCs w:val="18"/>
          <w:lang w:val="pt-BR"/>
        </w:rPr>
        <w:t> </w:t>
      </w:r>
      <w:r w:rsidRPr="00C50FD1">
        <w:rPr>
          <w:rFonts w:cs="Tahoma"/>
          <w:color w:val="000000"/>
          <w:szCs w:val="18"/>
          <w:lang w:val="pt-BR"/>
        </w:rPr>
        <w:t>conversão baseia-se em um cálculo da taxa local que será fornecido pela Equipe de Contas Premier.</w:t>
      </w:r>
      <w:r w:rsidR="005A52A2" w:rsidRPr="00C50FD1">
        <w:rPr>
          <w:rFonts w:cs="Tahoma"/>
          <w:color w:val="000000"/>
          <w:szCs w:val="18"/>
          <w:lang w:val="pt-BR"/>
        </w:rPr>
        <w:t xml:space="preserve"> </w:t>
      </w:r>
      <w:r w:rsidRPr="00C50FD1">
        <w:rPr>
          <w:rFonts w:cs="Tahoma"/>
          <w:color w:val="000000"/>
          <w:szCs w:val="18"/>
          <w:lang w:val="pt-BR"/>
        </w:rPr>
        <w:t>Os clientes podem ser solicitados a comprar horas adicionais de Gerenciamento de Conta de Suporte antes de fazer a conversão dos incidentes de PRS do SA.</w:t>
      </w:r>
      <w:r w:rsidR="005A52A2" w:rsidRPr="00C50FD1">
        <w:rPr>
          <w:rFonts w:cs="Tahoma"/>
          <w:color w:val="000000"/>
          <w:szCs w:val="18"/>
          <w:lang w:val="pt-BR"/>
        </w:rPr>
        <w:t xml:space="preserve"> </w:t>
      </w:r>
      <w:r w:rsidRPr="00C50FD1">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5A52A2" w:rsidRPr="00C50FD1">
        <w:rPr>
          <w:rFonts w:cs="Tahoma"/>
          <w:color w:val="000000"/>
          <w:szCs w:val="18"/>
          <w:lang w:val="pt-BR"/>
        </w:rPr>
        <w:t xml:space="preserve"> </w:t>
      </w:r>
      <w:r w:rsidRPr="00C50FD1">
        <w:rPr>
          <w:rFonts w:cs="Tahoma"/>
          <w:color w:val="000000"/>
          <w:szCs w:val="18"/>
          <w:lang w:val="pt-BR"/>
        </w:rPr>
        <w:t>Uma vez</w:t>
      </w:r>
      <w:r w:rsidR="00B95007" w:rsidRPr="00C50FD1">
        <w:rPr>
          <w:rFonts w:cs="Tahoma"/>
          <w:color w:val="000000"/>
          <w:szCs w:val="18"/>
          <w:lang w:val="pt-BR"/>
        </w:rPr>
        <w:t> </w:t>
      </w:r>
      <w:r w:rsidRPr="00C50FD1">
        <w:rPr>
          <w:rFonts w:cs="Tahoma"/>
          <w:color w:val="000000"/>
          <w:szCs w:val="18"/>
          <w:lang w:val="pt-BR"/>
        </w:rPr>
        <w:t>convertidos, os incidentes não podem ser retornados ao benefício de SA de um cliente.</w:t>
      </w:r>
    </w:p>
    <w:p w:rsidR="00023FE7" w:rsidRPr="00C50FD1" w:rsidRDefault="00023FE7" w:rsidP="00F42FB8">
      <w:pPr>
        <w:pStyle w:val="AppendixBodyText"/>
        <w:spacing w:after="0"/>
        <w:rPr>
          <w:lang w:val="pt-BR"/>
        </w:rPr>
      </w:pPr>
    </w:p>
    <w:p w:rsidR="00077CE5" w:rsidRPr="00C50FD1" w:rsidRDefault="00077CE5" w:rsidP="00DA2788">
      <w:pPr>
        <w:pStyle w:val="AppendixBodyText"/>
        <w:rPr>
          <w:lang w:val="pt-BR"/>
        </w:rPr>
      </w:pPr>
      <w:r w:rsidRPr="00C50FD1">
        <w:rPr>
          <w:rFonts w:ascii="Tahoma" w:hAnsi="Tahoma" w:cs="Tahoma"/>
          <w:b/>
          <w:color w:val="000000"/>
          <w:sz w:val="18"/>
          <w:lang w:val="pt-BR"/>
        </w:rPr>
        <w:t>Provisões empresariais adicionais</w:t>
      </w:r>
    </w:p>
    <w:p w:rsidR="00023FE7" w:rsidRPr="00C50FD1" w:rsidRDefault="00023FE7" w:rsidP="00F42FB8">
      <w:pPr>
        <w:pStyle w:val="AppendixBodyText"/>
        <w:spacing w:after="0"/>
        <w:rPr>
          <w:lang w:val="pt-BR"/>
        </w:rPr>
      </w:pPr>
      <w:r w:rsidRPr="00C50FD1">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5A52A2" w:rsidRPr="00C50FD1">
        <w:rPr>
          <w:rFonts w:ascii="Tahoma" w:hAnsi="Tahoma" w:cs="Tahoma"/>
          <w:sz w:val="18"/>
          <w:szCs w:val="18"/>
          <w:lang w:val="pt-BR"/>
        </w:rPr>
        <w:t xml:space="preserve"> </w:t>
      </w:r>
      <w:r w:rsidRPr="00C50FD1">
        <w:rPr>
          <w:rFonts w:ascii="Tahoma" w:hAnsi="Tahoma" w:cs="Tahoma"/>
          <w:sz w:val="18"/>
          <w:szCs w:val="18"/>
          <w:lang w:val="pt-BR"/>
        </w:rPr>
        <w:t>Os gastos de cada registro ou contrato serão usados para determinar o prêmio do próprio registro ou contrato.</w:t>
      </w:r>
    </w:p>
    <w:p w:rsidR="00077CE5" w:rsidRPr="00C50FD1" w:rsidRDefault="00077CE5" w:rsidP="00F42FB8">
      <w:pPr>
        <w:pStyle w:val="AppendixBodyText"/>
        <w:spacing w:after="0"/>
        <w:rPr>
          <w:lang w:val="pt-BR"/>
        </w:rPr>
      </w:pPr>
    </w:p>
    <w:p w:rsidR="00023FE7" w:rsidRPr="00C50FD1" w:rsidRDefault="00023FE7" w:rsidP="00F42FB8">
      <w:pPr>
        <w:pStyle w:val="AppendixBodyText"/>
        <w:tabs>
          <w:tab w:val="left" w:pos="1440"/>
        </w:tabs>
        <w:spacing w:after="0"/>
        <w:rPr>
          <w:lang w:val="pt-BR"/>
        </w:rPr>
      </w:pPr>
      <w:r w:rsidRPr="00C50FD1">
        <w:rPr>
          <w:rFonts w:ascii="Tahoma" w:hAnsi="Tahoma" w:cs="Tahoma"/>
          <w:sz w:val="18"/>
          <w:szCs w:val="18"/>
          <w:lang w:val="pt-BR"/>
        </w:rPr>
        <w:t>A redução d</w:t>
      </w:r>
      <w:r w:rsidRPr="00C50FD1">
        <w:rPr>
          <w:rFonts w:ascii="Tahoma" w:hAnsi="Tahoma" w:cs="Tahoma"/>
          <w:bCs/>
          <w:sz w:val="18"/>
          <w:szCs w:val="18"/>
          <w:lang w:val="pt-BR"/>
        </w:rPr>
        <w:t>e</w:t>
      </w:r>
      <w:r w:rsidRPr="00C50FD1">
        <w:rPr>
          <w:rFonts w:ascii="Tahoma" w:hAnsi="Tahoma" w:cs="Tahoma"/>
          <w:sz w:val="18"/>
          <w:szCs w:val="18"/>
          <w:lang w:val="pt-BR"/>
        </w:rPr>
        <w:t xml:space="preserve"> Gastos de SA em decorrência de devoluções e outros ajustes de cobrança</w:t>
      </w:r>
      <w:r w:rsidRPr="00C50FD1">
        <w:rPr>
          <w:rFonts w:ascii="Tahoma" w:hAnsi="Tahoma" w:cs="Tahoma"/>
          <w:bCs/>
          <w:sz w:val="18"/>
          <w:szCs w:val="18"/>
          <w:lang w:val="pt-BR"/>
        </w:rPr>
        <w:t>,</w:t>
      </w:r>
      <w:r w:rsidRPr="00C50FD1">
        <w:rPr>
          <w:rFonts w:ascii="Tahoma" w:hAnsi="Tahoma" w:cs="Tahoma"/>
          <w:sz w:val="18"/>
          <w:szCs w:val="18"/>
          <w:lang w:val="pt-BR"/>
        </w:rPr>
        <w:t xml:space="preserve"> quando permitido, </w:t>
      </w:r>
      <w:r w:rsidRPr="00C50FD1">
        <w:rPr>
          <w:rFonts w:ascii="Tahoma" w:hAnsi="Tahoma" w:cs="Tahoma"/>
          <w:bCs/>
          <w:sz w:val="18"/>
          <w:szCs w:val="18"/>
          <w:lang w:val="pt-BR"/>
        </w:rPr>
        <w:t>pode</w:t>
      </w:r>
      <w:r w:rsidRPr="00C50FD1">
        <w:rPr>
          <w:rFonts w:ascii="Tahoma" w:hAnsi="Tahoma" w:cs="Tahoma"/>
          <w:sz w:val="18"/>
          <w:szCs w:val="18"/>
          <w:lang w:val="pt-BR"/>
        </w:rPr>
        <w:t xml:space="preserve"> resultar na perda de qualificação de Suporte ou de prêmios de incidentes por Telefone durante os períodos de premiação atuais ou futuros. </w:t>
      </w:r>
    </w:p>
    <w:p w:rsidR="0036654E" w:rsidRPr="00C50FD1" w:rsidRDefault="0036654E" w:rsidP="00F42FB8">
      <w:pPr>
        <w:pStyle w:val="Heading3"/>
        <w:rPr>
          <w:lang w:val="pt-BR"/>
        </w:rPr>
      </w:pPr>
    </w:p>
    <w:p w:rsidR="00AD353C" w:rsidRPr="00C50FD1" w:rsidRDefault="00AD353C" w:rsidP="00AD353C">
      <w:pPr>
        <w:rPr>
          <w:lang w:val="pt-BR"/>
        </w:rPr>
      </w:pPr>
    </w:p>
    <w:p w:rsidR="00AD353C" w:rsidRPr="00C50FD1" w:rsidRDefault="00AD353C" w:rsidP="00AD353C">
      <w:pPr>
        <w:rPr>
          <w:lang w:val="pt-BR"/>
        </w:rPr>
      </w:pPr>
    </w:p>
    <w:p w:rsidR="00613BBB" w:rsidRPr="00C50FD1" w:rsidRDefault="00613BBB" w:rsidP="00F0652C">
      <w:pPr>
        <w:pStyle w:val="Heading3"/>
        <w:spacing w:after="60"/>
        <w:rPr>
          <w:lang w:val="pt-BR"/>
        </w:rPr>
      </w:pPr>
      <w:bookmarkStart w:id="798" w:name="_Toc336338237"/>
      <w:bookmarkStart w:id="799" w:name="_Toc353470885"/>
      <w:r w:rsidRPr="00C50FD1">
        <w:rPr>
          <w:rFonts w:ascii="Tahoma" w:hAnsi="Tahoma" w:cs="Tahoma"/>
          <w:sz w:val="18"/>
          <w:lang w:val="pt-BR"/>
        </w:rPr>
        <w:lastRenderedPageBreak/>
        <w:t>Suporte para Resolução de Problemas 24x7 Ilimitado</w:t>
      </w:r>
      <w:bookmarkEnd w:id="798"/>
      <w:bookmarkEnd w:id="799"/>
    </w:p>
    <w:p w:rsidR="00A17E03" w:rsidRPr="00C50FD1" w:rsidRDefault="00A17E03" w:rsidP="00F42FB8">
      <w:pPr>
        <w:jc w:val="both"/>
        <w:rPr>
          <w:lang w:val="pt-BR"/>
        </w:rPr>
      </w:pPr>
      <w:r w:rsidRPr="00C50FD1">
        <w:rPr>
          <w:rFonts w:cs="Tahoma"/>
          <w:szCs w:val="18"/>
          <w:lang w:val="pt-BR"/>
        </w:rPr>
        <w:t>Este benefício está disponível somente por meio (1) do Enrollment for Application Platform (EAP) para um Contrato Enterprise e/ou (2) com a compra de licenças do Parallel Data Warehouse (PDW) por meio do EA, EAP, Select Plus ou Select.</w:t>
      </w:r>
    </w:p>
    <w:p w:rsidR="00A17E03" w:rsidRPr="00C50FD1" w:rsidRDefault="00A17E03" w:rsidP="00F42FB8">
      <w:pPr>
        <w:jc w:val="both"/>
        <w:rPr>
          <w:lang w:val="pt-BR"/>
        </w:rPr>
      </w:pPr>
    </w:p>
    <w:p w:rsidR="00894563" w:rsidRPr="00C50FD1" w:rsidRDefault="00A17E03" w:rsidP="00DA2788">
      <w:pPr>
        <w:spacing w:line="276" w:lineRule="auto"/>
        <w:jc w:val="both"/>
        <w:rPr>
          <w:lang w:val="pt-BR"/>
        </w:rPr>
      </w:pPr>
      <w:r w:rsidRPr="00C50FD1">
        <w:rPr>
          <w:rFonts w:eastAsia="Calibri" w:cs="Tahoma"/>
          <w:szCs w:val="18"/>
          <w:lang w:val="pt-BR"/>
        </w:rPr>
        <w:t>Os clientes que possuem um EAP com uma média de gasto mínimo de SA anual de US$ 250.000 no total de produtos de Plataforma de Aplicativos qualificados e que possuem um Contrato de Serviços Premier estão qualificados para incidentes de Suporte para Resolução de Problemas (PRS) 24 horas por dia, 7 dias por semana Ilimitado. O</w:t>
      </w:r>
      <w:r w:rsidRPr="00C50FD1">
        <w:rPr>
          <w:rFonts w:cs="Tahoma"/>
          <w:szCs w:val="18"/>
          <w:lang w:val="pt-BR"/>
        </w:rPr>
        <w:t xml:space="preserve">s produtos listados abaixo, que estão atualmente no Suporte Base ou Estendido, conforme estabelecido na </w:t>
      </w:r>
      <w:hyperlink r:id="rId28" w:history="1">
        <w:r w:rsidRPr="00C50FD1">
          <w:rPr>
            <w:rStyle w:val="Hyperlink"/>
            <w:rFonts w:cs="Tahoma"/>
            <w:szCs w:val="18"/>
            <w:lang w:val="pt-BR"/>
          </w:rPr>
          <w:t>Política de Ciclo de Vida de Suporte da Microsoft</w:t>
        </w:r>
      </w:hyperlink>
      <w:r w:rsidRPr="00C50FD1">
        <w:rPr>
          <w:rFonts w:cs="Tahoma"/>
          <w:color w:val="000000"/>
          <w:szCs w:val="18"/>
          <w:lang w:val="pt-BR"/>
        </w:rPr>
        <w:t>, alinhados com um contrato Premier do cliente, estão incluídos neste benefício.</w:t>
      </w:r>
    </w:p>
    <w:p w:rsidR="00077CE5" w:rsidRPr="00C50FD1" w:rsidRDefault="00077CE5" w:rsidP="00DA2788">
      <w:pPr>
        <w:spacing w:line="276" w:lineRule="auto"/>
        <w:jc w:val="both"/>
        <w:rPr>
          <w:lang w:val="pt-BR"/>
        </w:rPr>
      </w:pPr>
    </w:p>
    <w:p w:rsidR="00A17E03" w:rsidRPr="00C50FD1" w:rsidRDefault="00A17E03" w:rsidP="00F42FB8">
      <w:pPr>
        <w:spacing w:line="276" w:lineRule="auto"/>
        <w:jc w:val="both"/>
        <w:rPr>
          <w:lang w:val="pt-BR"/>
        </w:rPr>
      </w:pPr>
      <w:r w:rsidRPr="00C50FD1">
        <w:rPr>
          <w:rFonts w:eastAsia="Calibri" w:cs="Tahoma"/>
          <w:szCs w:val="18"/>
          <w:lang w:val="pt-BR"/>
        </w:rPr>
        <w:t>Os produtos de Plataforma de Aplicativos qualificados são os seguintes:</w:t>
      </w:r>
    </w:p>
    <w:p w:rsidR="00613BBB" w:rsidRPr="00C50FD1" w:rsidRDefault="00613BBB" w:rsidP="00077CE5">
      <w:pPr>
        <w:rPr>
          <w:lang w:val="pt-BR"/>
        </w:rPr>
      </w:pPr>
    </w:p>
    <w:p w:rsidR="00613BBB" w:rsidRPr="00653421" w:rsidRDefault="00613BBB" w:rsidP="002C1048">
      <w:pPr>
        <w:numPr>
          <w:ilvl w:val="0"/>
          <w:numId w:val="91"/>
        </w:numPr>
        <w:spacing w:after="60"/>
      </w:pPr>
      <w:r w:rsidRPr="00653421">
        <w:rPr>
          <w:rFonts w:cs="Tahoma"/>
          <w:szCs w:val="18"/>
        </w:rPr>
        <w:t>CAL do SQL</w:t>
      </w:r>
    </w:p>
    <w:p w:rsidR="00613BBB" w:rsidRPr="00653421" w:rsidRDefault="00613BBB" w:rsidP="002C1048">
      <w:pPr>
        <w:numPr>
          <w:ilvl w:val="0"/>
          <w:numId w:val="91"/>
        </w:numPr>
        <w:spacing w:after="60"/>
      </w:pPr>
      <w:r w:rsidRPr="00653421">
        <w:rPr>
          <w:rFonts w:cs="Tahoma"/>
          <w:szCs w:val="18"/>
        </w:rPr>
        <w:t>SQL Server Standard</w:t>
      </w:r>
    </w:p>
    <w:p w:rsidR="00613BBB" w:rsidRPr="00C50FD1" w:rsidRDefault="00613BBB" w:rsidP="002C1048">
      <w:pPr>
        <w:numPr>
          <w:ilvl w:val="0"/>
          <w:numId w:val="91"/>
        </w:numPr>
        <w:spacing w:after="60"/>
        <w:rPr>
          <w:lang w:val="pt-BR"/>
        </w:rPr>
      </w:pPr>
      <w:r w:rsidRPr="00C50FD1">
        <w:rPr>
          <w:rFonts w:cs="Tahoma"/>
          <w:szCs w:val="18"/>
          <w:lang w:val="pt-BR"/>
        </w:rPr>
        <w:t>SQL Server Standard por Núcleo/Processador</w:t>
      </w:r>
    </w:p>
    <w:p w:rsidR="00613BBB" w:rsidRPr="00653421" w:rsidRDefault="00613BBB" w:rsidP="002C1048">
      <w:pPr>
        <w:numPr>
          <w:ilvl w:val="0"/>
          <w:numId w:val="91"/>
        </w:numPr>
        <w:spacing w:after="60"/>
      </w:pPr>
      <w:r w:rsidRPr="00653421">
        <w:rPr>
          <w:rFonts w:cs="Tahoma"/>
          <w:szCs w:val="18"/>
        </w:rPr>
        <w:t>SQL Server Enterprise</w:t>
      </w:r>
    </w:p>
    <w:p w:rsidR="00613BBB" w:rsidRPr="00C50FD1" w:rsidRDefault="00613BBB" w:rsidP="002C1048">
      <w:pPr>
        <w:numPr>
          <w:ilvl w:val="0"/>
          <w:numId w:val="91"/>
        </w:numPr>
        <w:spacing w:after="60"/>
        <w:rPr>
          <w:lang w:val="pt-BR"/>
        </w:rPr>
      </w:pPr>
      <w:r w:rsidRPr="00C50FD1">
        <w:rPr>
          <w:rFonts w:cs="Tahoma"/>
          <w:szCs w:val="18"/>
          <w:lang w:val="pt-BR"/>
        </w:rPr>
        <w:t>SQL Server Enterprise por Núcleo/Processador</w:t>
      </w:r>
    </w:p>
    <w:p w:rsidR="00894563" w:rsidRPr="00653421" w:rsidRDefault="00894563" w:rsidP="002C1048">
      <w:pPr>
        <w:numPr>
          <w:ilvl w:val="0"/>
          <w:numId w:val="91"/>
        </w:numPr>
        <w:spacing w:after="60"/>
      </w:pPr>
      <w:r w:rsidRPr="00653421">
        <w:rPr>
          <w:rFonts w:cs="Tahoma"/>
          <w:szCs w:val="18"/>
        </w:rPr>
        <w:t>SQL Server Business Intelligence</w:t>
      </w:r>
    </w:p>
    <w:p w:rsidR="00EB42F3" w:rsidRPr="00653421" w:rsidRDefault="00EB42F3" w:rsidP="002C1048">
      <w:pPr>
        <w:numPr>
          <w:ilvl w:val="0"/>
          <w:numId w:val="91"/>
        </w:numPr>
        <w:spacing w:after="60"/>
      </w:pPr>
      <w:r w:rsidRPr="00653421">
        <w:rPr>
          <w:rFonts w:cs="Tahoma"/>
          <w:szCs w:val="18"/>
        </w:rPr>
        <w:t>SQL Server Datacenter por Processador</w:t>
      </w:r>
    </w:p>
    <w:p w:rsidR="00613BBB" w:rsidRPr="00653421" w:rsidRDefault="00613BBB" w:rsidP="002C1048">
      <w:pPr>
        <w:numPr>
          <w:ilvl w:val="0"/>
          <w:numId w:val="91"/>
        </w:numPr>
        <w:spacing w:after="60"/>
      </w:pPr>
      <w:r w:rsidRPr="00653421">
        <w:rPr>
          <w:rFonts w:cs="Tahoma"/>
          <w:szCs w:val="18"/>
        </w:rPr>
        <w:t>BizTalk Server Standard por Processador</w:t>
      </w:r>
    </w:p>
    <w:p w:rsidR="00613BBB" w:rsidRPr="00653421" w:rsidRDefault="00613BBB" w:rsidP="002C1048">
      <w:pPr>
        <w:numPr>
          <w:ilvl w:val="0"/>
          <w:numId w:val="91"/>
        </w:numPr>
        <w:spacing w:after="60"/>
      </w:pPr>
      <w:r w:rsidRPr="00653421">
        <w:rPr>
          <w:rFonts w:cs="Tahoma"/>
          <w:szCs w:val="18"/>
        </w:rPr>
        <w:t>BizTalk Server Enterprise por Processador</w:t>
      </w:r>
    </w:p>
    <w:p w:rsidR="00613BBB" w:rsidRPr="00653421" w:rsidRDefault="00613BBB" w:rsidP="002C1048">
      <w:pPr>
        <w:numPr>
          <w:ilvl w:val="0"/>
          <w:numId w:val="91"/>
        </w:numPr>
        <w:spacing w:after="60"/>
      </w:pPr>
      <w:r w:rsidRPr="00653421">
        <w:rPr>
          <w:rFonts w:cs="Tahoma"/>
          <w:szCs w:val="18"/>
        </w:rPr>
        <w:t>BizTalk Server Branch por Processador</w:t>
      </w:r>
    </w:p>
    <w:p w:rsidR="00613BBB" w:rsidRPr="00653421" w:rsidRDefault="00613BBB" w:rsidP="002C1048">
      <w:pPr>
        <w:numPr>
          <w:ilvl w:val="0"/>
          <w:numId w:val="91"/>
        </w:numPr>
        <w:spacing w:after="60"/>
      </w:pPr>
      <w:r w:rsidRPr="00653421">
        <w:rPr>
          <w:rFonts w:cs="Tahoma"/>
          <w:szCs w:val="18"/>
        </w:rPr>
        <w:t>Office SharePoint Server</w:t>
      </w:r>
    </w:p>
    <w:p w:rsidR="00613BBB" w:rsidRPr="00653421" w:rsidRDefault="00613BBB" w:rsidP="002C1048">
      <w:pPr>
        <w:numPr>
          <w:ilvl w:val="0"/>
          <w:numId w:val="91"/>
        </w:numPr>
        <w:spacing w:after="60"/>
      </w:pPr>
      <w:r w:rsidRPr="00653421">
        <w:rPr>
          <w:rFonts w:cs="Tahoma"/>
          <w:szCs w:val="18"/>
        </w:rPr>
        <w:t>SharePoint Internet</w:t>
      </w:r>
    </w:p>
    <w:p w:rsidR="00894563" w:rsidRPr="00653421" w:rsidRDefault="00894563" w:rsidP="002C1048">
      <w:pPr>
        <w:numPr>
          <w:ilvl w:val="0"/>
          <w:numId w:val="91"/>
        </w:numPr>
        <w:spacing w:after="60"/>
      </w:pPr>
      <w:r w:rsidRPr="00653421">
        <w:rPr>
          <w:rFonts w:cs="Tahoma"/>
          <w:szCs w:val="18"/>
        </w:rPr>
        <w:t>FAST para SharePoint/SharePoint Internet</w:t>
      </w:r>
    </w:p>
    <w:p w:rsidR="00613BBB" w:rsidRPr="00653421" w:rsidRDefault="00613BBB" w:rsidP="00077CE5"/>
    <w:p w:rsidR="00613BBB" w:rsidRPr="00C50FD1" w:rsidRDefault="00613BBB" w:rsidP="00FF1B2B">
      <w:pPr>
        <w:pStyle w:val="AppendixBodyText"/>
        <w:spacing w:after="0"/>
        <w:jc w:val="both"/>
        <w:rPr>
          <w:lang w:val="pt-BR"/>
        </w:rPr>
      </w:pPr>
      <w:r w:rsidRPr="00C50FD1">
        <w:rPr>
          <w:rFonts w:ascii="Tahoma" w:hAnsi="Tahoma" w:cs="Tahoma"/>
          <w:sz w:val="18"/>
          <w:szCs w:val="18"/>
          <w:lang w:val="pt-BR"/>
        </w:rPr>
        <w:t>A tabela a seguir lista as conversões de limite de gastos de SA para contratos com base em moedas que não sejam o</w:t>
      </w:r>
      <w:r w:rsidR="007C3E5F" w:rsidRPr="00C50FD1">
        <w:rPr>
          <w:rFonts w:ascii="Tahoma" w:hAnsi="Tahoma" w:cs="Tahoma"/>
          <w:sz w:val="18"/>
          <w:szCs w:val="18"/>
          <w:lang w:val="pt-BR"/>
        </w:rPr>
        <w:t> </w:t>
      </w:r>
      <w:r w:rsidRPr="00C50FD1">
        <w:rPr>
          <w:rFonts w:ascii="Tahoma" w:hAnsi="Tahoma" w:cs="Tahoma"/>
          <w:sz w:val="18"/>
          <w:szCs w:val="18"/>
          <w:lang w:val="pt-BR"/>
        </w:rPr>
        <w:t>USD.</w:t>
      </w:r>
      <w:r w:rsidR="005A52A2" w:rsidRPr="00C50FD1">
        <w:rPr>
          <w:rFonts w:ascii="Tahoma" w:hAnsi="Tahoma" w:cs="Tahoma"/>
          <w:sz w:val="18"/>
          <w:szCs w:val="18"/>
          <w:lang w:val="pt-BR"/>
        </w:rPr>
        <w:t xml:space="preserve"> </w:t>
      </w:r>
      <w:r w:rsidRPr="00C50FD1">
        <w:rPr>
          <w:rFonts w:ascii="Tahoma" w:hAnsi="Tahoma" w:cs="Tahoma"/>
          <w:sz w:val="18"/>
          <w:szCs w:val="18"/>
          <w:lang w:val="pt-BR"/>
        </w:rPr>
        <w:t>Devido à flutuação das taxas de câmbio, essa tabela está sujeita a alterações sem aviso.</w:t>
      </w:r>
    </w:p>
    <w:p w:rsidR="00E74270" w:rsidRPr="00C50FD1" w:rsidRDefault="00E74270" w:rsidP="00FF1B2B">
      <w:pPr>
        <w:pStyle w:val="AppendixBodyText"/>
        <w:spacing w:after="0"/>
        <w:jc w:val="both"/>
        <w:rPr>
          <w:lang w:val="pt-B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C50FD1"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53421" w:rsidRDefault="00E74270" w:rsidP="00E74270">
            <w:pPr>
              <w:pStyle w:val="AppendixBodyText"/>
              <w:jc w:val="center"/>
              <w:rPr>
                <w:rFonts w:ascii="Tahoma" w:hAnsi="Tahoma" w:cs="Tahoma"/>
                <w:b/>
                <w:bCs/>
              </w:rPr>
            </w:pPr>
            <w:r w:rsidRPr="00653421">
              <w:rPr>
                <w:rFonts w:ascii="Tahoma" w:hAnsi="Tahoma" w:cs="Tahoma"/>
                <w:b/>
                <w:bCs/>
              </w:rPr>
              <w:t>Moeda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53421" w:rsidRDefault="00E74270" w:rsidP="00E74270">
            <w:pPr>
              <w:pStyle w:val="AppendixBodyText"/>
              <w:jc w:val="center"/>
              <w:rPr>
                <w:rFonts w:ascii="Tahoma" w:hAnsi="Tahoma" w:cs="Tahoma"/>
                <w:b/>
                <w:bCs/>
              </w:rPr>
            </w:pPr>
            <w:r w:rsidRPr="00653421">
              <w:rPr>
                <w:rFonts w:ascii="Tahoma" w:hAnsi="Tahoma" w:cs="Tahoma"/>
                <w:b/>
                <w:bCs/>
              </w:rPr>
              <w:t>Código da Moeda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C50FD1" w:rsidRDefault="00E74270" w:rsidP="00E74270">
            <w:pPr>
              <w:pStyle w:val="AppendixBodyText"/>
              <w:jc w:val="center"/>
              <w:rPr>
                <w:rFonts w:ascii="Tahoma" w:hAnsi="Tahoma" w:cs="Tahoma"/>
                <w:b/>
                <w:bCs/>
                <w:lang w:val="pt-BR"/>
              </w:rPr>
            </w:pPr>
            <w:r w:rsidRPr="00C50FD1">
              <w:rPr>
                <w:rFonts w:ascii="Tahoma" w:hAnsi="Tahoma" w:cs="Tahoma"/>
                <w:b/>
                <w:bCs/>
                <w:lang w:val="pt-BR"/>
              </w:rPr>
              <w:t>Média de Gasto Mínimo de SA Anual para qualificação ao PRS 24x7 Ilimitado</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Dólar Americano</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USD</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250</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000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Dólar Australiano</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AUD</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375</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000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Dólar Canadense</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CAD</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337</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500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Franco Suíço</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CHF</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412</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500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Iuan Renmimbi (China)</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CNY</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2</w:t>
            </w:r>
            <w:r w:rsidR="007C3E5F" w:rsidRPr="00653421">
              <w:rPr>
                <w:rFonts w:ascii="Tahoma" w:hAnsi="Tahoma" w:cs="Tahoma"/>
                <w:color w:val="000000"/>
                <w:sz w:val="18"/>
                <w:szCs w:val="18"/>
              </w:rPr>
              <w:t>.</w:t>
            </w:r>
            <w:r w:rsidRPr="00653421">
              <w:rPr>
                <w:rFonts w:ascii="Tahoma" w:hAnsi="Tahoma" w:cs="Tahoma"/>
                <w:color w:val="000000"/>
                <w:sz w:val="18"/>
                <w:szCs w:val="18"/>
              </w:rPr>
              <w:t>062</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500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Coroa Dinamarquesa</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DKK</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2</w:t>
            </w:r>
            <w:r w:rsidR="007C3E5F" w:rsidRPr="00653421">
              <w:rPr>
                <w:rFonts w:ascii="Tahoma" w:hAnsi="Tahoma" w:cs="Tahoma"/>
                <w:color w:val="000000"/>
                <w:sz w:val="18"/>
                <w:szCs w:val="18"/>
              </w:rPr>
              <w:t>.</w:t>
            </w:r>
            <w:r w:rsidRPr="00653421">
              <w:rPr>
                <w:rFonts w:ascii="Tahoma" w:hAnsi="Tahoma" w:cs="Tahoma"/>
                <w:color w:val="000000"/>
                <w:sz w:val="18"/>
                <w:szCs w:val="18"/>
              </w:rPr>
              <w:t>000</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000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Euro</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EUR</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268</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750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Libra Esterlina</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GBP</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sz w:val="18"/>
                <w:szCs w:val="18"/>
              </w:rPr>
              <w:t xml:space="preserve"> </w:t>
            </w:r>
            <w:r w:rsidRPr="00653421">
              <w:rPr>
                <w:rFonts w:ascii="Tahoma" w:hAnsi="Tahoma" w:cs="Tahoma"/>
                <w:color w:val="000000"/>
                <w:sz w:val="18"/>
                <w:szCs w:val="18"/>
              </w:rPr>
              <w:t>168</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750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Iene Japonês</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JPY</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30</w:t>
            </w:r>
            <w:r w:rsidR="007C3E5F" w:rsidRPr="00653421">
              <w:rPr>
                <w:rFonts w:ascii="Tahoma" w:hAnsi="Tahoma" w:cs="Tahoma"/>
                <w:color w:val="000000"/>
                <w:sz w:val="18"/>
                <w:szCs w:val="18"/>
              </w:rPr>
              <w:t>.</w:t>
            </w:r>
            <w:r w:rsidRPr="00653421">
              <w:rPr>
                <w:rFonts w:ascii="Tahoma" w:hAnsi="Tahoma" w:cs="Tahoma"/>
                <w:color w:val="000000"/>
                <w:sz w:val="18"/>
                <w:szCs w:val="18"/>
              </w:rPr>
              <w:t>000</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000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Won Coreano</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KRW</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300</w:t>
            </w:r>
            <w:r w:rsidR="007C3E5F" w:rsidRPr="00653421">
              <w:rPr>
                <w:rFonts w:ascii="Tahoma" w:hAnsi="Tahoma" w:cs="Tahoma"/>
                <w:color w:val="000000"/>
                <w:sz w:val="18"/>
                <w:szCs w:val="18"/>
              </w:rPr>
              <w:t>.</w:t>
            </w:r>
            <w:r w:rsidRPr="00653421">
              <w:rPr>
                <w:rFonts w:ascii="Tahoma" w:hAnsi="Tahoma" w:cs="Tahoma"/>
                <w:color w:val="000000"/>
                <w:sz w:val="18"/>
                <w:szCs w:val="18"/>
              </w:rPr>
              <w:t>000</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000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Coroa Norueguesa</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NOK</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2</w:t>
            </w:r>
            <w:r w:rsidR="007C3E5F" w:rsidRPr="00653421">
              <w:rPr>
                <w:rFonts w:ascii="Tahoma" w:hAnsi="Tahoma" w:cs="Tahoma"/>
                <w:color w:val="000000"/>
                <w:sz w:val="18"/>
                <w:szCs w:val="18"/>
              </w:rPr>
              <w:t>.</w:t>
            </w:r>
            <w:r w:rsidRPr="00653421">
              <w:rPr>
                <w:rFonts w:ascii="Tahoma" w:hAnsi="Tahoma" w:cs="Tahoma"/>
                <w:color w:val="000000"/>
                <w:sz w:val="18"/>
                <w:szCs w:val="18"/>
              </w:rPr>
              <w:t>062</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500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Dólar Neozelandês</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NZD</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437</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500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Coroa Sueca</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SEK</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2</w:t>
            </w:r>
            <w:r w:rsidR="007C3E5F" w:rsidRPr="00653421">
              <w:rPr>
                <w:rFonts w:ascii="Tahoma" w:hAnsi="Tahoma" w:cs="Tahoma"/>
                <w:color w:val="000000"/>
                <w:sz w:val="18"/>
                <w:szCs w:val="18"/>
              </w:rPr>
              <w:t>.</w:t>
            </w:r>
            <w:r w:rsidRPr="00653421">
              <w:rPr>
                <w:rFonts w:ascii="Tahoma" w:hAnsi="Tahoma" w:cs="Tahoma"/>
                <w:color w:val="000000"/>
                <w:sz w:val="18"/>
                <w:szCs w:val="18"/>
              </w:rPr>
              <w:t>500</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000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lastRenderedPageBreak/>
              <w:t>Novo Dólar Taiwanês</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TWD</w:t>
            </w:r>
          </w:p>
        </w:tc>
        <w:tc>
          <w:tcPr>
            <w:tcW w:w="3152" w:type="dxa"/>
            <w:vAlign w:val="bottom"/>
          </w:tcPr>
          <w:p w:rsidR="00E74270" w:rsidRPr="00653421" w:rsidRDefault="00E74270" w:rsidP="007C3E5F">
            <w:pPr>
              <w:pStyle w:val="AppendixBodyText"/>
              <w:jc w:val="right"/>
              <w:rPr>
                <w:rFonts w:ascii="Tahoma" w:hAnsi="Tahoma" w:cs="Tahoma"/>
                <w:sz w:val="18"/>
                <w:szCs w:val="18"/>
              </w:rPr>
            </w:pPr>
            <w:r w:rsidRPr="00653421">
              <w:rPr>
                <w:rFonts w:ascii="Tahoma" w:hAnsi="Tahoma" w:cs="Tahoma"/>
                <w:color w:val="000000"/>
                <w:sz w:val="18"/>
                <w:szCs w:val="18"/>
              </w:rPr>
              <w:t xml:space="preserve"> 8</w:t>
            </w:r>
            <w:r w:rsidR="007C3E5F" w:rsidRPr="00653421">
              <w:rPr>
                <w:rFonts w:ascii="Tahoma" w:hAnsi="Tahoma" w:cs="Tahoma"/>
                <w:color w:val="000000"/>
                <w:sz w:val="18"/>
                <w:szCs w:val="18"/>
              </w:rPr>
              <w:t>.</w:t>
            </w:r>
            <w:r w:rsidRPr="00653421">
              <w:rPr>
                <w:rFonts w:ascii="Tahoma" w:hAnsi="Tahoma" w:cs="Tahoma"/>
                <w:color w:val="000000"/>
                <w:sz w:val="18"/>
                <w:szCs w:val="18"/>
              </w:rPr>
              <w:t>750</w:t>
            </w:r>
            <w:r w:rsidR="007C3E5F" w:rsidRPr="00653421">
              <w:rPr>
                <w:rFonts w:ascii="Tahoma" w:hAnsi="Tahoma" w:cs="Tahoma"/>
                <w:color w:val="000000"/>
                <w:sz w:val="18"/>
                <w:szCs w:val="18"/>
              </w:rPr>
              <w:t>.</w:t>
            </w:r>
            <w:r w:rsidRPr="00653421">
              <w:rPr>
                <w:rFonts w:ascii="Tahoma" w:hAnsi="Tahoma" w:cs="Tahoma"/>
                <w:color w:val="000000"/>
                <w:sz w:val="18"/>
                <w:szCs w:val="18"/>
              </w:rPr>
              <w:t xml:space="preserve">000 </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Rúpia Indiana</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INR</w:t>
            </w:r>
          </w:p>
        </w:tc>
        <w:tc>
          <w:tcPr>
            <w:tcW w:w="3152" w:type="dxa"/>
            <w:vAlign w:val="bottom"/>
          </w:tcPr>
          <w:p w:rsidR="00E74270" w:rsidRPr="00653421" w:rsidRDefault="00E74270" w:rsidP="007C3E5F">
            <w:pPr>
              <w:pStyle w:val="AppendixBodyText"/>
              <w:jc w:val="right"/>
              <w:rPr>
                <w:rFonts w:ascii="Tahoma" w:hAnsi="Tahoma" w:cs="Tahoma"/>
                <w:color w:val="000000"/>
                <w:sz w:val="18"/>
                <w:szCs w:val="18"/>
              </w:rPr>
            </w:pPr>
            <w:r w:rsidRPr="00653421">
              <w:rPr>
                <w:rFonts w:ascii="Tahoma" w:hAnsi="Tahoma" w:cs="Tahoma"/>
                <w:sz w:val="18"/>
                <w:szCs w:val="18"/>
              </w:rPr>
              <w:t>12</w:t>
            </w:r>
            <w:r w:rsidR="007C3E5F" w:rsidRPr="00653421">
              <w:rPr>
                <w:rFonts w:ascii="Tahoma" w:hAnsi="Tahoma" w:cs="Tahoma"/>
                <w:sz w:val="18"/>
                <w:szCs w:val="18"/>
              </w:rPr>
              <w:t>.</w:t>
            </w:r>
            <w:r w:rsidRPr="00653421">
              <w:rPr>
                <w:rFonts w:ascii="Tahoma" w:hAnsi="Tahoma" w:cs="Tahoma"/>
                <w:sz w:val="18"/>
                <w:szCs w:val="18"/>
              </w:rPr>
              <w:t>500</w:t>
            </w:r>
            <w:r w:rsidR="007C3E5F" w:rsidRPr="00653421">
              <w:rPr>
                <w:rFonts w:ascii="Tahoma" w:hAnsi="Tahoma" w:cs="Tahoma"/>
                <w:sz w:val="18"/>
                <w:szCs w:val="18"/>
              </w:rPr>
              <w:t>.</w:t>
            </w:r>
            <w:r w:rsidRPr="00653421">
              <w:rPr>
                <w:rFonts w:ascii="Tahoma" w:hAnsi="Tahoma" w:cs="Tahoma"/>
                <w:sz w:val="18"/>
                <w:szCs w:val="18"/>
              </w:rPr>
              <w:t>000</w:t>
            </w:r>
          </w:p>
        </w:tc>
      </w:tr>
      <w:tr w:rsidR="00E74270" w:rsidRPr="00653421" w:rsidTr="008233B3">
        <w:trPr>
          <w:trHeight w:val="236"/>
          <w:jc w:val="center"/>
        </w:trPr>
        <w:tc>
          <w:tcPr>
            <w:tcW w:w="1757" w:type="dxa"/>
            <w:vAlign w:val="bottom"/>
          </w:tcPr>
          <w:p w:rsidR="00E74270" w:rsidRPr="00653421" w:rsidRDefault="00E74270" w:rsidP="00E74270">
            <w:pPr>
              <w:pStyle w:val="AppendixBodyText"/>
              <w:rPr>
                <w:rFonts w:ascii="Tahoma" w:hAnsi="Tahoma" w:cs="Tahoma"/>
                <w:sz w:val="18"/>
                <w:szCs w:val="18"/>
              </w:rPr>
            </w:pPr>
            <w:r w:rsidRPr="00653421">
              <w:rPr>
                <w:rFonts w:ascii="Tahoma" w:hAnsi="Tahoma" w:cs="Tahoma"/>
                <w:sz w:val="18"/>
                <w:szCs w:val="18"/>
              </w:rPr>
              <w:t>Rublo Russo</w:t>
            </w:r>
          </w:p>
        </w:tc>
        <w:tc>
          <w:tcPr>
            <w:tcW w:w="1112" w:type="dxa"/>
            <w:vAlign w:val="bottom"/>
          </w:tcPr>
          <w:p w:rsidR="00E74270" w:rsidRPr="00653421" w:rsidRDefault="00E74270" w:rsidP="00E74270">
            <w:pPr>
              <w:pStyle w:val="AppendixBodyText"/>
              <w:jc w:val="center"/>
              <w:rPr>
                <w:rFonts w:ascii="Tahoma" w:hAnsi="Tahoma" w:cs="Tahoma"/>
                <w:sz w:val="18"/>
                <w:szCs w:val="18"/>
              </w:rPr>
            </w:pPr>
            <w:r w:rsidRPr="00653421">
              <w:rPr>
                <w:rFonts w:ascii="Tahoma" w:hAnsi="Tahoma" w:cs="Tahoma"/>
                <w:sz w:val="18"/>
                <w:szCs w:val="18"/>
              </w:rPr>
              <w:t>RUB</w:t>
            </w:r>
          </w:p>
        </w:tc>
        <w:tc>
          <w:tcPr>
            <w:tcW w:w="3152" w:type="dxa"/>
            <w:vAlign w:val="bottom"/>
          </w:tcPr>
          <w:p w:rsidR="00E74270" w:rsidRPr="00653421" w:rsidRDefault="00E74270" w:rsidP="007C3E5F">
            <w:pPr>
              <w:pStyle w:val="AppendixBodyText"/>
              <w:jc w:val="right"/>
              <w:rPr>
                <w:rFonts w:ascii="Tahoma" w:hAnsi="Tahoma" w:cs="Tahoma"/>
                <w:color w:val="000000"/>
                <w:sz w:val="18"/>
                <w:szCs w:val="18"/>
              </w:rPr>
            </w:pPr>
            <w:r w:rsidRPr="00653421">
              <w:rPr>
                <w:rFonts w:ascii="Tahoma" w:hAnsi="Tahoma" w:cs="Tahoma"/>
                <w:sz w:val="18"/>
                <w:szCs w:val="18"/>
              </w:rPr>
              <w:t>8</w:t>
            </w:r>
            <w:r w:rsidR="007C3E5F" w:rsidRPr="00653421">
              <w:rPr>
                <w:rFonts w:ascii="Tahoma" w:hAnsi="Tahoma" w:cs="Tahoma"/>
                <w:sz w:val="18"/>
                <w:szCs w:val="18"/>
              </w:rPr>
              <w:t>.</w:t>
            </w:r>
            <w:r w:rsidRPr="00653421">
              <w:rPr>
                <w:rFonts w:ascii="Tahoma" w:hAnsi="Tahoma" w:cs="Tahoma"/>
                <w:sz w:val="18"/>
                <w:szCs w:val="18"/>
              </w:rPr>
              <w:t>250</w:t>
            </w:r>
            <w:r w:rsidR="007C3E5F" w:rsidRPr="00653421">
              <w:rPr>
                <w:rFonts w:ascii="Tahoma" w:hAnsi="Tahoma" w:cs="Tahoma"/>
                <w:sz w:val="18"/>
                <w:szCs w:val="18"/>
              </w:rPr>
              <w:t>.</w:t>
            </w:r>
            <w:r w:rsidRPr="00653421">
              <w:rPr>
                <w:rFonts w:ascii="Tahoma" w:hAnsi="Tahoma" w:cs="Tahoma"/>
                <w:sz w:val="18"/>
                <w:szCs w:val="18"/>
              </w:rPr>
              <w:t>000</w:t>
            </w:r>
          </w:p>
        </w:tc>
      </w:tr>
    </w:tbl>
    <w:p w:rsidR="001C6BD7" w:rsidRPr="00653421" w:rsidRDefault="001C6BD7" w:rsidP="00F42FB8">
      <w:pPr>
        <w:jc w:val="both"/>
        <w:rPr>
          <w:rFonts w:cs="Tahoma"/>
          <w:szCs w:val="18"/>
        </w:rPr>
      </w:pPr>
    </w:p>
    <w:p w:rsidR="00613BBB" w:rsidRPr="00C50FD1" w:rsidRDefault="00613BBB" w:rsidP="00F42FB8">
      <w:pPr>
        <w:jc w:val="both"/>
        <w:rPr>
          <w:lang w:val="pt-BR"/>
        </w:rPr>
      </w:pPr>
      <w:r w:rsidRPr="00C50FD1">
        <w:rPr>
          <w:rFonts w:cs="Tahoma"/>
          <w:szCs w:val="18"/>
          <w:lang w:val="pt-BR"/>
        </w:rPr>
        <w:t>Quando a média de gasto de SA anual comprometida com produtos de Plataforma de Aplicativos qualificados para o</w:t>
      </w:r>
      <w:r w:rsidR="00266902" w:rsidRPr="00C50FD1">
        <w:rPr>
          <w:rFonts w:cs="Tahoma"/>
          <w:szCs w:val="18"/>
          <w:lang w:val="pt-BR"/>
        </w:rPr>
        <w:t> </w:t>
      </w:r>
      <w:r w:rsidRPr="00C50FD1">
        <w:rPr>
          <w:rFonts w:cs="Tahoma"/>
          <w:szCs w:val="18"/>
          <w:lang w:val="pt-BR"/>
        </w:rPr>
        <w:t>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5A52A2" w:rsidRPr="00C50FD1">
        <w:rPr>
          <w:rFonts w:cs="Tahoma"/>
          <w:szCs w:val="18"/>
          <w:lang w:val="pt-BR"/>
        </w:rPr>
        <w:t xml:space="preserve"> </w:t>
      </w:r>
      <w:r w:rsidRPr="00C50FD1">
        <w:rPr>
          <w:rFonts w:cs="Tahoma"/>
          <w:szCs w:val="18"/>
          <w:lang w:val="pt-BR"/>
        </w:rPr>
        <w:t xml:space="preserve">Os incidentes de PRS 24x7 Ilimitado não podem ser convertidos em horas ou incidentes de Suporte para Resolução de Problemas Premier. </w:t>
      </w:r>
    </w:p>
    <w:p w:rsidR="00613BBB" w:rsidRPr="00C50FD1" w:rsidRDefault="00613BBB" w:rsidP="00F42FB8">
      <w:pPr>
        <w:rPr>
          <w:lang w:val="pt-BR"/>
        </w:rPr>
      </w:pPr>
    </w:p>
    <w:p w:rsidR="00613BBB" w:rsidRPr="00C50FD1" w:rsidRDefault="00613BBB" w:rsidP="00F42FB8">
      <w:pPr>
        <w:jc w:val="both"/>
        <w:rPr>
          <w:lang w:val="pt-BR"/>
        </w:rPr>
      </w:pPr>
      <w:r w:rsidRPr="00C50FD1">
        <w:rPr>
          <w:rFonts w:cs="Tahoma"/>
          <w:szCs w:val="18"/>
          <w:lang w:val="pt-BR"/>
        </w:rPr>
        <w:t xml:space="preserve">Os clientes que possuem </w:t>
      </w:r>
      <w:r w:rsidRPr="00C50FD1">
        <w:rPr>
          <w:rFonts w:cs="Tahoma"/>
          <w:color w:val="000000"/>
          <w:szCs w:val="18"/>
          <w:lang w:val="pt-BR"/>
        </w:rPr>
        <w:t>Contratos Application Platform (APA) com data de início de vigência anterior a 1</w:t>
      </w:r>
      <w:r w:rsidRPr="00C50FD1">
        <w:rPr>
          <w:rFonts w:cs="Tahoma"/>
          <w:color w:val="000000"/>
          <w:szCs w:val="18"/>
          <w:vertAlign w:val="superscript"/>
          <w:lang w:val="pt-BR"/>
        </w:rPr>
        <w:t>º</w:t>
      </w:r>
      <w:r w:rsidR="00532DEC" w:rsidRPr="00C50FD1">
        <w:rPr>
          <w:rFonts w:cs="Tahoma"/>
          <w:color w:val="000000"/>
          <w:szCs w:val="18"/>
          <w:lang w:val="pt-BR"/>
        </w:rPr>
        <w:t> </w:t>
      </w:r>
      <w:r w:rsidRPr="00C50FD1">
        <w:rPr>
          <w:rFonts w:cs="Tahoma"/>
          <w:color w:val="000000"/>
          <w:szCs w:val="18"/>
          <w:lang w:val="pt-BR"/>
        </w:rPr>
        <w:t>de</w:t>
      </w:r>
      <w:r w:rsidR="00532DEC" w:rsidRPr="00C50FD1">
        <w:rPr>
          <w:rFonts w:cs="Tahoma"/>
          <w:color w:val="000000"/>
          <w:szCs w:val="18"/>
          <w:lang w:val="pt-BR"/>
        </w:rPr>
        <w:t> </w:t>
      </w:r>
      <w:r w:rsidRPr="00C50FD1">
        <w:rPr>
          <w:rFonts w:cs="Tahoma"/>
          <w:color w:val="000000"/>
          <w:szCs w:val="18"/>
          <w:lang w:val="pt-BR"/>
        </w:rPr>
        <w:t>julho</w:t>
      </w:r>
      <w:r w:rsidR="00532DEC" w:rsidRPr="00C50FD1">
        <w:rPr>
          <w:rFonts w:cs="Tahoma"/>
          <w:color w:val="000000"/>
          <w:szCs w:val="18"/>
          <w:lang w:val="pt-BR"/>
        </w:rPr>
        <w:t> </w:t>
      </w:r>
      <w:r w:rsidRPr="00C50FD1">
        <w:rPr>
          <w:rFonts w:cs="Tahoma"/>
          <w:color w:val="000000"/>
          <w:szCs w:val="18"/>
          <w:lang w:val="pt-BR"/>
        </w:rPr>
        <w:t xml:space="preserve">de 2009 e com uma média de gasto de SA anual superior a US$ 250.000 em produtos de Plataforma de Aplicativos qualificados e que possuem um Contrato de Serviços Premier ativo se tornarão qualificados para o PRS 24x7 Ilimitado no primeiro aniversário da data de início de vigência do APA. </w:t>
      </w:r>
    </w:p>
    <w:p w:rsidR="00613BBB" w:rsidRPr="00C50FD1" w:rsidRDefault="00613BBB" w:rsidP="00F42FB8">
      <w:pPr>
        <w:rPr>
          <w:lang w:val="pt-BR"/>
        </w:rPr>
      </w:pPr>
    </w:p>
    <w:p w:rsidR="00A17E03" w:rsidRPr="00C50FD1" w:rsidRDefault="00A17E03" w:rsidP="00F42FB8">
      <w:pPr>
        <w:spacing w:line="276" w:lineRule="auto"/>
        <w:rPr>
          <w:lang w:val="pt-BR"/>
        </w:rPr>
      </w:pPr>
      <w:r w:rsidRPr="00C50FD1">
        <w:rPr>
          <w:rFonts w:eastAsia="Calibri" w:cs="Tahoma"/>
          <w:szCs w:val="18"/>
          <w:lang w:val="pt-BR"/>
        </w:rPr>
        <w:t>(2) Os clientes que adquirirem licenças para o PDW e possuem um Contrato de Serviços Premier ativo estão qualificados para incidentes do PRS, 24 horas por dia, 7 dias por semana, Ilimitado.</w:t>
      </w:r>
    </w:p>
    <w:p w:rsidR="00FF1B2B" w:rsidRPr="00C50FD1" w:rsidRDefault="00FF1B2B" w:rsidP="00F42FB8">
      <w:pPr>
        <w:spacing w:line="276" w:lineRule="auto"/>
        <w:rPr>
          <w:lang w:val="pt-BR"/>
        </w:rPr>
      </w:pPr>
    </w:p>
    <w:p w:rsidR="00A17E03" w:rsidRPr="00C50FD1" w:rsidRDefault="00A17E03" w:rsidP="00F42FB8">
      <w:pPr>
        <w:spacing w:line="276" w:lineRule="auto"/>
        <w:jc w:val="both"/>
        <w:rPr>
          <w:lang w:val="pt-BR"/>
        </w:rPr>
      </w:pPr>
      <w:r w:rsidRPr="00C50FD1">
        <w:rPr>
          <w:rFonts w:eastAsia="Calibri" w:cs="Tahoma"/>
          <w:szCs w:val="18"/>
          <w:lang w:val="pt-BR"/>
        </w:rPr>
        <w:t xml:space="preserve">Na compra de licenças para o PDW, a Microsoft não concederá aos clientes incidentes com base no gasto de SA real neste produto. Os incidentes de PRS 24x7 Ilimitado não podem ser convertidos em horas ou incidentes de Suporte para Resolução de Problemas Premier. </w:t>
      </w:r>
    </w:p>
    <w:p w:rsidR="00FF1B2B" w:rsidRPr="00C50FD1" w:rsidRDefault="00FF1B2B" w:rsidP="00EA7B73">
      <w:pPr>
        <w:spacing w:line="180" w:lineRule="exact"/>
        <w:jc w:val="both"/>
        <w:rPr>
          <w:lang w:val="pt-BR"/>
        </w:rPr>
      </w:pPr>
    </w:p>
    <w:p w:rsidR="00A17E03" w:rsidRPr="00C50FD1" w:rsidRDefault="00A17E03" w:rsidP="00F42FB8">
      <w:pPr>
        <w:jc w:val="both"/>
        <w:rPr>
          <w:lang w:val="pt-BR"/>
        </w:rPr>
      </w:pPr>
      <w:r w:rsidRPr="00C50FD1">
        <w:rPr>
          <w:rFonts w:cs="Tahoma"/>
          <w:color w:val="000000"/>
          <w:szCs w:val="18"/>
          <w:lang w:val="pt-BR"/>
        </w:rPr>
        <w:t xml:space="preserve">Embora o número de </w:t>
      </w:r>
      <w:r w:rsidRPr="00C50FD1">
        <w:rPr>
          <w:rFonts w:cs="Tahoma"/>
          <w:i/>
          <w:color w:val="000000"/>
          <w:szCs w:val="18"/>
          <w:lang w:val="pt-BR"/>
        </w:rPr>
        <w:t>i</w:t>
      </w:r>
      <w:r w:rsidRPr="00C50FD1">
        <w:rPr>
          <w:rFonts w:cs="Tahoma"/>
          <w:color w:val="000000"/>
          <w:szCs w:val="18"/>
          <w:lang w:val="pt-BR"/>
        </w:rPr>
        <w:t>ncidentes do PRS, 24 horas por dia, 7 dias por semana, concedidos não seja determinado pelo gasto de SA, o número de contatos de suporte permitidos para gerenciar o PRS, 24 horas por dia, 7 dias por semana, Ilimitado varia de acordo com os gastos de SA. Todos os clientes elegíveis estão qualificados a, pelo menos, quatro contatos autorizados mais um contato adicional a cada US$ 125.000 adicionais de gasto de SA sob seu EAP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5A52A2" w:rsidRPr="00C50FD1">
        <w:rPr>
          <w:rFonts w:cs="Tahoma"/>
          <w:color w:val="000000"/>
          <w:szCs w:val="18"/>
          <w:lang w:val="pt-BR"/>
        </w:rPr>
        <w:t xml:space="preserve"> </w:t>
      </w:r>
      <w:r w:rsidRPr="00C50FD1">
        <w:rPr>
          <w:rFonts w:cs="Tahoma"/>
          <w:color w:val="000000"/>
          <w:szCs w:val="18"/>
          <w:lang w:val="pt-BR"/>
        </w:rPr>
        <w:t>Consulte a tabela a seguir:</w:t>
      </w:r>
    </w:p>
    <w:p w:rsidR="00FF1B2B" w:rsidRPr="00C50FD1" w:rsidRDefault="00FF1B2B" w:rsidP="00EA7B73">
      <w:pPr>
        <w:spacing w:line="180" w:lineRule="exact"/>
        <w:jc w:val="both"/>
        <w:rPr>
          <w:lang w:val="pt-BR"/>
        </w:rPr>
      </w:pPr>
    </w:p>
    <w:p w:rsidR="00A17E03" w:rsidRPr="00C50FD1" w:rsidRDefault="00A17E03" w:rsidP="00F42FB8">
      <w:pPr>
        <w:jc w:val="both"/>
        <w:rPr>
          <w:lang w:val="pt-BR"/>
        </w:rPr>
      </w:pPr>
      <w:r w:rsidRPr="00C50FD1">
        <w:rPr>
          <w:rFonts w:cs="Tahoma"/>
          <w:color w:val="000000"/>
          <w:szCs w:val="18"/>
          <w:lang w:val="pt-BR"/>
        </w:rPr>
        <w:t>A seguinte tabela se aplica a clientes que possuam um EAP ou APA:</w:t>
      </w:r>
    </w:p>
    <w:p w:rsidR="00613BBB" w:rsidRPr="00C50FD1" w:rsidRDefault="00613BBB" w:rsidP="00EA7B73">
      <w:pPr>
        <w:spacing w:line="180" w:lineRule="exact"/>
        <w:jc w:val="both"/>
        <w:rPr>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653421" w:rsidTr="002A6416">
        <w:tc>
          <w:tcPr>
            <w:tcW w:w="2160" w:type="dxa"/>
            <w:shd w:val="clear" w:color="auto" w:fill="FABF8F"/>
          </w:tcPr>
          <w:p w:rsidR="00613BBB" w:rsidRPr="00C50FD1" w:rsidRDefault="00613BBB" w:rsidP="00613BBB">
            <w:pPr>
              <w:jc w:val="center"/>
              <w:rPr>
                <w:rFonts w:cs="Tahoma"/>
                <w:color w:val="000000"/>
                <w:szCs w:val="18"/>
                <w:lang w:val="pt-BR"/>
              </w:rPr>
            </w:pPr>
            <w:r w:rsidRPr="00C50FD1">
              <w:rPr>
                <w:rFonts w:cs="Tahoma"/>
                <w:b/>
                <w:bCs/>
                <w:color w:val="000000"/>
                <w:szCs w:val="18"/>
                <w:lang w:val="pt-BR"/>
              </w:rPr>
              <w:t>Média de Gasto de SA Anual</w:t>
            </w:r>
          </w:p>
        </w:tc>
        <w:tc>
          <w:tcPr>
            <w:tcW w:w="2520" w:type="dxa"/>
            <w:shd w:val="clear" w:color="auto" w:fill="FABF8F"/>
          </w:tcPr>
          <w:p w:rsidR="00613BBB" w:rsidRPr="00653421" w:rsidRDefault="00A17E03" w:rsidP="00613BBB">
            <w:pPr>
              <w:jc w:val="center"/>
              <w:rPr>
                <w:rFonts w:cs="Tahoma"/>
                <w:color w:val="000000"/>
                <w:szCs w:val="18"/>
              </w:rPr>
            </w:pPr>
            <w:r w:rsidRPr="00653421">
              <w:rPr>
                <w:rFonts w:cs="Tahoma"/>
                <w:b/>
                <w:bCs/>
                <w:color w:val="000000"/>
                <w:szCs w:val="18"/>
              </w:rPr>
              <w:t>Contatos de suporte permitidos</w:t>
            </w:r>
          </w:p>
        </w:tc>
      </w:tr>
      <w:tr w:rsidR="00613BBB" w:rsidRPr="00653421" w:rsidTr="002A6416">
        <w:tc>
          <w:tcPr>
            <w:tcW w:w="2160" w:type="dxa"/>
          </w:tcPr>
          <w:p w:rsidR="00613BBB" w:rsidRPr="00653421" w:rsidRDefault="00613BBB" w:rsidP="00266902">
            <w:pPr>
              <w:jc w:val="center"/>
              <w:rPr>
                <w:rFonts w:cs="Tahoma"/>
                <w:color w:val="000000"/>
                <w:szCs w:val="18"/>
              </w:rPr>
            </w:pPr>
            <w:r w:rsidRPr="00653421">
              <w:rPr>
                <w:rFonts w:cs="Tahoma"/>
                <w:color w:val="000000"/>
                <w:szCs w:val="18"/>
              </w:rPr>
              <w:t>$250</w:t>
            </w:r>
            <w:r w:rsidR="00266902" w:rsidRPr="00653421">
              <w:rPr>
                <w:rFonts w:cs="Tahoma"/>
                <w:color w:val="000000"/>
                <w:szCs w:val="18"/>
              </w:rPr>
              <w:t>.</w:t>
            </w:r>
            <w:r w:rsidRPr="00653421">
              <w:rPr>
                <w:rFonts w:cs="Tahoma"/>
                <w:color w:val="000000"/>
                <w:szCs w:val="18"/>
              </w:rPr>
              <w:t>000 - $374</w:t>
            </w:r>
            <w:r w:rsidR="00266902" w:rsidRPr="00653421">
              <w:rPr>
                <w:rFonts w:cs="Tahoma"/>
                <w:color w:val="000000"/>
                <w:szCs w:val="18"/>
              </w:rPr>
              <w:t>.</w:t>
            </w:r>
            <w:r w:rsidRPr="00653421">
              <w:rPr>
                <w:rFonts w:cs="Tahoma"/>
                <w:color w:val="000000"/>
                <w:szCs w:val="18"/>
              </w:rPr>
              <w:t>999</w:t>
            </w:r>
          </w:p>
        </w:tc>
        <w:tc>
          <w:tcPr>
            <w:tcW w:w="2520" w:type="dxa"/>
          </w:tcPr>
          <w:p w:rsidR="00613BBB" w:rsidRPr="00653421" w:rsidRDefault="00613BBB" w:rsidP="00613BBB">
            <w:pPr>
              <w:jc w:val="center"/>
              <w:rPr>
                <w:rFonts w:cs="Tahoma"/>
                <w:color w:val="000000"/>
                <w:szCs w:val="18"/>
              </w:rPr>
            </w:pPr>
            <w:r w:rsidRPr="00653421">
              <w:rPr>
                <w:rFonts w:cs="Tahoma"/>
                <w:color w:val="000000"/>
                <w:szCs w:val="18"/>
              </w:rPr>
              <w:t>4</w:t>
            </w:r>
          </w:p>
        </w:tc>
      </w:tr>
      <w:tr w:rsidR="00613BBB" w:rsidRPr="00653421" w:rsidTr="002A6416">
        <w:tc>
          <w:tcPr>
            <w:tcW w:w="2160" w:type="dxa"/>
          </w:tcPr>
          <w:p w:rsidR="00613BBB" w:rsidRPr="00653421" w:rsidRDefault="00613BBB" w:rsidP="00266902">
            <w:pPr>
              <w:jc w:val="center"/>
              <w:rPr>
                <w:rFonts w:cs="Tahoma"/>
                <w:szCs w:val="18"/>
              </w:rPr>
            </w:pPr>
            <w:r w:rsidRPr="00653421">
              <w:rPr>
                <w:rFonts w:cs="Tahoma"/>
                <w:szCs w:val="18"/>
              </w:rPr>
              <w:t>$375</w:t>
            </w:r>
            <w:r w:rsidR="00266902" w:rsidRPr="00653421">
              <w:rPr>
                <w:rFonts w:cs="Tahoma"/>
                <w:szCs w:val="18"/>
              </w:rPr>
              <w:t>.</w:t>
            </w:r>
            <w:r w:rsidRPr="00653421">
              <w:rPr>
                <w:rFonts w:cs="Tahoma"/>
                <w:szCs w:val="18"/>
              </w:rPr>
              <w:t>000 - $499</w:t>
            </w:r>
            <w:r w:rsidR="00266902" w:rsidRPr="00653421">
              <w:rPr>
                <w:rFonts w:cs="Tahoma"/>
                <w:szCs w:val="18"/>
              </w:rPr>
              <w:t>.</w:t>
            </w:r>
            <w:r w:rsidRPr="00653421">
              <w:rPr>
                <w:rFonts w:cs="Tahoma"/>
                <w:szCs w:val="18"/>
              </w:rPr>
              <w:t>999</w:t>
            </w:r>
          </w:p>
        </w:tc>
        <w:tc>
          <w:tcPr>
            <w:tcW w:w="2520" w:type="dxa"/>
          </w:tcPr>
          <w:p w:rsidR="00613BBB" w:rsidRPr="00653421" w:rsidRDefault="00613BBB" w:rsidP="00613BBB">
            <w:pPr>
              <w:jc w:val="center"/>
              <w:rPr>
                <w:rFonts w:cs="Tahoma"/>
                <w:szCs w:val="18"/>
              </w:rPr>
            </w:pPr>
            <w:r w:rsidRPr="00653421">
              <w:rPr>
                <w:rFonts w:cs="Tahoma"/>
                <w:szCs w:val="18"/>
              </w:rPr>
              <w:t>5</w:t>
            </w:r>
          </w:p>
        </w:tc>
      </w:tr>
      <w:tr w:rsidR="00613BBB" w:rsidRPr="00653421" w:rsidTr="002A6416">
        <w:tc>
          <w:tcPr>
            <w:tcW w:w="2160" w:type="dxa"/>
          </w:tcPr>
          <w:p w:rsidR="00613BBB" w:rsidRPr="00653421" w:rsidRDefault="00613BBB" w:rsidP="00266902">
            <w:pPr>
              <w:jc w:val="center"/>
              <w:rPr>
                <w:rFonts w:cs="Tahoma"/>
                <w:szCs w:val="18"/>
              </w:rPr>
            </w:pPr>
            <w:r w:rsidRPr="00653421">
              <w:rPr>
                <w:rFonts w:cs="Tahoma"/>
                <w:szCs w:val="18"/>
              </w:rPr>
              <w:t>$500</w:t>
            </w:r>
            <w:r w:rsidR="00266902" w:rsidRPr="00653421">
              <w:rPr>
                <w:rFonts w:cs="Tahoma"/>
                <w:szCs w:val="18"/>
              </w:rPr>
              <w:t>.</w:t>
            </w:r>
            <w:r w:rsidRPr="00653421">
              <w:rPr>
                <w:rFonts w:cs="Tahoma"/>
                <w:szCs w:val="18"/>
              </w:rPr>
              <w:t>000 - $624</w:t>
            </w:r>
            <w:r w:rsidR="00266902" w:rsidRPr="00653421">
              <w:rPr>
                <w:rFonts w:cs="Tahoma"/>
                <w:szCs w:val="18"/>
              </w:rPr>
              <w:t>.</w:t>
            </w:r>
            <w:r w:rsidRPr="00653421">
              <w:rPr>
                <w:rFonts w:cs="Tahoma"/>
                <w:szCs w:val="18"/>
              </w:rPr>
              <w:t>999</w:t>
            </w:r>
          </w:p>
        </w:tc>
        <w:tc>
          <w:tcPr>
            <w:tcW w:w="2520" w:type="dxa"/>
          </w:tcPr>
          <w:p w:rsidR="00613BBB" w:rsidRPr="00653421" w:rsidRDefault="00613BBB" w:rsidP="00613BBB">
            <w:pPr>
              <w:jc w:val="center"/>
              <w:rPr>
                <w:rFonts w:cs="Tahoma"/>
                <w:szCs w:val="18"/>
              </w:rPr>
            </w:pPr>
            <w:r w:rsidRPr="00653421">
              <w:rPr>
                <w:rFonts w:cs="Tahoma"/>
                <w:szCs w:val="18"/>
              </w:rPr>
              <w:t>6</w:t>
            </w:r>
          </w:p>
        </w:tc>
      </w:tr>
      <w:tr w:rsidR="00613BBB" w:rsidRPr="00653421" w:rsidTr="002A6416">
        <w:tc>
          <w:tcPr>
            <w:tcW w:w="2160" w:type="dxa"/>
          </w:tcPr>
          <w:p w:rsidR="00613BBB" w:rsidRPr="00653421" w:rsidRDefault="00613BBB" w:rsidP="00266902">
            <w:pPr>
              <w:jc w:val="center"/>
              <w:rPr>
                <w:rFonts w:cs="Tahoma"/>
                <w:szCs w:val="18"/>
              </w:rPr>
            </w:pPr>
            <w:r w:rsidRPr="00653421">
              <w:rPr>
                <w:rFonts w:cs="Tahoma"/>
                <w:szCs w:val="18"/>
              </w:rPr>
              <w:t>$625</w:t>
            </w:r>
            <w:r w:rsidR="00266902" w:rsidRPr="00653421">
              <w:rPr>
                <w:rFonts w:cs="Tahoma"/>
                <w:szCs w:val="18"/>
              </w:rPr>
              <w:t>.</w:t>
            </w:r>
            <w:r w:rsidRPr="00653421">
              <w:rPr>
                <w:rFonts w:cs="Tahoma"/>
                <w:szCs w:val="18"/>
              </w:rPr>
              <w:t>000 - $749</w:t>
            </w:r>
            <w:r w:rsidR="00266902" w:rsidRPr="00653421">
              <w:rPr>
                <w:rFonts w:cs="Tahoma"/>
                <w:szCs w:val="18"/>
              </w:rPr>
              <w:t>.</w:t>
            </w:r>
            <w:r w:rsidRPr="00653421">
              <w:rPr>
                <w:rFonts w:cs="Tahoma"/>
                <w:szCs w:val="18"/>
              </w:rPr>
              <w:t>999</w:t>
            </w:r>
          </w:p>
        </w:tc>
        <w:tc>
          <w:tcPr>
            <w:tcW w:w="2520" w:type="dxa"/>
          </w:tcPr>
          <w:p w:rsidR="00613BBB" w:rsidRPr="00653421" w:rsidRDefault="00613BBB" w:rsidP="00613BBB">
            <w:pPr>
              <w:jc w:val="center"/>
              <w:rPr>
                <w:rFonts w:cs="Tahoma"/>
                <w:szCs w:val="18"/>
              </w:rPr>
            </w:pPr>
            <w:r w:rsidRPr="00653421">
              <w:rPr>
                <w:rFonts w:cs="Tahoma"/>
                <w:szCs w:val="18"/>
              </w:rPr>
              <w:t>7</w:t>
            </w:r>
          </w:p>
        </w:tc>
      </w:tr>
      <w:tr w:rsidR="00613BBB" w:rsidRPr="00653421" w:rsidTr="002A6416">
        <w:tc>
          <w:tcPr>
            <w:tcW w:w="2160" w:type="dxa"/>
          </w:tcPr>
          <w:p w:rsidR="00613BBB" w:rsidRPr="00653421" w:rsidRDefault="00613BBB" w:rsidP="00266902">
            <w:pPr>
              <w:jc w:val="center"/>
              <w:rPr>
                <w:rFonts w:cs="Tahoma"/>
                <w:szCs w:val="18"/>
              </w:rPr>
            </w:pPr>
            <w:r w:rsidRPr="00653421">
              <w:rPr>
                <w:rFonts w:cs="Tahoma"/>
                <w:szCs w:val="18"/>
              </w:rPr>
              <w:t>$750</w:t>
            </w:r>
            <w:r w:rsidR="00266902" w:rsidRPr="00653421">
              <w:rPr>
                <w:rFonts w:cs="Tahoma"/>
                <w:szCs w:val="18"/>
              </w:rPr>
              <w:t>.</w:t>
            </w:r>
            <w:r w:rsidRPr="00653421">
              <w:rPr>
                <w:rFonts w:cs="Tahoma"/>
                <w:szCs w:val="18"/>
              </w:rPr>
              <w:t>000 - $874</w:t>
            </w:r>
            <w:r w:rsidR="00266902" w:rsidRPr="00653421">
              <w:rPr>
                <w:rFonts w:cs="Tahoma"/>
                <w:szCs w:val="18"/>
              </w:rPr>
              <w:t>.</w:t>
            </w:r>
            <w:r w:rsidRPr="00653421">
              <w:rPr>
                <w:rFonts w:cs="Tahoma"/>
                <w:szCs w:val="18"/>
              </w:rPr>
              <w:t>999</w:t>
            </w:r>
          </w:p>
        </w:tc>
        <w:tc>
          <w:tcPr>
            <w:tcW w:w="2520" w:type="dxa"/>
          </w:tcPr>
          <w:p w:rsidR="00613BBB" w:rsidRPr="00653421" w:rsidRDefault="00613BBB" w:rsidP="00613BBB">
            <w:pPr>
              <w:jc w:val="center"/>
              <w:rPr>
                <w:rFonts w:cs="Tahoma"/>
                <w:szCs w:val="18"/>
              </w:rPr>
            </w:pPr>
            <w:r w:rsidRPr="00653421">
              <w:rPr>
                <w:rFonts w:cs="Tahoma"/>
                <w:szCs w:val="18"/>
              </w:rPr>
              <w:t>8</w:t>
            </w:r>
          </w:p>
        </w:tc>
      </w:tr>
    </w:tbl>
    <w:p w:rsidR="00266902" w:rsidRPr="00653421" w:rsidRDefault="00266902" w:rsidP="00EA7B73">
      <w:pPr>
        <w:spacing w:line="180" w:lineRule="exact"/>
        <w:jc w:val="both"/>
        <w:rPr>
          <w:rFonts w:cs="Tahoma"/>
          <w:szCs w:val="18"/>
        </w:rPr>
      </w:pPr>
    </w:p>
    <w:p w:rsidR="00A17E03" w:rsidRPr="00C50FD1" w:rsidRDefault="00A17E03" w:rsidP="00FF1B2B">
      <w:pPr>
        <w:rPr>
          <w:lang w:val="pt-BR"/>
        </w:rPr>
      </w:pPr>
      <w:r w:rsidRPr="00C50FD1">
        <w:rPr>
          <w:rFonts w:cs="Tahoma"/>
          <w:szCs w:val="18"/>
          <w:lang w:val="pt-BR"/>
        </w:rPr>
        <w:t>A seguinte tabela se aplica a clientes que possuam licenças para PDW:</w:t>
      </w:r>
    </w:p>
    <w:p w:rsidR="00A17E03" w:rsidRPr="00C50FD1" w:rsidRDefault="00A17E03" w:rsidP="00EA7B73">
      <w:pPr>
        <w:spacing w:line="180" w:lineRule="exact"/>
        <w:jc w:val="both"/>
        <w:rPr>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653421" w:rsidTr="002A6416">
        <w:tc>
          <w:tcPr>
            <w:tcW w:w="2160" w:type="dxa"/>
            <w:shd w:val="clear" w:color="auto" w:fill="FABF8F"/>
          </w:tcPr>
          <w:p w:rsidR="00A17E03" w:rsidRPr="00C50FD1" w:rsidRDefault="00A17E03" w:rsidP="004A787C">
            <w:pPr>
              <w:jc w:val="center"/>
              <w:rPr>
                <w:rFonts w:cs="Tahoma"/>
                <w:color w:val="000000"/>
                <w:szCs w:val="18"/>
                <w:lang w:val="pt-BR"/>
              </w:rPr>
            </w:pPr>
            <w:r w:rsidRPr="00C50FD1">
              <w:rPr>
                <w:rFonts w:cs="Tahoma"/>
                <w:b/>
                <w:bCs/>
                <w:color w:val="000000"/>
                <w:szCs w:val="18"/>
                <w:lang w:val="pt-BR"/>
              </w:rPr>
              <w:t>Média de Gasto de</w:t>
            </w:r>
            <w:r w:rsidR="004A787C" w:rsidRPr="00C50FD1">
              <w:rPr>
                <w:rFonts w:cs="Tahoma"/>
                <w:b/>
                <w:bCs/>
                <w:color w:val="000000"/>
                <w:szCs w:val="18"/>
                <w:lang w:val="pt-BR"/>
              </w:rPr>
              <w:t> </w:t>
            </w:r>
            <w:r w:rsidRPr="00C50FD1">
              <w:rPr>
                <w:rFonts w:cs="Tahoma"/>
                <w:b/>
                <w:bCs/>
                <w:color w:val="000000"/>
                <w:szCs w:val="18"/>
                <w:lang w:val="pt-BR"/>
              </w:rPr>
              <w:t>SA Anual</w:t>
            </w:r>
          </w:p>
        </w:tc>
        <w:tc>
          <w:tcPr>
            <w:tcW w:w="2520" w:type="dxa"/>
            <w:shd w:val="clear" w:color="auto" w:fill="FABF8F"/>
          </w:tcPr>
          <w:p w:rsidR="00A17E03" w:rsidRPr="00653421" w:rsidRDefault="00A17E03" w:rsidP="00A17E03">
            <w:pPr>
              <w:jc w:val="center"/>
              <w:rPr>
                <w:rFonts w:cs="Tahoma"/>
                <w:color w:val="000000"/>
                <w:szCs w:val="18"/>
              </w:rPr>
            </w:pPr>
            <w:r w:rsidRPr="00653421">
              <w:rPr>
                <w:rFonts w:cs="Tahoma"/>
                <w:b/>
                <w:bCs/>
                <w:color w:val="000000"/>
                <w:szCs w:val="18"/>
              </w:rPr>
              <w:t>Contatos de suporte permitidos</w:t>
            </w:r>
          </w:p>
        </w:tc>
      </w:tr>
      <w:tr w:rsidR="00A17E03" w:rsidRPr="00653421" w:rsidTr="002A6416">
        <w:tc>
          <w:tcPr>
            <w:tcW w:w="2160" w:type="dxa"/>
          </w:tcPr>
          <w:p w:rsidR="00A17E03" w:rsidRPr="00653421" w:rsidRDefault="00A17E03" w:rsidP="0061397B">
            <w:pPr>
              <w:jc w:val="center"/>
              <w:rPr>
                <w:rFonts w:cs="Tahoma"/>
                <w:color w:val="000000"/>
                <w:szCs w:val="18"/>
              </w:rPr>
            </w:pPr>
            <w:r w:rsidRPr="00653421">
              <w:rPr>
                <w:rFonts w:cs="Tahoma"/>
                <w:color w:val="000000"/>
                <w:szCs w:val="18"/>
              </w:rPr>
              <w:t>$0 - $374</w:t>
            </w:r>
            <w:r w:rsidR="0061397B" w:rsidRPr="00653421">
              <w:rPr>
                <w:rFonts w:cs="Tahoma"/>
                <w:color w:val="000000"/>
                <w:szCs w:val="18"/>
              </w:rPr>
              <w:t>.</w:t>
            </w:r>
            <w:r w:rsidRPr="00653421">
              <w:rPr>
                <w:rFonts w:cs="Tahoma"/>
                <w:color w:val="000000"/>
                <w:szCs w:val="18"/>
              </w:rPr>
              <w:t>999</w:t>
            </w:r>
          </w:p>
        </w:tc>
        <w:tc>
          <w:tcPr>
            <w:tcW w:w="2520" w:type="dxa"/>
          </w:tcPr>
          <w:p w:rsidR="00A17E03" w:rsidRPr="00653421" w:rsidRDefault="00A17E03" w:rsidP="00A17E03">
            <w:pPr>
              <w:jc w:val="center"/>
              <w:rPr>
                <w:rFonts w:cs="Tahoma"/>
                <w:color w:val="000000"/>
                <w:szCs w:val="18"/>
              </w:rPr>
            </w:pPr>
            <w:r w:rsidRPr="00653421">
              <w:rPr>
                <w:rFonts w:cs="Tahoma"/>
                <w:color w:val="000000"/>
                <w:szCs w:val="18"/>
              </w:rPr>
              <w:t>4</w:t>
            </w:r>
          </w:p>
        </w:tc>
      </w:tr>
      <w:tr w:rsidR="00A17E03" w:rsidRPr="00653421" w:rsidTr="002A6416">
        <w:tc>
          <w:tcPr>
            <w:tcW w:w="2160" w:type="dxa"/>
          </w:tcPr>
          <w:p w:rsidR="00A17E03" w:rsidRPr="00653421" w:rsidRDefault="00A17E03" w:rsidP="0061397B">
            <w:pPr>
              <w:jc w:val="center"/>
              <w:rPr>
                <w:rFonts w:cs="Tahoma"/>
                <w:szCs w:val="18"/>
              </w:rPr>
            </w:pPr>
            <w:r w:rsidRPr="00653421">
              <w:rPr>
                <w:rFonts w:cs="Tahoma"/>
                <w:szCs w:val="18"/>
              </w:rPr>
              <w:t>$375</w:t>
            </w:r>
            <w:r w:rsidR="0061397B" w:rsidRPr="00653421">
              <w:rPr>
                <w:rFonts w:cs="Tahoma"/>
                <w:szCs w:val="18"/>
              </w:rPr>
              <w:t>.</w:t>
            </w:r>
            <w:r w:rsidRPr="00653421">
              <w:rPr>
                <w:rFonts w:cs="Tahoma"/>
                <w:szCs w:val="18"/>
              </w:rPr>
              <w:t>000 - $499</w:t>
            </w:r>
            <w:r w:rsidR="0061397B" w:rsidRPr="00653421">
              <w:rPr>
                <w:rFonts w:cs="Tahoma"/>
                <w:szCs w:val="18"/>
              </w:rPr>
              <w:t>.</w:t>
            </w:r>
            <w:r w:rsidRPr="00653421">
              <w:rPr>
                <w:rFonts w:cs="Tahoma"/>
                <w:szCs w:val="18"/>
              </w:rPr>
              <w:t>999</w:t>
            </w:r>
          </w:p>
        </w:tc>
        <w:tc>
          <w:tcPr>
            <w:tcW w:w="2520" w:type="dxa"/>
          </w:tcPr>
          <w:p w:rsidR="00A17E03" w:rsidRPr="00653421" w:rsidRDefault="00A17E03" w:rsidP="00A17E03">
            <w:pPr>
              <w:jc w:val="center"/>
              <w:rPr>
                <w:rFonts w:cs="Tahoma"/>
                <w:szCs w:val="18"/>
              </w:rPr>
            </w:pPr>
            <w:r w:rsidRPr="00653421">
              <w:rPr>
                <w:rFonts w:cs="Tahoma"/>
                <w:szCs w:val="18"/>
              </w:rPr>
              <w:t>5</w:t>
            </w:r>
          </w:p>
        </w:tc>
      </w:tr>
      <w:tr w:rsidR="00A17E03" w:rsidRPr="00653421" w:rsidTr="002A6416">
        <w:tc>
          <w:tcPr>
            <w:tcW w:w="2160" w:type="dxa"/>
          </w:tcPr>
          <w:p w:rsidR="00A17E03" w:rsidRPr="00653421" w:rsidRDefault="00A17E03" w:rsidP="0061397B">
            <w:pPr>
              <w:jc w:val="center"/>
              <w:rPr>
                <w:rFonts w:cs="Tahoma"/>
                <w:szCs w:val="18"/>
              </w:rPr>
            </w:pPr>
            <w:r w:rsidRPr="00653421">
              <w:rPr>
                <w:rFonts w:cs="Tahoma"/>
                <w:szCs w:val="18"/>
              </w:rPr>
              <w:t>$500</w:t>
            </w:r>
            <w:r w:rsidR="0061397B" w:rsidRPr="00653421">
              <w:rPr>
                <w:rFonts w:cs="Tahoma"/>
                <w:szCs w:val="18"/>
              </w:rPr>
              <w:t>.</w:t>
            </w:r>
            <w:r w:rsidRPr="00653421">
              <w:rPr>
                <w:rFonts w:cs="Tahoma"/>
                <w:szCs w:val="18"/>
              </w:rPr>
              <w:t>000 - $624</w:t>
            </w:r>
            <w:r w:rsidR="0061397B" w:rsidRPr="00653421">
              <w:rPr>
                <w:rFonts w:cs="Tahoma"/>
                <w:szCs w:val="18"/>
              </w:rPr>
              <w:t>.</w:t>
            </w:r>
            <w:r w:rsidRPr="00653421">
              <w:rPr>
                <w:rFonts w:cs="Tahoma"/>
                <w:szCs w:val="18"/>
              </w:rPr>
              <w:t>999</w:t>
            </w:r>
          </w:p>
        </w:tc>
        <w:tc>
          <w:tcPr>
            <w:tcW w:w="2520" w:type="dxa"/>
          </w:tcPr>
          <w:p w:rsidR="00A17E03" w:rsidRPr="00653421" w:rsidRDefault="00A17E03" w:rsidP="00A17E03">
            <w:pPr>
              <w:jc w:val="center"/>
              <w:rPr>
                <w:rFonts w:cs="Tahoma"/>
                <w:szCs w:val="18"/>
              </w:rPr>
            </w:pPr>
            <w:r w:rsidRPr="00653421">
              <w:rPr>
                <w:rFonts w:cs="Tahoma"/>
                <w:szCs w:val="18"/>
              </w:rPr>
              <w:t>6</w:t>
            </w:r>
          </w:p>
        </w:tc>
      </w:tr>
      <w:tr w:rsidR="00A17E03" w:rsidRPr="00653421" w:rsidTr="002A6416">
        <w:tc>
          <w:tcPr>
            <w:tcW w:w="2160" w:type="dxa"/>
          </w:tcPr>
          <w:p w:rsidR="00A17E03" w:rsidRPr="00653421" w:rsidRDefault="00A17E03" w:rsidP="0061397B">
            <w:pPr>
              <w:jc w:val="center"/>
              <w:rPr>
                <w:rFonts w:cs="Tahoma"/>
                <w:szCs w:val="18"/>
              </w:rPr>
            </w:pPr>
            <w:r w:rsidRPr="00653421">
              <w:rPr>
                <w:rFonts w:cs="Tahoma"/>
                <w:szCs w:val="18"/>
              </w:rPr>
              <w:t>$625</w:t>
            </w:r>
            <w:r w:rsidR="0061397B" w:rsidRPr="00653421">
              <w:rPr>
                <w:rFonts w:cs="Tahoma"/>
                <w:szCs w:val="18"/>
              </w:rPr>
              <w:t>.</w:t>
            </w:r>
            <w:r w:rsidRPr="00653421">
              <w:rPr>
                <w:rFonts w:cs="Tahoma"/>
                <w:szCs w:val="18"/>
              </w:rPr>
              <w:t>000 - $749</w:t>
            </w:r>
            <w:r w:rsidR="0061397B" w:rsidRPr="00653421">
              <w:rPr>
                <w:rFonts w:cs="Tahoma"/>
                <w:szCs w:val="18"/>
              </w:rPr>
              <w:t>.</w:t>
            </w:r>
            <w:r w:rsidRPr="00653421">
              <w:rPr>
                <w:rFonts w:cs="Tahoma"/>
                <w:szCs w:val="18"/>
              </w:rPr>
              <w:t>999</w:t>
            </w:r>
          </w:p>
        </w:tc>
        <w:tc>
          <w:tcPr>
            <w:tcW w:w="2520" w:type="dxa"/>
          </w:tcPr>
          <w:p w:rsidR="00A17E03" w:rsidRPr="00653421" w:rsidRDefault="00A17E03" w:rsidP="00A17E03">
            <w:pPr>
              <w:jc w:val="center"/>
              <w:rPr>
                <w:rFonts w:cs="Tahoma"/>
                <w:szCs w:val="18"/>
              </w:rPr>
            </w:pPr>
            <w:r w:rsidRPr="00653421">
              <w:rPr>
                <w:rFonts w:cs="Tahoma"/>
                <w:szCs w:val="18"/>
              </w:rPr>
              <w:t>7</w:t>
            </w:r>
          </w:p>
        </w:tc>
      </w:tr>
      <w:tr w:rsidR="00A17E03" w:rsidRPr="00653421" w:rsidTr="002A6416">
        <w:tc>
          <w:tcPr>
            <w:tcW w:w="2160" w:type="dxa"/>
          </w:tcPr>
          <w:p w:rsidR="00A17E03" w:rsidRPr="00653421" w:rsidRDefault="00A17E03" w:rsidP="0061397B">
            <w:pPr>
              <w:jc w:val="center"/>
              <w:rPr>
                <w:rFonts w:cs="Tahoma"/>
                <w:szCs w:val="18"/>
              </w:rPr>
            </w:pPr>
            <w:r w:rsidRPr="00653421">
              <w:rPr>
                <w:rFonts w:cs="Tahoma"/>
                <w:szCs w:val="18"/>
              </w:rPr>
              <w:t>$750</w:t>
            </w:r>
            <w:r w:rsidR="0061397B" w:rsidRPr="00653421">
              <w:rPr>
                <w:rFonts w:cs="Tahoma"/>
                <w:szCs w:val="18"/>
              </w:rPr>
              <w:t>.</w:t>
            </w:r>
            <w:r w:rsidRPr="00653421">
              <w:rPr>
                <w:rFonts w:cs="Tahoma"/>
                <w:szCs w:val="18"/>
              </w:rPr>
              <w:t>000 - $874</w:t>
            </w:r>
            <w:r w:rsidR="0061397B" w:rsidRPr="00653421">
              <w:rPr>
                <w:rFonts w:cs="Tahoma"/>
                <w:szCs w:val="18"/>
              </w:rPr>
              <w:t>.</w:t>
            </w:r>
            <w:r w:rsidRPr="00653421">
              <w:rPr>
                <w:rFonts w:cs="Tahoma"/>
                <w:szCs w:val="18"/>
              </w:rPr>
              <w:t>999</w:t>
            </w:r>
          </w:p>
        </w:tc>
        <w:tc>
          <w:tcPr>
            <w:tcW w:w="2520" w:type="dxa"/>
          </w:tcPr>
          <w:p w:rsidR="00A17E03" w:rsidRPr="00653421" w:rsidRDefault="00A17E03" w:rsidP="00A17E03">
            <w:pPr>
              <w:jc w:val="center"/>
              <w:rPr>
                <w:rFonts w:cs="Tahoma"/>
                <w:szCs w:val="18"/>
              </w:rPr>
            </w:pPr>
            <w:r w:rsidRPr="00653421">
              <w:rPr>
                <w:rFonts w:cs="Tahoma"/>
                <w:szCs w:val="18"/>
              </w:rPr>
              <w:t>8</w:t>
            </w:r>
          </w:p>
        </w:tc>
      </w:tr>
    </w:tbl>
    <w:p w:rsidR="00A17E03" w:rsidRPr="00653421" w:rsidRDefault="00A17E03" w:rsidP="00EA7B73">
      <w:pPr>
        <w:spacing w:line="180" w:lineRule="exact"/>
        <w:jc w:val="both"/>
      </w:pPr>
    </w:p>
    <w:p w:rsidR="00A17E03" w:rsidRPr="00C50FD1" w:rsidRDefault="00A17E03" w:rsidP="00F42FB8">
      <w:pPr>
        <w:jc w:val="both"/>
        <w:rPr>
          <w:lang w:val="pt-BR"/>
        </w:rPr>
      </w:pPr>
      <w:r w:rsidRPr="00C50FD1">
        <w:rPr>
          <w:rFonts w:cs="Tahoma"/>
          <w:szCs w:val="18"/>
          <w:lang w:val="pt-BR"/>
        </w:rPr>
        <w:lastRenderedPageBreak/>
        <w:t xml:space="preserve">As solicitações de suporte devem ser iniciadas via telefone ou Web por um contato designado do cliente e seguir o 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rsidR="00023FE7" w:rsidRPr="00C50FD1" w:rsidRDefault="00023FE7" w:rsidP="00EA7B73">
      <w:pPr>
        <w:pStyle w:val="Heading3"/>
        <w:spacing w:line="180" w:lineRule="exact"/>
        <w:jc w:val="both"/>
        <w:rPr>
          <w:lang w:val="pt-BR"/>
        </w:rPr>
      </w:pPr>
    </w:p>
    <w:p w:rsidR="00620185" w:rsidRPr="00C50FD1" w:rsidRDefault="00620185" w:rsidP="00F42FB8">
      <w:pPr>
        <w:pStyle w:val="Heading3"/>
        <w:rPr>
          <w:lang w:val="pt-BR"/>
        </w:rPr>
      </w:pPr>
      <w:bookmarkStart w:id="800" w:name="_Toc336338238"/>
      <w:bookmarkStart w:id="801" w:name="_Toc353470886"/>
      <w:r w:rsidRPr="00C50FD1">
        <w:rPr>
          <w:rFonts w:ascii="Tahoma" w:hAnsi="Tahoma" w:cs="Tahoma"/>
          <w:color w:val="000000"/>
          <w:sz w:val="24"/>
          <w:szCs w:val="18"/>
          <w:lang w:val="pt-BR"/>
        </w:rPr>
        <w:t>System Center Advisor</w:t>
      </w:r>
      <w:bookmarkEnd w:id="800"/>
      <w:bookmarkEnd w:id="801"/>
    </w:p>
    <w:p w:rsidR="00620185" w:rsidRPr="00C50FD1" w:rsidRDefault="00620185" w:rsidP="00EA7B73">
      <w:pPr>
        <w:spacing w:line="180" w:lineRule="exact"/>
        <w:jc w:val="both"/>
        <w:rPr>
          <w:lang w:val="pt-BR"/>
        </w:rPr>
      </w:pPr>
    </w:p>
    <w:p w:rsidR="001C1727" w:rsidRPr="00C50FD1" w:rsidRDefault="00F56FC9">
      <w:pPr>
        <w:rPr>
          <w:lang w:val="pt-BR"/>
        </w:rPr>
      </w:pPr>
      <w:r w:rsidRPr="00C50FD1">
        <w:rPr>
          <w:rFonts w:cs="Tahoma"/>
          <w:szCs w:val="18"/>
          <w:lang w:val="pt-BR"/>
        </w:rPr>
        <w:t>Os clientes com cobertura de Software Assurance ativa para licenças de software para as edições do Windows Server, SQL Server, Exchange Server e SharePoint Server identificadas na tabela a seguir estão qualificados para</w:t>
      </w:r>
      <w:r w:rsidR="00532DEC" w:rsidRPr="00C50FD1">
        <w:rPr>
          <w:rFonts w:cs="Tahoma"/>
          <w:szCs w:val="18"/>
          <w:lang w:val="pt-BR"/>
        </w:rPr>
        <w:t> </w:t>
      </w:r>
      <w:r w:rsidRPr="00C50FD1">
        <w:rPr>
          <w:rFonts w:cs="Tahoma"/>
          <w:szCs w:val="18"/>
          <w:lang w:val="pt-BR"/>
        </w:rPr>
        <w:t xml:space="preserve">usar o System Center Advisor conforme definido nos Direitos de Uso do Produto. </w:t>
      </w:r>
    </w:p>
    <w:p w:rsidR="00EA20DF" w:rsidRPr="00653421" w:rsidRDefault="00EA20DF" w:rsidP="00EA20DF">
      <w:pPr>
        <w:outlineLvl w:val="2"/>
        <w:rPr>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EA20DF" w:rsidRPr="00653421" w:rsidTr="006A3FBD">
        <w:tc>
          <w:tcPr>
            <w:tcW w:w="3760" w:type="dxa"/>
            <w:gridSpan w:val="2"/>
            <w:shd w:val="clear" w:color="auto" w:fill="FABF8F"/>
          </w:tcPr>
          <w:p w:rsidR="00EA20DF" w:rsidRPr="00653421" w:rsidRDefault="00EA20DF" w:rsidP="006A3FBD">
            <w:pPr>
              <w:spacing w:before="120" w:after="120" w:line="276" w:lineRule="auto"/>
              <w:jc w:val="center"/>
              <w:rPr>
                <w:rFonts w:cs="Tahoma"/>
                <w:b/>
                <w:bCs/>
                <w:color w:val="000000"/>
                <w:szCs w:val="18"/>
                <w:lang w:eastAsia="ja-JP"/>
              </w:rPr>
            </w:pPr>
            <w:r w:rsidRPr="00653421">
              <w:rPr>
                <w:rFonts w:cs="Tahoma"/>
                <w:b/>
                <w:bCs/>
                <w:color w:val="000000"/>
                <w:szCs w:val="18"/>
              </w:rPr>
              <w:t>Software* para Servidores Qualificado</w:t>
            </w:r>
          </w:p>
        </w:tc>
        <w:tc>
          <w:tcPr>
            <w:tcW w:w="1774" w:type="dxa"/>
            <w:shd w:val="clear" w:color="auto" w:fill="FABF8F"/>
          </w:tcPr>
          <w:p w:rsidR="00EA20DF" w:rsidRPr="00653421" w:rsidRDefault="00EA20DF" w:rsidP="006A3FBD">
            <w:pPr>
              <w:spacing w:after="200" w:line="276" w:lineRule="auto"/>
              <w:jc w:val="center"/>
              <w:rPr>
                <w:rFonts w:cs="Tahoma"/>
                <w:b/>
                <w:bCs/>
                <w:color w:val="000000"/>
                <w:szCs w:val="18"/>
                <w:lang w:eastAsia="ja-JP"/>
              </w:rPr>
            </w:pPr>
          </w:p>
        </w:tc>
        <w:tc>
          <w:tcPr>
            <w:tcW w:w="1913" w:type="dxa"/>
            <w:gridSpan w:val="2"/>
            <w:shd w:val="clear" w:color="auto" w:fill="FABF8F"/>
          </w:tcPr>
          <w:p w:rsidR="00EA20DF" w:rsidRPr="00653421" w:rsidRDefault="00EA20DF" w:rsidP="006A3FBD">
            <w:pPr>
              <w:spacing w:after="200" w:line="276" w:lineRule="auto"/>
              <w:jc w:val="center"/>
              <w:rPr>
                <w:rFonts w:cs="Tahoma"/>
                <w:b/>
                <w:bCs/>
                <w:color w:val="000000"/>
                <w:szCs w:val="18"/>
                <w:lang w:eastAsia="ja-JP"/>
              </w:rPr>
            </w:pPr>
          </w:p>
        </w:tc>
        <w:tc>
          <w:tcPr>
            <w:tcW w:w="1391" w:type="dxa"/>
            <w:shd w:val="clear" w:color="auto" w:fill="FABF8F"/>
          </w:tcPr>
          <w:p w:rsidR="00EA20DF" w:rsidRPr="00653421" w:rsidRDefault="00EA20DF" w:rsidP="006A3FBD">
            <w:pPr>
              <w:spacing w:after="200" w:line="276" w:lineRule="auto"/>
              <w:jc w:val="center"/>
              <w:rPr>
                <w:rFonts w:cs="Tahoma"/>
                <w:b/>
                <w:bCs/>
                <w:color w:val="000000"/>
                <w:szCs w:val="18"/>
                <w:lang w:eastAsia="ja-JP"/>
              </w:rPr>
            </w:pPr>
          </w:p>
        </w:tc>
      </w:tr>
      <w:tr w:rsidR="00EA20DF" w:rsidRPr="00653421" w:rsidTr="006A3FBD">
        <w:tc>
          <w:tcPr>
            <w:tcW w:w="1912" w:type="dxa"/>
            <w:shd w:val="clear" w:color="auto" w:fill="FABF8F"/>
            <w:vAlign w:val="center"/>
          </w:tcPr>
          <w:p w:rsidR="00EA20DF" w:rsidRPr="00653421" w:rsidRDefault="00EA20DF" w:rsidP="006A3FBD">
            <w:pPr>
              <w:spacing w:before="120" w:after="120" w:line="276" w:lineRule="auto"/>
              <w:jc w:val="center"/>
              <w:rPr>
                <w:rFonts w:cs="Tahoma"/>
                <w:color w:val="000000"/>
                <w:szCs w:val="18"/>
                <w:lang w:eastAsia="ja-JP"/>
              </w:rPr>
            </w:pPr>
            <w:r w:rsidRPr="00653421">
              <w:rPr>
                <w:rFonts w:cs="Tahoma"/>
                <w:b/>
                <w:bCs/>
                <w:color w:val="000000"/>
                <w:szCs w:val="18"/>
              </w:rPr>
              <w:t>Windows Server</w:t>
            </w:r>
          </w:p>
        </w:tc>
        <w:tc>
          <w:tcPr>
            <w:tcW w:w="1848" w:type="dxa"/>
            <w:shd w:val="clear" w:color="auto" w:fill="FABF8F"/>
            <w:vAlign w:val="center"/>
          </w:tcPr>
          <w:p w:rsidR="00EA20DF" w:rsidRPr="00653421" w:rsidRDefault="00EA20DF" w:rsidP="006A3FBD">
            <w:pPr>
              <w:spacing w:before="120" w:after="120" w:line="276" w:lineRule="auto"/>
              <w:jc w:val="center"/>
              <w:rPr>
                <w:rFonts w:cs="Tahoma"/>
                <w:color w:val="000000"/>
                <w:szCs w:val="18"/>
                <w:lang w:eastAsia="ja-JP"/>
              </w:rPr>
            </w:pPr>
            <w:r w:rsidRPr="00653421">
              <w:rPr>
                <w:rFonts w:cs="Tahoma"/>
                <w:b/>
                <w:bCs/>
                <w:color w:val="000000"/>
                <w:szCs w:val="18"/>
              </w:rPr>
              <w:t>SQL Server</w:t>
            </w:r>
          </w:p>
        </w:tc>
        <w:tc>
          <w:tcPr>
            <w:tcW w:w="1774" w:type="dxa"/>
            <w:shd w:val="clear" w:color="auto" w:fill="FABF8F"/>
            <w:vAlign w:val="center"/>
          </w:tcPr>
          <w:p w:rsidR="00EA20DF" w:rsidRPr="00653421" w:rsidRDefault="00EA20DF" w:rsidP="006A3FBD">
            <w:pPr>
              <w:spacing w:before="120" w:after="120" w:line="276" w:lineRule="auto"/>
              <w:jc w:val="center"/>
              <w:rPr>
                <w:rFonts w:cs="Tahoma"/>
                <w:b/>
                <w:bCs/>
                <w:color w:val="000000"/>
                <w:szCs w:val="18"/>
                <w:lang w:eastAsia="ja-JP"/>
              </w:rPr>
            </w:pPr>
            <w:r w:rsidRPr="00653421">
              <w:rPr>
                <w:rFonts w:cs="Tahoma"/>
                <w:b/>
                <w:bCs/>
                <w:color w:val="000000"/>
                <w:szCs w:val="18"/>
              </w:rPr>
              <w:t>Exchange Server</w:t>
            </w:r>
          </w:p>
        </w:tc>
        <w:tc>
          <w:tcPr>
            <w:tcW w:w="1913" w:type="dxa"/>
            <w:gridSpan w:val="2"/>
            <w:shd w:val="clear" w:color="auto" w:fill="FABF8F"/>
            <w:vAlign w:val="center"/>
          </w:tcPr>
          <w:p w:rsidR="00EA20DF" w:rsidRPr="00653421" w:rsidRDefault="00EA20DF" w:rsidP="006A3FBD">
            <w:pPr>
              <w:spacing w:before="120" w:after="120" w:line="276" w:lineRule="auto"/>
              <w:jc w:val="center"/>
              <w:rPr>
                <w:rFonts w:cs="Tahoma"/>
                <w:b/>
                <w:bCs/>
                <w:color w:val="000000"/>
                <w:szCs w:val="18"/>
                <w:lang w:eastAsia="ja-JP"/>
              </w:rPr>
            </w:pPr>
            <w:r w:rsidRPr="00653421">
              <w:rPr>
                <w:rFonts w:cs="Tahoma"/>
                <w:b/>
                <w:bCs/>
                <w:color w:val="000000"/>
                <w:szCs w:val="18"/>
              </w:rPr>
              <w:t>SharePoint Server</w:t>
            </w:r>
          </w:p>
        </w:tc>
        <w:tc>
          <w:tcPr>
            <w:tcW w:w="1391" w:type="dxa"/>
            <w:shd w:val="clear" w:color="auto" w:fill="FABF8F"/>
            <w:vAlign w:val="center"/>
          </w:tcPr>
          <w:p w:rsidR="00EA20DF" w:rsidRPr="00653421" w:rsidRDefault="00EA20DF" w:rsidP="006A3FBD">
            <w:pPr>
              <w:spacing w:before="120" w:after="120" w:line="276" w:lineRule="auto"/>
              <w:jc w:val="center"/>
              <w:rPr>
                <w:rFonts w:cs="Tahoma"/>
                <w:b/>
                <w:bCs/>
                <w:color w:val="000000"/>
                <w:szCs w:val="18"/>
                <w:lang w:eastAsia="ja-JP"/>
              </w:rPr>
            </w:pPr>
            <w:r w:rsidRPr="00653421">
              <w:rPr>
                <w:rFonts w:cs="Tahoma"/>
                <w:b/>
                <w:bCs/>
                <w:color w:val="000000"/>
                <w:szCs w:val="18"/>
              </w:rPr>
              <w:t>Lync Server</w:t>
            </w:r>
          </w:p>
        </w:tc>
      </w:tr>
      <w:tr w:rsidR="00EA20DF" w:rsidRPr="00653421" w:rsidTr="006A3FBD">
        <w:tc>
          <w:tcPr>
            <w:tcW w:w="1912" w:type="dxa"/>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Windows Server Datacenter</w:t>
            </w:r>
          </w:p>
        </w:tc>
        <w:tc>
          <w:tcPr>
            <w:tcW w:w="1848" w:type="dxa"/>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 xml:space="preserve">SQL Server Parallel Data Warehouse </w:t>
            </w:r>
          </w:p>
        </w:tc>
        <w:tc>
          <w:tcPr>
            <w:tcW w:w="1774" w:type="dxa"/>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Exchange Small Business Server</w:t>
            </w:r>
          </w:p>
        </w:tc>
        <w:tc>
          <w:tcPr>
            <w:tcW w:w="1913" w:type="dxa"/>
            <w:gridSpan w:val="2"/>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SharePoint Server Enterprise para Sites da Internet</w:t>
            </w:r>
          </w:p>
        </w:tc>
        <w:tc>
          <w:tcPr>
            <w:tcW w:w="1391" w:type="dxa"/>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Lync Server 2010 Enterprise Edition</w:t>
            </w:r>
          </w:p>
        </w:tc>
      </w:tr>
      <w:tr w:rsidR="00EA20DF" w:rsidRPr="00653421" w:rsidTr="006A3FBD">
        <w:tc>
          <w:tcPr>
            <w:tcW w:w="1912" w:type="dxa"/>
          </w:tcPr>
          <w:p w:rsidR="00EA20DF" w:rsidRPr="00653421" w:rsidRDefault="00EA20DF" w:rsidP="006A3FBD">
            <w:pPr>
              <w:spacing w:after="200" w:line="276" w:lineRule="auto"/>
              <w:jc w:val="center"/>
              <w:rPr>
                <w:rFonts w:cs="Tahoma"/>
                <w:szCs w:val="18"/>
              </w:rPr>
            </w:pPr>
            <w:r w:rsidRPr="00653421">
              <w:rPr>
                <w:rFonts w:cs="Tahoma"/>
                <w:color w:val="000000"/>
                <w:szCs w:val="18"/>
              </w:rPr>
              <w:t>Windows Server Enterprise</w:t>
            </w:r>
          </w:p>
        </w:tc>
        <w:tc>
          <w:tcPr>
            <w:tcW w:w="1848" w:type="dxa"/>
          </w:tcPr>
          <w:p w:rsidR="00EA20DF" w:rsidRPr="00653421" w:rsidRDefault="00EA20DF" w:rsidP="006A3FBD">
            <w:pPr>
              <w:spacing w:after="200" w:line="276" w:lineRule="auto"/>
              <w:jc w:val="center"/>
              <w:rPr>
                <w:rFonts w:cs="Tahoma"/>
                <w:szCs w:val="18"/>
                <w:lang w:eastAsia="ja-JP"/>
              </w:rPr>
            </w:pPr>
            <w:r w:rsidRPr="00653421">
              <w:rPr>
                <w:rFonts w:cs="Tahoma"/>
                <w:color w:val="000000"/>
                <w:szCs w:val="18"/>
              </w:rPr>
              <w:t>SQL Server Datacenter</w:t>
            </w:r>
          </w:p>
        </w:tc>
        <w:tc>
          <w:tcPr>
            <w:tcW w:w="1774" w:type="dxa"/>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Exchange Server Enterprise</w:t>
            </w:r>
          </w:p>
        </w:tc>
        <w:tc>
          <w:tcPr>
            <w:tcW w:w="1913" w:type="dxa"/>
            <w:gridSpan w:val="2"/>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SharePoint Server Standard para Sites de Internet</w:t>
            </w:r>
          </w:p>
        </w:tc>
        <w:tc>
          <w:tcPr>
            <w:tcW w:w="1391" w:type="dxa"/>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Lync Server 2010 Standard Edition</w:t>
            </w:r>
          </w:p>
        </w:tc>
      </w:tr>
      <w:tr w:rsidR="00EA20DF" w:rsidRPr="00653421" w:rsidTr="006A3FBD">
        <w:tc>
          <w:tcPr>
            <w:tcW w:w="1912" w:type="dxa"/>
          </w:tcPr>
          <w:p w:rsidR="00EA20DF" w:rsidRPr="00653421" w:rsidRDefault="00EA20DF" w:rsidP="006A3FBD">
            <w:pPr>
              <w:spacing w:after="200" w:line="276" w:lineRule="auto"/>
              <w:jc w:val="center"/>
              <w:rPr>
                <w:rFonts w:cs="Tahoma"/>
                <w:szCs w:val="18"/>
                <w:lang w:eastAsia="ja-JP"/>
              </w:rPr>
            </w:pPr>
            <w:r w:rsidRPr="00653421">
              <w:rPr>
                <w:rFonts w:cs="Tahoma"/>
                <w:color w:val="000000"/>
                <w:szCs w:val="18"/>
              </w:rPr>
              <w:t>Windows Server Standard</w:t>
            </w:r>
          </w:p>
        </w:tc>
        <w:tc>
          <w:tcPr>
            <w:tcW w:w="1848" w:type="dxa"/>
          </w:tcPr>
          <w:p w:rsidR="00EA20DF" w:rsidRPr="00653421" w:rsidRDefault="00EA20DF" w:rsidP="006A3FBD">
            <w:pPr>
              <w:spacing w:after="200" w:line="276" w:lineRule="auto"/>
              <w:jc w:val="center"/>
              <w:rPr>
                <w:rFonts w:cs="Tahoma"/>
                <w:szCs w:val="18"/>
                <w:lang w:eastAsia="ja-JP"/>
              </w:rPr>
            </w:pPr>
            <w:r w:rsidRPr="00653421">
              <w:rPr>
                <w:rFonts w:cs="Tahoma"/>
                <w:szCs w:val="18"/>
              </w:rPr>
              <w:t>SQL Server Enterprise</w:t>
            </w:r>
          </w:p>
        </w:tc>
        <w:tc>
          <w:tcPr>
            <w:tcW w:w="1774" w:type="dxa"/>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Exchange Server Standard</w:t>
            </w:r>
          </w:p>
        </w:tc>
        <w:tc>
          <w:tcPr>
            <w:tcW w:w="1913" w:type="dxa"/>
            <w:gridSpan w:val="2"/>
          </w:tcPr>
          <w:p w:rsidR="00EA20DF" w:rsidRPr="00653421" w:rsidRDefault="00EA20DF" w:rsidP="006A3FBD">
            <w:pPr>
              <w:spacing w:after="200" w:line="276" w:lineRule="auto"/>
              <w:jc w:val="center"/>
              <w:rPr>
                <w:rFonts w:cs="Tahoma"/>
                <w:color w:val="000000"/>
                <w:szCs w:val="18"/>
                <w:lang w:eastAsia="ja-JP"/>
              </w:rPr>
            </w:pPr>
            <w:r w:rsidRPr="00653421">
              <w:rPr>
                <w:rFonts w:cs="Tahoma"/>
                <w:color w:val="000000"/>
                <w:szCs w:val="18"/>
              </w:rPr>
              <w:t>SharePoint Server</w:t>
            </w:r>
          </w:p>
        </w:tc>
        <w:tc>
          <w:tcPr>
            <w:tcW w:w="1391" w:type="dxa"/>
          </w:tcPr>
          <w:p w:rsidR="00EA20DF" w:rsidRPr="00653421" w:rsidRDefault="00EA20DF" w:rsidP="006A3FBD">
            <w:pPr>
              <w:spacing w:after="200" w:line="276" w:lineRule="auto"/>
              <w:jc w:val="center"/>
              <w:rPr>
                <w:rFonts w:cs="Tahoma"/>
                <w:color w:val="000000"/>
                <w:szCs w:val="18"/>
                <w:lang w:eastAsia="ja-JP"/>
              </w:rPr>
            </w:pPr>
          </w:p>
        </w:tc>
      </w:tr>
      <w:tr w:rsidR="00EA20DF" w:rsidRPr="00653421" w:rsidTr="006A3FBD">
        <w:tc>
          <w:tcPr>
            <w:tcW w:w="1912" w:type="dxa"/>
          </w:tcPr>
          <w:p w:rsidR="00EA20DF" w:rsidRPr="00653421" w:rsidRDefault="00EA20DF" w:rsidP="006A3FBD">
            <w:pPr>
              <w:spacing w:after="200" w:line="276" w:lineRule="auto"/>
              <w:jc w:val="center"/>
              <w:rPr>
                <w:rFonts w:cs="Tahoma"/>
                <w:szCs w:val="18"/>
                <w:lang w:eastAsia="ja-JP"/>
              </w:rPr>
            </w:pPr>
            <w:r w:rsidRPr="00653421">
              <w:rPr>
                <w:rFonts w:cs="Tahoma"/>
                <w:szCs w:val="18"/>
              </w:rPr>
              <w:t>Complemento do Windows Small Business Server Premium</w:t>
            </w:r>
          </w:p>
        </w:tc>
        <w:tc>
          <w:tcPr>
            <w:tcW w:w="1848" w:type="dxa"/>
          </w:tcPr>
          <w:p w:rsidR="00EA20DF" w:rsidRPr="00653421" w:rsidRDefault="00EA20DF" w:rsidP="006A3FBD">
            <w:pPr>
              <w:spacing w:after="200" w:line="276" w:lineRule="auto"/>
              <w:jc w:val="center"/>
              <w:rPr>
                <w:rFonts w:cs="Tahoma"/>
                <w:szCs w:val="18"/>
                <w:lang w:eastAsia="ja-JP"/>
              </w:rPr>
            </w:pPr>
            <w:r w:rsidRPr="00653421">
              <w:rPr>
                <w:rFonts w:cs="Tahoma"/>
                <w:szCs w:val="18"/>
              </w:rPr>
              <w:t>SQL Server Standard</w:t>
            </w:r>
          </w:p>
        </w:tc>
        <w:tc>
          <w:tcPr>
            <w:tcW w:w="1774" w:type="dxa"/>
          </w:tcPr>
          <w:p w:rsidR="00EA20DF" w:rsidRPr="00653421" w:rsidRDefault="00EA20DF" w:rsidP="006A3FBD">
            <w:pPr>
              <w:spacing w:after="200" w:line="276" w:lineRule="auto"/>
              <w:jc w:val="center"/>
              <w:rPr>
                <w:rFonts w:cs="Tahoma"/>
                <w:szCs w:val="18"/>
                <w:lang w:eastAsia="ja-JP"/>
              </w:rPr>
            </w:pPr>
          </w:p>
        </w:tc>
        <w:tc>
          <w:tcPr>
            <w:tcW w:w="1913" w:type="dxa"/>
            <w:gridSpan w:val="2"/>
          </w:tcPr>
          <w:p w:rsidR="00EA20DF" w:rsidRPr="00653421" w:rsidRDefault="00EA20DF" w:rsidP="006A3FBD">
            <w:pPr>
              <w:spacing w:after="200" w:line="276" w:lineRule="auto"/>
              <w:jc w:val="center"/>
              <w:rPr>
                <w:rFonts w:cs="Tahoma"/>
                <w:szCs w:val="18"/>
                <w:lang w:eastAsia="ja-JP"/>
              </w:rPr>
            </w:pPr>
          </w:p>
        </w:tc>
        <w:tc>
          <w:tcPr>
            <w:tcW w:w="1391" w:type="dxa"/>
          </w:tcPr>
          <w:p w:rsidR="00EA20DF" w:rsidRPr="00653421" w:rsidRDefault="00EA20DF" w:rsidP="006A3FBD">
            <w:pPr>
              <w:spacing w:after="200" w:line="276" w:lineRule="auto"/>
              <w:jc w:val="center"/>
              <w:rPr>
                <w:rFonts w:cs="Tahoma"/>
                <w:szCs w:val="18"/>
                <w:lang w:eastAsia="ja-JP"/>
              </w:rPr>
            </w:pPr>
          </w:p>
        </w:tc>
      </w:tr>
      <w:tr w:rsidR="00EA20DF" w:rsidRPr="00653421" w:rsidTr="006A3FBD">
        <w:tc>
          <w:tcPr>
            <w:tcW w:w="1912" w:type="dxa"/>
          </w:tcPr>
          <w:p w:rsidR="00EA20DF" w:rsidRPr="00653421" w:rsidRDefault="00EA20DF" w:rsidP="006A3FBD">
            <w:pPr>
              <w:spacing w:after="200" w:line="276" w:lineRule="auto"/>
              <w:jc w:val="center"/>
              <w:rPr>
                <w:rFonts w:cs="Tahoma"/>
                <w:szCs w:val="18"/>
                <w:lang w:eastAsia="ja-JP"/>
              </w:rPr>
            </w:pPr>
            <w:r w:rsidRPr="00653421">
              <w:rPr>
                <w:rFonts w:cs="Tahoma"/>
                <w:szCs w:val="18"/>
              </w:rPr>
              <w:t>Windows Small Business Server Standard</w:t>
            </w:r>
          </w:p>
        </w:tc>
        <w:tc>
          <w:tcPr>
            <w:tcW w:w="1848" w:type="dxa"/>
          </w:tcPr>
          <w:p w:rsidR="00EA20DF" w:rsidRPr="00653421" w:rsidRDefault="00EA20DF" w:rsidP="006A3FBD">
            <w:pPr>
              <w:spacing w:after="200" w:line="276" w:lineRule="auto"/>
              <w:jc w:val="center"/>
              <w:rPr>
                <w:rFonts w:cs="Tahoma"/>
                <w:szCs w:val="18"/>
                <w:lang w:eastAsia="ja-JP"/>
              </w:rPr>
            </w:pPr>
            <w:r w:rsidRPr="00653421">
              <w:rPr>
                <w:rFonts w:cs="Tahoma"/>
                <w:szCs w:val="18"/>
              </w:rPr>
              <w:t>SQL Server Workgroup</w:t>
            </w:r>
          </w:p>
        </w:tc>
        <w:tc>
          <w:tcPr>
            <w:tcW w:w="1774" w:type="dxa"/>
          </w:tcPr>
          <w:p w:rsidR="00EA20DF" w:rsidRPr="00653421" w:rsidRDefault="00EA20DF" w:rsidP="006A3FBD">
            <w:pPr>
              <w:spacing w:after="200" w:line="276" w:lineRule="auto"/>
              <w:jc w:val="center"/>
              <w:rPr>
                <w:rFonts w:cs="Tahoma"/>
                <w:szCs w:val="18"/>
                <w:lang w:eastAsia="ja-JP"/>
              </w:rPr>
            </w:pPr>
          </w:p>
        </w:tc>
        <w:tc>
          <w:tcPr>
            <w:tcW w:w="1913" w:type="dxa"/>
            <w:gridSpan w:val="2"/>
          </w:tcPr>
          <w:p w:rsidR="00EA20DF" w:rsidRPr="00653421" w:rsidRDefault="00EA20DF" w:rsidP="006A3FBD">
            <w:pPr>
              <w:spacing w:after="200" w:line="276" w:lineRule="auto"/>
              <w:jc w:val="center"/>
              <w:rPr>
                <w:rFonts w:cs="Tahoma"/>
                <w:szCs w:val="18"/>
                <w:lang w:eastAsia="ja-JP"/>
              </w:rPr>
            </w:pPr>
          </w:p>
        </w:tc>
        <w:tc>
          <w:tcPr>
            <w:tcW w:w="1391" w:type="dxa"/>
          </w:tcPr>
          <w:p w:rsidR="00EA20DF" w:rsidRPr="00653421" w:rsidRDefault="00EA20DF" w:rsidP="006A3FBD">
            <w:pPr>
              <w:spacing w:after="200" w:line="276" w:lineRule="auto"/>
              <w:jc w:val="center"/>
              <w:rPr>
                <w:rFonts w:cs="Tahoma"/>
                <w:szCs w:val="18"/>
                <w:lang w:eastAsia="ja-JP"/>
              </w:rPr>
            </w:pPr>
          </w:p>
        </w:tc>
      </w:tr>
      <w:tr w:rsidR="00EA20DF" w:rsidRPr="00653421" w:rsidTr="006A3FBD">
        <w:tc>
          <w:tcPr>
            <w:tcW w:w="1912" w:type="dxa"/>
          </w:tcPr>
          <w:p w:rsidR="00EA20DF" w:rsidRPr="00653421" w:rsidRDefault="00EA20DF" w:rsidP="006A3FBD">
            <w:pPr>
              <w:spacing w:after="200" w:line="276" w:lineRule="auto"/>
              <w:jc w:val="center"/>
              <w:rPr>
                <w:rFonts w:cs="Tahoma"/>
                <w:szCs w:val="18"/>
                <w:lang w:eastAsia="ja-JP"/>
              </w:rPr>
            </w:pPr>
            <w:r w:rsidRPr="00653421">
              <w:rPr>
                <w:rFonts w:cs="Tahoma"/>
                <w:szCs w:val="18"/>
              </w:rPr>
              <w:t>Windows Small Business Server Essentials</w:t>
            </w:r>
          </w:p>
        </w:tc>
        <w:tc>
          <w:tcPr>
            <w:tcW w:w="1848" w:type="dxa"/>
          </w:tcPr>
          <w:p w:rsidR="00EA20DF" w:rsidRPr="00653421" w:rsidRDefault="00EA20DF" w:rsidP="006A3FBD">
            <w:pPr>
              <w:spacing w:after="200" w:line="276" w:lineRule="auto"/>
              <w:jc w:val="center"/>
              <w:rPr>
                <w:rFonts w:cs="Tahoma"/>
                <w:szCs w:val="18"/>
                <w:lang w:eastAsia="ja-JP"/>
              </w:rPr>
            </w:pPr>
            <w:r w:rsidRPr="00653421">
              <w:rPr>
                <w:rFonts w:cs="Tahoma"/>
                <w:szCs w:val="18"/>
              </w:rPr>
              <w:t>SQL Server Small Business</w:t>
            </w:r>
          </w:p>
        </w:tc>
        <w:tc>
          <w:tcPr>
            <w:tcW w:w="1774" w:type="dxa"/>
          </w:tcPr>
          <w:p w:rsidR="00EA20DF" w:rsidRPr="00653421" w:rsidRDefault="00EA20DF" w:rsidP="006A3FBD">
            <w:pPr>
              <w:spacing w:after="200" w:line="276" w:lineRule="auto"/>
              <w:jc w:val="center"/>
              <w:rPr>
                <w:rFonts w:cs="Tahoma"/>
                <w:szCs w:val="18"/>
                <w:lang w:eastAsia="ja-JP"/>
              </w:rPr>
            </w:pPr>
          </w:p>
        </w:tc>
        <w:tc>
          <w:tcPr>
            <w:tcW w:w="1913" w:type="dxa"/>
            <w:gridSpan w:val="2"/>
          </w:tcPr>
          <w:p w:rsidR="00EA20DF" w:rsidRPr="00653421" w:rsidRDefault="00EA20DF" w:rsidP="006A3FBD">
            <w:pPr>
              <w:spacing w:after="200" w:line="276" w:lineRule="auto"/>
              <w:jc w:val="center"/>
              <w:rPr>
                <w:rFonts w:cs="Tahoma"/>
                <w:szCs w:val="18"/>
                <w:lang w:eastAsia="ja-JP"/>
              </w:rPr>
            </w:pPr>
          </w:p>
        </w:tc>
        <w:tc>
          <w:tcPr>
            <w:tcW w:w="1391" w:type="dxa"/>
          </w:tcPr>
          <w:p w:rsidR="00EA20DF" w:rsidRPr="00653421" w:rsidRDefault="00EA20DF" w:rsidP="006A3FBD">
            <w:pPr>
              <w:spacing w:after="200" w:line="276" w:lineRule="auto"/>
              <w:jc w:val="center"/>
              <w:rPr>
                <w:rFonts w:cs="Tahoma"/>
                <w:szCs w:val="18"/>
                <w:lang w:eastAsia="ja-JP"/>
              </w:rPr>
            </w:pPr>
          </w:p>
        </w:tc>
      </w:tr>
      <w:tr w:rsidR="00EA20DF" w:rsidRPr="00653421" w:rsidTr="006A3FBD">
        <w:tc>
          <w:tcPr>
            <w:tcW w:w="1912" w:type="dxa"/>
          </w:tcPr>
          <w:p w:rsidR="00EA20DF" w:rsidRPr="00653421" w:rsidRDefault="00EA20DF" w:rsidP="006A3FBD">
            <w:pPr>
              <w:spacing w:after="200" w:line="276" w:lineRule="auto"/>
              <w:jc w:val="center"/>
              <w:rPr>
                <w:rFonts w:cs="Tahoma"/>
                <w:szCs w:val="18"/>
                <w:lang w:eastAsia="ja-JP"/>
              </w:rPr>
            </w:pPr>
            <w:r w:rsidRPr="00653421">
              <w:rPr>
                <w:rFonts w:cs="Tahoma"/>
                <w:szCs w:val="18"/>
              </w:rPr>
              <w:t>Windows Web Server</w:t>
            </w:r>
          </w:p>
        </w:tc>
        <w:tc>
          <w:tcPr>
            <w:tcW w:w="1848" w:type="dxa"/>
          </w:tcPr>
          <w:p w:rsidR="00EA20DF" w:rsidRPr="00653421" w:rsidRDefault="00EA20DF" w:rsidP="006A3FBD">
            <w:pPr>
              <w:spacing w:after="200" w:line="276" w:lineRule="auto"/>
              <w:jc w:val="center"/>
              <w:rPr>
                <w:rFonts w:cs="Tahoma"/>
                <w:szCs w:val="18"/>
                <w:lang w:eastAsia="ja-JP"/>
              </w:rPr>
            </w:pPr>
            <w:r w:rsidRPr="00653421">
              <w:rPr>
                <w:rFonts w:cs="Tahoma"/>
                <w:szCs w:val="18"/>
              </w:rPr>
              <w:t>SQL Server Web</w:t>
            </w:r>
          </w:p>
        </w:tc>
        <w:tc>
          <w:tcPr>
            <w:tcW w:w="1774" w:type="dxa"/>
          </w:tcPr>
          <w:p w:rsidR="00EA20DF" w:rsidRPr="00653421" w:rsidRDefault="00EA20DF" w:rsidP="006A3FBD">
            <w:pPr>
              <w:spacing w:after="200" w:line="276" w:lineRule="auto"/>
              <w:jc w:val="center"/>
              <w:rPr>
                <w:rFonts w:cs="Tahoma"/>
                <w:szCs w:val="18"/>
                <w:lang w:eastAsia="ja-JP"/>
              </w:rPr>
            </w:pPr>
          </w:p>
        </w:tc>
        <w:tc>
          <w:tcPr>
            <w:tcW w:w="1913" w:type="dxa"/>
            <w:gridSpan w:val="2"/>
          </w:tcPr>
          <w:p w:rsidR="00EA20DF" w:rsidRPr="00653421" w:rsidRDefault="00EA20DF" w:rsidP="006A3FBD">
            <w:pPr>
              <w:spacing w:after="200" w:line="276" w:lineRule="auto"/>
              <w:jc w:val="center"/>
              <w:rPr>
                <w:rFonts w:cs="Tahoma"/>
                <w:szCs w:val="18"/>
                <w:lang w:eastAsia="ja-JP"/>
              </w:rPr>
            </w:pPr>
          </w:p>
        </w:tc>
        <w:tc>
          <w:tcPr>
            <w:tcW w:w="1391" w:type="dxa"/>
          </w:tcPr>
          <w:p w:rsidR="00EA20DF" w:rsidRPr="00653421" w:rsidRDefault="00EA20DF" w:rsidP="006A3FBD">
            <w:pPr>
              <w:spacing w:after="200" w:line="276" w:lineRule="auto"/>
              <w:jc w:val="center"/>
              <w:rPr>
                <w:rFonts w:cs="Tahoma"/>
                <w:szCs w:val="18"/>
                <w:lang w:eastAsia="ja-JP"/>
              </w:rPr>
            </w:pPr>
          </w:p>
        </w:tc>
      </w:tr>
      <w:tr w:rsidR="00EA20DF" w:rsidRPr="00653421" w:rsidTr="006A3FBD">
        <w:tc>
          <w:tcPr>
            <w:tcW w:w="1912" w:type="dxa"/>
          </w:tcPr>
          <w:p w:rsidR="00EA20DF" w:rsidRPr="00653421" w:rsidRDefault="00EA20DF" w:rsidP="006A3FBD">
            <w:pPr>
              <w:spacing w:after="200" w:line="276" w:lineRule="auto"/>
              <w:jc w:val="center"/>
              <w:rPr>
                <w:rFonts w:cs="Tahoma"/>
                <w:szCs w:val="18"/>
                <w:lang w:eastAsia="ja-JP"/>
              </w:rPr>
            </w:pPr>
            <w:r w:rsidRPr="00653421">
              <w:rPr>
                <w:rFonts w:cs="Tahoma"/>
                <w:szCs w:val="18"/>
              </w:rPr>
              <w:t>Windows HPC Server Suite</w:t>
            </w:r>
          </w:p>
        </w:tc>
        <w:tc>
          <w:tcPr>
            <w:tcW w:w="1848" w:type="dxa"/>
          </w:tcPr>
          <w:p w:rsidR="00EA20DF" w:rsidRPr="00653421" w:rsidRDefault="00EA20DF" w:rsidP="006A3FBD">
            <w:pPr>
              <w:spacing w:after="200" w:line="276" w:lineRule="auto"/>
              <w:jc w:val="center"/>
              <w:rPr>
                <w:rFonts w:cs="Tahoma"/>
                <w:szCs w:val="18"/>
                <w:lang w:eastAsia="ja-JP"/>
              </w:rPr>
            </w:pPr>
            <w:r w:rsidRPr="00653421">
              <w:rPr>
                <w:rFonts w:cs="Tahoma"/>
                <w:szCs w:val="18"/>
              </w:rPr>
              <w:t>SQL Server Developer</w:t>
            </w:r>
          </w:p>
        </w:tc>
        <w:tc>
          <w:tcPr>
            <w:tcW w:w="1774" w:type="dxa"/>
          </w:tcPr>
          <w:p w:rsidR="00EA20DF" w:rsidRPr="00653421" w:rsidRDefault="00EA20DF" w:rsidP="006A3FBD">
            <w:pPr>
              <w:spacing w:after="200" w:line="276" w:lineRule="auto"/>
              <w:jc w:val="center"/>
              <w:rPr>
                <w:rFonts w:cs="Tahoma"/>
                <w:szCs w:val="18"/>
                <w:lang w:eastAsia="ja-JP"/>
              </w:rPr>
            </w:pPr>
          </w:p>
        </w:tc>
        <w:tc>
          <w:tcPr>
            <w:tcW w:w="1913" w:type="dxa"/>
            <w:gridSpan w:val="2"/>
          </w:tcPr>
          <w:p w:rsidR="00EA20DF" w:rsidRPr="00653421" w:rsidRDefault="00EA20DF" w:rsidP="006A3FBD">
            <w:pPr>
              <w:spacing w:after="200" w:line="276" w:lineRule="auto"/>
              <w:jc w:val="center"/>
              <w:rPr>
                <w:rFonts w:cs="Tahoma"/>
                <w:szCs w:val="18"/>
                <w:lang w:eastAsia="ja-JP"/>
              </w:rPr>
            </w:pPr>
          </w:p>
        </w:tc>
        <w:tc>
          <w:tcPr>
            <w:tcW w:w="1391" w:type="dxa"/>
          </w:tcPr>
          <w:p w:rsidR="00EA20DF" w:rsidRPr="00653421" w:rsidRDefault="00EA20DF" w:rsidP="006A3FBD">
            <w:pPr>
              <w:spacing w:after="200" w:line="276" w:lineRule="auto"/>
              <w:jc w:val="center"/>
              <w:rPr>
                <w:rFonts w:cs="Tahoma"/>
                <w:szCs w:val="18"/>
                <w:lang w:eastAsia="ja-JP"/>
              </w:rPr>
            </w:pPr>
          </w:p>
        </w:tc>
      </w:tr>
      <w:tr w:rsidR="00EA20DF" w:rsidRPr="00653421" w:rsidTr="006A3FBD">
        <w:tc>
          <w:tcPr>
            <w:tcW w:w="1912" w:type="dxa"/>
          </w:tcPr>
          <w:p w:rsidR="00EA20DF" w:rsidRPr="00653421" w:rsidRDefault="00EA20DF" w:rsidP="006A3FBD">
            <w:pPr>
              <w:spacing w:after="200" w:line="276" w:lineRule="auto"/>
              <w:jc w:val="center"/>
              <w:rPr>
                <w:rFonts w:cs="Tahoma"/>
                <w:szCs w:val="18"/>
                <w:lang w:eastAsia="ja-JP"/>
              </w:rPr>
            </w:pPr>
            <w:r w:rsidRPr="00653421">
              <w:rPr>
                <w:rFonts w:cs="Tahoma"/>
                <w:szCs w:val="18"/>
              </w:rPr>
              <w:t>Windows Server HPC Edition</w:t>
            </w:r>
          </w:p>
        </w:tc>
        <w:tc>
          <w:tcPr>
            <w:tcW w:w="1848" w:type="dxa"/>
          </w:tcPr>
          <w:p w:rsidR="00EA20DF" w:rsidRPr="00653421" w:rsidRDefault="00EA20DF" w:rsidP="006A3FBD">
            <w:pPr>
              <w:spacing w:after="200" w:line="276" w:lineRule="auto"/>
              <w:jc w:val="center"/>
              <w:rPr>
                <w:rFonts w:cs="Tahoma"/>
                <w:szCs w:val="18"/>
                <w:lang w:eastAsia="ja-JP"/>
              </w:rPr>
            </w:pPr>
            <w:r w:rsidRPr="00653421">
              <w:rPr>
                <w:rFonts w:cs="Tahoma"/>
                <w:szCs w:val="18"/>
              </w:rPr>
              <w:t>SQL Server Business Intelligence</w:t>
            </w:r>
          </w:p>
        </w:tc>
        <w:tc>
          <w:tcPr>
            <w:tcW w:w="1774" w:type="dxa"/>
          </w:tcPr>
          <w:p w:rsidR="00EA20DF" w:rsidRPr="00653421" w:rsidRDefault="00EA20DF" w:rsidP="006A3FBD">
            <w:pPr>
              <w:spacing w:after="200" w:line="276" w:lineRule="auto"/>
              <w:jc w:val="center"/>
              <w:rPr>
                <w:rFonts w:cs="Tahoma"/>
                <w:szCs w:val="18"/>
                <w:lang w:eastAsia="ja-JP"/>
              </w:rPr>
            </w:pPr>
          </w:p>
        </w:tc>
        <w:tc>
          <w:tcPr>
            <w:tcW w:w="1913" w:type="dxa"/>
            <w:gridSpan w:val="2"/>
          </w:tcPr>
          <w:p w:rsidR="00EA20DF" w:rsidRPr="00653421" w:rsidRDefault="00EA20DF" w:rsidP="006A3FBD">
            <w:pPr>
              <w:spacing w:after="200" w:line="276" w:lineRule="auto"/>
              <w:jc w:val="center"/>
              <w:rPr>
                <w:rFonts w:cs="Tahoma"/>
                <w:szCs w:val="18"/>
                <w:lang w:eastAsia="ja-JP"/>
              </w:rPr>
            </w:pPr>
          </w:p>
        </w:tc>
        <w:tc>
          <w:tcPr>
            <w:tcW w:w="1391" w:type="dxa"/>
          </w:tcPr>
          <w:p w:rsidR="00EA20DF" w:rsidRPr="00653421" w:rsidRDefault="00EA20DF" w:rsidP="006A3FBD">
            <w:pPr>
              <w:spacing w:after="200" w:line="276" w:lineRule="auto"/>
              <w:jc w:val="center"/>
              <w:rPr>
                <w:rFonts w:cs="Tahoma"/>
                <w:szCs w:val="18"/>
                <w:lang w:eastAsia="ja-JP"/>
              </w:rPr>
            </w:pPr>
          </w:p>
        </w:tc>
      </w:tr>
      <w:tr w:rsidR="00EA20DF" w:rsidRPr="00C50FD1" w:rsidTr="006A3FBD">
        <w:tc>
          <w:tcPr>
            <w:tcW w:w="1912" w:type="dxa"/>
          </w:tcPr>
          <w:p w:rsidR="00EA20DF" w:rsidRPr="00653421" w:rsidRDefault="00EA20DF" w:rsidP="006A3FBD">
            <w:pPr>
              <w:spacing w:after="200" w:line="276" w:lineRule="auto"/>
              <w:jc w:val="center"/>
              <w:rPr>
                <w:rFonts w:cs="Tahoma"/>
                <w:szCs w:val="18"/>
                <w:lang w:val="fr-FR" w:eastAsia="ja-JP"/>
              </w:rPr>
            </w:pPr>
            <w:r w:rsidRPr="00653421">
              <w:rPr>
                <w:rFonts w:cs="Tahoma"/>
                <w:szCs w:val="18"/>
                <w:lang w:val="fr-FR"/>
              </w:rPr>
              <w:t xml:space="preserve">Core Infrastructure Server Suite Datacenter </w:t>
            </w:r>
          </w:p>
        </w:tc>
        <w:tc>
          <w:tcPr>
            <w:tcW w:w="1848" w:type="dxa"/>
          </w:tcPr>
          <w:p w:rsidR="00EA20DF" w:rsidRPr="00653421" w:rsidRDefault="00EA20DF" w:rsidP="006A3FBD">
            <w:pPr>
              <w:spacing w:after="200" w:line="276" w:lineRule="auto"/>
              <w:jc w:val="center"/>
              <w:rPr>
                <w:rFonts w:cs="Tahoma"/>
                <w:szCs w:val="18"/>
                <w:lang w:val="fr-FR"/>
              </w:rPr>
            </w:pPr>
          </w:p>
        </w:tc>
        <w:tc>
          <w:tcPr>
            <w:tcW w:w="1774" w:type="dxa"/>
          </w:tcPr>
          <w:p w:rsidR="00EA20DF" w:rsidRPr="00653421" w:rsidRDefault="00EA20DF" w:rsidP="006A3FBD">
            <w:pPr>
              <w:spacing w:after="200" w:line="276" w:lineRule="auto"/>
              <w:jc w:val="center"/>
              <w:rPr>
                <w:rFonts w:cs="Tahoma"/>
                <w:szCs w:val="18"/>
                <w:lang w:val="fr-FR"/>
              </w:rPr>
            </w:pPr>
          </w:p>
        </w:tc>
        <w:tc>
          <w:tcPr>
            <w:tcW w:w="1913" w:type="dxa"/>
            <w:gridSpan w:val="2"/>
          </w:tcPr>
          <w:p w:rsidR="00EA20DF" w:rsidRPr="00653421" w:rsidRDefault="00EA20DF" w:rsidP="006A3FBD">
            <w:pPr>
              <w:spacing w:after="200" w:line="276" w:lineRule="auto"/>
              <w:jc w:val="center"/>
              <w:rPr>
                <w:rFonts w:cs="Tahoma"/>
                <w:szCs w:val="18"/>
                <w:lang w:val="fr-FR"/>
              </w:rPr>
            </w:pPr>
          </w:p>
        </w:tc>
        <w:tc>
          <w:tcPr>
            <w:tcW w:w="1391" w:type="dxa"/>
          </w:tcPr>
          <w:p w:rsidR="00EA20DF" w:rsidRPr="00653421" w:rsidRDefault="00EA20DF" w:rsidP="006A3FBD">
            <w:pPr>
              <w:spacing w:after="200" w:line="276" w:lineRule="auto"/>
              <w:jc w:val="center"/>
              <w:rPr>
                <w:rFonts w:cs="Tahoma"/>
                <w:szCs w:val="18"/>
                <w:lang w:val="fr-FR"/>
              </w:rPr>
            </w:pPr>
          </w:p>
        </w:tc>
      </w:tr>
      <w:tr w:rsidR="00EA20DF" w:rsidRPr="00653421" w:rsidTr="006A3FBD">
        <w:tc>
          <w:tcPr>
            <w:tcW w:w="3760" w:type="dxa"/>
            <w:gridSpan w:val="2"/>
            <w:shd w:val="clear" w:color="auto" w:fill="FABF8F"/>
          </w:tcPr>
          <w:p w:rsidR="00EA20DF" w:rsidRPr="00653421" w:rsidRDefault="00EA20DF" w:rsidP="006A3FBD">
            <w:pPr>
              <w:spacing w:before="120" w:after="120" w:line="276" w:lineRule="auto"/>
              <w:jc w:val="center"/>
              <w:rPr>
                <w:rFonts w:cs="Tahoma"/>
                <w:b/>
                <w:bCs/>
                <w:color w:val="000000"/>
                <w:szCs w:val="18"/>
                <w:lang w:eastAsia="ja-JP"/>
              </w:rPr>
            </w:pPr>
            <w:r w:rsidRPr="00653421">
              <w:rPr>
                <w:rFonts w:cs="Tahoma"/>
                <w:b/>
                <w:bCs/>
                <w:color w:val="000000"/>
                <w:szCs w:val="18"/>
              </w:rPr>
              <w:lastRenderedPageBreak/>
              <w:t>Software* para Servidores Qualificado</w:t>
            </w:r>
          </w:p>
        </w:tc>
        <w:tc>
          <w:tcPr>
            <w:tcW w:w="1774" w:type="dxa"/>
            <w:shd w:val="clear" w:color="auto" w:fill="FABF8F"/>
          </w:tcPr>
          <w:p w:rsidR="00EA20DF" w:rsidRPr="00653421" w:rsidRDefault="00EA20DF" w:rsidP="006A3FBD">
            <w:pPr>
              <w:spacing w:after="200" w:line="276" w:lineRule="auto"/>
              <w:jc w:val="center"/>
              <w:rPr>
                <w:rFonts w:cs="Tahoma"/>
                <w:b/>
                <w:bCs/>
                <w:color w:val="000000"/>
                <w:szCs w:val="18"/>
                <w:lang w:eastAsia="ja-JP"/>
              </w:rPr>
            </w:pPr>
          </w:p>
        </w:tc>
        <w:tc>
          <w:tcPr>
            <w:tcW w:w="1913" w:type="dxa"/>
            <w:gridSpan w:val="2"/>
            <w:shd w:val="clear" w:color="auto" w:fill="FABF8F"/>
          </w:tcPr>
          <w:p w:rsidR="00EA20DF" w:rsidRPr="00653421" w:rsidRDefault="00EA20DF" w:rsidP="006A3FBD">
            <w:pPr>
              <w:spacing w:after="200" w:line="276" w:lineRule="auto"/>
              <w:jc w:val="center"/>
              <w:rPr>
                <w:rFonts w:cs="Tahoma"/>
                <w:b/>
                <w:bCs/>
                <w:color w:val="000000"/>
                <w:szCs w:val="18"/>
                <w:lang w:eastAsia="ja-JP"/>
              </w:rPr>
            </w:pPr>
          </w:p>
        </w:tc>
        <w:tc>
          <w:tcPr>
            <w:tcW w:w="1391" w:type="dxa"/>
            <w:shd w:val="clear" w:color="auto" w:fill="FABF8F"/>
          </w:tcPr>
          <w:p w:rsidR="00EA20DF" w:rsidRPr="00653421" w:rsidRDefault="00EA20DF" w:rsidP="006A3FBD">
            <w:pPr>
              <w:spacing w:after="200" w:line="276" w:lineRule="auto"/>
              <w:jc w:val="center"/>
              <w:rPr>
                <w:rFonts w:cs="Tahoma"/>
                <w:b/>
                <w:bCs/>
                <w:color w:val="000000"/>
                <w:szCs w:val="18"/>
                <w:lang w:eastAsia="ja-JP"/>
              </w:rPr>
            </w:pPr>
          </w:p>
        </w:tc>
      </w:tr>
      <w:tr w:rsidR="00EA20DF" w:rsidRPr="00653421" w:rsidTr="006A3FBD">
        <w:tc>
          <w:tcPr>
            <w:tcW w:w="1912" w:type="dxa"/>
            <w:shd w:val="clear" w:color="auto" w:fill="FABF8F"/>
            <w:vAlign w:val="center"/>
          </w:tcPr>
          <w:p w:rsidR="00EA20DF" w:rsidRPr="00653421" w:rsidRDefault="00EA20DF" w:rsidP="006A3FBD">
            <w:pPr>
              <w:spacing w:before="120" w:after="120" w:line="276" w:lineRule="auto"/>
              <w:jc w:val="center"/>
              <w:rPr>
                <w:rFonts w:cs="Tahoma"/>
                <w:color w:val="000000"/>
                <w:szCs w:val="18"/>
                <w:lang w:eastAsia="ja-JP"/>
              </w:rPr>
            </w:pPr>
            <w:r w:rsidRPr="00653421">
              <w:rPr>
                <w:rFonts w:cs="Tahoma"/>
                <w:b/>
                <w:bCs/>
                <w:color w:val="000000"/>
                <w:szCs w:val="18"/>
              </w:rPr>
              <w:t>Windows Server</w:t>
            </w:r>
          </w:p>
        </w:tc>
        <w:tc>
          <w:tcPr>
            <w:tcW w:w="1848" w:type="dxa"/>
            <w:shd w:val="clear" w:color="auto" w:fill="FABF8F"/>
            <w:vAlign w:val="center"/>
          </w:tcPr>
          <w:p w:rsidR="00EA20DF" w:rsidRPr="00653421" w:rsidRDefault="00EA20DF" w:rsidP="006A3FBD">
            <w:pPr>
              <w:spacing w:before="120" w:after="120" w:line="276" w:lineRule="auto"/>
              <w:jc w:val="center"/>
              <w:rPr>
                <w:rFonts w:cs="Tahoma"/>
                <w:color w:val="000000"/>
                <w:szCs w:val="18"/>
                <w:lang w:eastAsia="ja-JP"/>
              </w:rPr>
            </w:pPr>
            <w:r w:rsidRPr="00653421">
              <w:rPr>
                <w:rFonts w:cs="Tahoma"/>
                <w:b/>
                <w:bCs/>
                <w:color w:val="000000"/>
                <w:szCs w:val="18"/>
              </w:rPr>
              <w:t>SQL Server</w:t>
            </w:r>
          </w:p>
        </w:tc>
        <w:tc>
          <w:tcPr>
            <w:tcW w:w="1774" w:type="dxa"/>
            <w:shd w:val="clear" w:color="auto" w:fill="FABF8F"/>
            <w:vAlign w:val="center"/>
          </w:tcPr>
          <w:p w:rsidR="00EA20DF" w:rsidRPr="00653421" w:rsidRDefault="00EA20DF" w:rsidP="006A3FBD">
            <w:pPr>
              <w:spacing w:before="120" w:after="120" w:line="276" w:lineRule="auto"/>
              <w:jc w:val="center"/>
              <w:rPr>
                <w:rFonts w:cs="Tahoma"/>
                <w:b/>
                <w:bCs/>
                <w:color w:val="000000"/>
                <w:szCs w:val="18"/>
                <w:lang w:eastAsia="ja-JP"/>
              </w:rPr>
            </w:pPr>
            <w:r w:rsidRPr="00653421">
              <w:rPr>
                <w:rFonts w:cs="Tahoma"/>
                <w:b/>
                <w:bCs/>
                <w:color w:val="000000"/>
                <w:szCs w:val="18"/>
              </w:rPr>
              <w:t>Exchange Server</w:t>
            </w:r>
          </w:p>
        </w:tc>
        <w:tc>
          <w:tcPr>
            <w:tcW w:w="1913" w:type="dxa"/>
            <w:gridSpan w:val="2"/>
            <w:shd w:val="clear" w:color="auto" w:fill="FABF8F"/>
            <w:vAlign w:val="center"/>
          </w:tcPr>
          <w:p w:rsidR="00EA20DF" w:rsidRPr="00653421" w:rsidRDefault="00EA20DF" w:rsidP="006A3FBD">
            <w:pPr>
              <w:spacing w:before="120" w:after="120" w:line="276" w:lineRule="auto"/>
              <w:jc w:val="center"/>
              <w:rPr>
                <w:rFonts w:cs="Tahoma"/>
                <w:b/>
                <w:bCs/>
                <w:color w:val="000000"/>
                <w:szCs w:val="18"/>
                <w:lang w:eastAsia="ja-JP"/>
              </w:rPr>
            </w:pPr>
            <w:r w:rsidRPr="00653421">
              <w:rPr>
                <w:rFonts w:cs="Tahoma"/>
                <w:b/>
                <w:bCs/>
                <w:color w:val="000000"/>
                <w:szCs w:val="18"/>
              </w:rPr>
              <w:t>SharePoint Server</w:t>
            </w:r>
          </w:p>
        </w:tc>
        <w:tc>
          <w:tcPr>
            <w:tcW w:w="1391" w:type="dxa"/>
            <w:shd w:val="clear" w:color="auto" w:fill="FABF8F"/>
            <w:vAlign w:val="center"/>
          </w:tcPr>
          <w:p w:rsidR="00EA20DF" w:rsidRPr="00653421" w:rsidRDefault="00EA20DF" w:rsidP="006A3FBD">
            <w:pPr>
              <w:spacing w:before="120" w:after="120" w:line="276" w:lineRule="auto"/>
              <w:jc w:val="center"/>
              <w:rPr>
                <w:rFonts w:cs="Tahoma"/>
                <w:b/>
                <w:bCs/>
                <w:color w:val="000000"/>
                <w:szCs w:val="18"/>
                <w:lang w:eastAsia="ja-JP"/>
              </w:rPr>
            </w:pPr>
            <w:r w:rsidRPr="00653421">
              <w:rPr>
                <w:rFonts w:cs="Tahoma"/>
                <w:b/>
                <w:bCs/>
                <w:color w:val="000000"/>
                <w:szCs w:val="18"/>
              </w:rPr>
              <w:t>Lync Server</w:t>
            </w:r>
          </w:p>
        </w:tc>
      </w:tr>
      <w:tr w:rsidR="00EA20DF" w:rsidRPr="00C50FD1" w:rsidTr="006A3FBD">
        <w:tc>
          <w:tcPr>
            <w:tcW w:w="1912" w:type="dxa"/>
          </w:tcPr>
          <w:p w:rsidR="00EA20DF" w:rsidRPr="00653421" w:rsidRDefault="00EA20DF" w:rsidP="006A3FBD">
            <w:pPr>
              <w:spacing w:after="200" w:line="276" w:lineRule="auto"/>
              <w:jc w:val="center"/>
              <w:rPr>
                <w:rFonts w:cs="Tahoma"/>
                <w:szCs w:val="18"/>
                <w:lang w:val="fr-FR" w:eastAsia="ja-JP"/>
              </w:rPr>
            </w:pPr>
            <w:r w:rsidRPr="00653421">
              <w:rPr>
                <w:rFonts w:cs="Tahoma"/>
                <w:szCs w:val="18"/>
                <w:lang w:val="fr-FR"/>
              </w:rPr>
              <w:t>Core Infrastructure Server Suite Enterprise</w:t>
            </w:r>
          </w:p>
        </w:tc>
        <w:tc>
          <w:tcPr>
            <w:tcW w:w="1848" w:type="dxa"/>
          </w:tcPr>
          <w:p w:rsidR="00EA20DF" w:rsidRPr="00653421" w:rsidRDefault="00EA20DF" w:rsidP="006A3FBD">
            <w:pPr>
              <w:spacing w:after="200" w:line="276" w:lineRule="auto"/>
              <w:jc w:val="center"/>
              <w:rPr>
                <w:rFonts w:cs="Tahoma"/>
                <w:szCs w:val="18"/>
                <w:lang w:val="fr-FR"/>
              </w:rPr>
            </w:pPr>
          </w:p>
        </w:tc>
        <w:tc>
          <w:tcPr>
            <w:tcW w:w="1774" w:type="dxa"/>
          </w:tcPr>
          <w:p w:rsidR="00EA20DF" w:rsidRPr="00653421" w:rsidRDefault="00EA20DF" w:rsidP="006A3FBD">
            <w:pPr>
              <w:spacing w:after="200" w:line="276" w:lineRule="auto"/>
              <w:jc w:val="center"/>
              <w:rPr>
                <w:rFonts w:cs="Tahoma"/>
                <w:szCs w:val="18"/>
                <w:lang w:val="fr-FR"/>
              </w:rPr>
            </w:pPr>
          </w:p>
        </w:tc>
        <w:tc>
          <w:tcPr>
            <w:tcW w:w="1830" w:type="dxa"/>
          </w:tcPr>
          <w:p w:rsidR="00EA20DF" w:rsidRPr="00653421" w:rsidRDefault="00EA20DF" w:rsidP="006A3FBD">
            <w:pPr>
              <w:spacing w:after="200" w:line="276" w:lineRule="auto"/>
              <w:jc w:val="center"/>
              <w:rPr>
                <w:rFonts w:cs="Tahoma"/>
                <w:szCs w:val="18"/>
                <w:lang w:val="fr-FR"/>
              </w:rPr>
            </w:pPr>
          </w:p>
        </w:tc>
        <w:tc>
          <w:tcPr>
            <w:tcW w:w="1474" w:type="dxa"/>
            <w:gridSpan w:val="2"/>
          </w:tcPr>
          <w:p w:rsidR="00EA20DF" w:rsidRPr="00653421" w:rsidRDefault="00EA20DF" w:rsidP="006A3FBD">
            <w:pPr>
              <w:spacing w:after="200" w:line="276" w:lineRule="auto"/>
              <w:jc w:val="center"/>
              <w:rPr>
                <w:rFonts w:cs="Tahoma"/>
                <w:szCs w:val="18"/>
                <w:lang w:val="fr-FR"/>
              </w:rPr>
            </w:pPr>
          </w:p>
        </w:tc>
      </w:tr>
      <w:tr w:rsidR="00EA20DF" w:rsidRPr="00C50FD1" w:rsidTr="006A3FBD">
        <w:tc>
          <w:tcPr>
            <w:tcW w:w="1912" w:type="dxa"/>
          </w:tcPr>
          <w:p w:rsidR="00EA20DF" w:rsidRPr="00653421" w:rsidRDefault="00EA20DF" w:rsidP="006A3FBD">
            <w:pPr>
              <w:spacing w:after="200" w:line="276" w:lineRule="auto"/>
              <w:jc w:val="center"/>
              <w:rPr>
                <w:rFonts w:cs="Tahoma"/>
                <w:szCs w:val="18"/>
                <w:lang w:val="fr-FR" w:eastAsia="ja-JP"/>
              </w:rPr>
            </w:pPr>
            <w:r w:rsidRPr="00653421">
              <w:rPr>
                <w:rFonts w:cs="Tahoma"/>
                <w:szCs w:val="18"/>
                <w:lang w:val="fr-FR"/>
              </w:rPr>
              <w:t>Core Infrastructure Server Suite Standard</w:t>
            </w:r>
          </w:p>
        </w:tc>
        <w:tc>
          <w:tcPr>
            <w:tcW w:w="1848" w:type="dxa"/>
          </w:tcPr>
          <w:p w:rsidR="00EA20DF" w:rsidRPr="00653421" w:rsidRDefault="00EA20DF" w:rsidP="006A3FBD">
            <w:pPr>
              <w:spacing w:after="200" w:line="276" w:lineRule="auto"/>
              <w:jc w:val="center"/>
              <w:rPr>
                <w:rFonts w:cs="Tahoma"/>
                <w:szCs w:val="18"/>
                <w:lang w:val="fr-FR"/>
              </w:rPr>
            </w:pPr>
          </w:p>
        </w:tc>
        <w:tc>
          <w:tcPr>
            <w:tcW w:w="1774" w:type="dxa"/>
          </w:tcPr>
          <w:p w:rsidR="00EA20DF" w:rsidRPr="00653421" w:rsidRDefault="00EA20DF" w:rsidP="006A3FBD">
            <w:pPr>
              <w:spacing w:after="200" w:line="276" w:lineRule="auto"/>
              <w:jc w:val="center"/>
              <w:rPr>
                <w:rFonts w:cs="Tahoma"/>
                <w:szCs w:val="18"/>
                <w:lang w:val="fr-FR"/>
              </w:rPr>
            </w:pPr>
          </w:p>
        </w:tc>
        <w:tc>
          <w:tcPr>
            <w:tcW w:w="1830" w:type="dxa"/>
          </w:tcPr>
          <w:p w:rsidR="00EA20DF" w:rsidRPr="00653421" w:rsidRDefault="00EA20DF" w:rsidP="006A3FBD">
            <w:pPr>
              <w:spacing w:after="200" w:line="276" w:lineRule="auto"/>
              <w:jc w:val="center"/>
              <w:rPr>
                <w:rFonts w:cs="Tahoma"/>
                <w:szCs w:val="18"/>
                <w:lang w:val="fr-FR"/>
              </w:rPr>
            </w:pPr>
          </w:p>
        </w:tc>
        <w:tc>
          <w:tcPr>
            <w:tcW w:w="1474" w:type="dxa"/>
            <w:gridSpan w:val="2"/>
          </w:tcPr>
          <w:p w:rsidR="00EA20DF" w:rsidRPr="00653421" w:rsidRDefault="00EA20DF" w:rsidP="006A3FBD">
            <w:pPr>
              <w:spacing w:after="200" w:line="276" w:lineRule="auto"/>
              <w:jc w:val="center"/>
              <w:rPr>
                <w:rFonts w:cs="Tahoma"/>
                <w:szCs w:val="18"/>
                <w:lang w:val="fr-FR"/>
              </w:rPr>
            </w:pPr>
          </w:p>
        </w:tc>
      </w:tr>
    </w:tbl>
    <w:p w:rsidR="00EA20DF" w:rsidRPr="00653421" w:rsidRDefault="00EA20DF" w:rsidP="00EA20DF">
      <w:pPr>
        <w:rPr>
          <w:lang w:val="fr-FR"/>
        </w:rPr>
      </w:pPr>
    </w:p>
    <w:p w:rsidR="003479E5" w:rsidRPr="00C50FD1" w:rsidRDefault="003479E5" w:rsidP="00792D1E">
      <w:pPr>
        <w:rPr>
          <w:lang w:val="pt-BR"/>
        </w:rPr>
      </w:pPr>
      <w:r w:rsidRPr="00C50FD1">
        <w:rPr>
          <w:rFonts w:cs="Tahoma"/>
          <w:bCs/>
          <w:szCs w:val="18"/>
          <w:lang w:val="pt-BR"/>
        </w:rPr>
        <w:t>*A cobertura de Software Assurance para CALs do Software para Servidores Qualificado não qualifica os clientes para</w:t>
      </w:r>
      <w:r w:rsidR="00EA20DF" w:rsidRPr="00C50FD1">
        <w:rPr>
          <w:rFonts w:cs="Tahoma"/>
          <w:bCs/>
          <w:szCs w:val="18"/>
          <w:lang w:val="pt-BR"/>
        </w:rPr>
        <w:t> </w:t>
      </w:r>
      <w:r w:rsidRPr="00C50FD1">
        <w:rPr>
          <w:rFonts w:cs="Tahoma"/>
          <w:bCs/>
          <w:szCs w:val="18"/>
          <w:lang w:val="pt-BR"/>
        </w:rPr>
        <w:t>o benefícios do Software Assurance do System Center Advisor.</w:t>
      </w:r>
      <w:r w:rsidR="005A52A2" w:rsidRPr="00C50FD1">
        <w:rPr>
          <w:rFonts w:cs="Tahoma"/>
          <w:bCs/>
          <w:szCs w:val="18"/>
          <w:lang w:val="pt-BR"/>
        </w:rPr>
        <w:t xml:space="preserve"> </w:t>
      </w:r>
      <w:r w:rsidRPr="00C50FD1">
        <w:rPr>
          <w:rFonts w:cs="Tahoma"/>
          <w:bCs/>
          <w:szCs w:val="18"/>
          <w:lang w:val="pt-BR"/>
        </w:rPr>
        <w:t>Os clientes devem ter cobertura nas licenças de</w:t>
      </w:r>
      <w:r w:rsidR="00EA20DF" w:rsidRPr="00C50FD1">
        <w:rPr>
          <w:rFonts w:cs="Tahoma"/>
          <w:bCs/>
          <w:szCs w:val="18"/>
          <w:lang w:val="pt-BR"/>
        </w:rPr>
        <w:t> </w:t>
      </w:r>
      <w:r w:rsidRPr="00C50FD1">
        <w:rPr>
          <w:rFonts w:cs="Tahoma"/>
          <w:bCs/>
          <w:szCs w:val="18"/>
          <w:lang w:val="pt-BR"/>
        </w:rPr>
        <w:t>software de acordo com as quais o Software do Servidor Qualificado está em execução.</w:t>
      </w:r>
    </w:p>
    <w:p w:rsidR="003479E5" w:rsidRPr="00C50FD1" w:rsidRDefault="003479E5" w:rsidP="00792D1E">
      <w:pPr>
        <w:rPr>
          <w:lang w:val="pt-BR"/>
        </w:rPr>
      </w:pPr>
    </w:p>
    <w:p w:rsidR="000D454E" w:rsidRPr="00C50FD1" w:rsidRDefault="000D454E" w:rsidP="00792D1E">
      <w:pPr>
        <w:rPr>
          <w:lang w:val="pt-BR"/>
        </w:rPr>
      </w:pPr>
      <w:r w:rsidRPr="00C50FD1">
        <w:rPr>
          <w:rFonts w:cs="Tahoma"/>
          <w:szCs w:val="18"/>
          <w:lang w:val="pt-BR"/>
        </w:rPr>
        <w:t>Os clientes com cobertura de Software Assurance ativa para Licenças de Gerenciamento identificadas na tabela a</w:t>
      </w:r>
      <w:r w:rsidR="008B0364" w:rsidRPr="00C50FD1">
        <w:rPr>
          <w:rFonts w:cs="Tahoma"/>
          <w:szCs w:val="18"/>
          <w:lang w:val="pt-BR"/>
        </w:rPr>
        <w:t> </w:t>
      </w:r>
      <w:r w:rsidRPr="00C50FD1">
        <w:rPr>
          <w:rFonts w:cs="Tahoma"/>
          <w:szCs w:val="18"/>
          <w:lang w:val="pt-BR"/>
        </w:rPr>
        <w:t>seguir estão qualificados para usar o System Center Advisor conforme definido nos Direitos de Uso do Produto.</w:t>
      </w:r>
    </w:p>
    <w:p w:rsidR="000D454E" w:rsidRPr="00C50FD1" w:rsidRDefault="000D454E" w:rsidP="000D454E">
      <w:pPr>
        <w:outlineLvl w:val="2"/>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22"/>
      </w:tblGrid>
      <w:tr w:rsidR="000D454E" w:rsidRPr="00C50FD1" w:rsidTr="008B0364">
        <w:trPr>
          <w:jc w:val="center"/>
        </w:trPr>
        <w:tc>
          <w:tcPr>
            <w:tcW w:w="5922"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C50FD1" w:rsidRDefault="000D454E" w:rsidP="007E466C">
            <w:pPr>
              <w:spacing w:before="120" w:after="120" w:line="276" w:lineRule="auto"/>
              <w:jc w:val="center"/>
              <w:rPr>
                <w:rFonts w:cs="Tahoma"/>
                <w:b/>
                <w:color w:val="000000"/>
                <w:szCs w:val="18"/>
                <w:lang w:val="pt-BR" w:eastAsia="ja-JP"/>
              </w:rPr>
            </w:pPr>
            <w:r w:rsidRPr="00C50FD1">
              <w:rPr>
                <w:rFonts w:cs="Tahoma"/>
                <w:b/>
                <w:color w:val="000000"/>
                <w:szCs w:val="18"/>
                <w:lang w:val="pt-BR"/>
              </w:rPr>
              <w:t>Licenças de Gerenciamento de Qualificação</w:t>
            </w:r>
          </w:p>
        </w:tc>
      </w:tr>
      <w:tr w:rsidR="000D454E" w:rsidRPr="00C50FD1" w:rsidTr="008B0364">
        <w:trPr>
          <w:jc w:val="center"/>
        </w:trPr>
        <w:tc>
          <w:tcPr>
            <w:tcW w:w="5922" w:type="dxa"/>
            <w:tcBorders>
              <w:top w:val="single" w:sz="4" w:space="0" w:color="000000"/>
              <w:left w:val="single" w:sz="4" w:space="0" w:color="000000"/>
              <w:bottom w:val="single" w:sz="4" w:space="0" w:color="000000"/>
              <w:right w:val="single" w:sz="4" w:space="0" w:color="000000"/>
            </w:tcBorders>
            <w:vAlign w:val="center"/>
            <w:hideMark/>
          </w:tcPr>
          <w:p w:rsidR="000D454E" w:rsidRPr="00C50FD1" w:rsidRDefault="000D454E" w:rsidP="007E466C">
            <w:pPr>
              <w:spacing w:before="120" w:after="120"/>
              <w:jc w:val="center"/>
              <w:rPr>
                <w:rFonts w:cs="Tahoma"/>
                <w:color w:val="000000"/>
                <w:szCs w:val="18"/>
                <w:lang w:val="pt-BR" w:eastAsia="ja-JP"/>
              </w:rPr>
            </w:pPr>
            <w:r w:rsidRPr="00C50FD1">
              <w:rPr>
                <w:rFonts w:cs="Tahoma"/>
                <w:color w:val="000000"/>
                <w:szCs w:val="18"/>
                <w:lang w:val="pt-BR"/>
              </w:rPr>
              <w:t>Licença de Gerenciamento do System Center 2012 Datacenter Server</w:t>
            </w:r>
          </w:p>
        </w:tc>
      </w:tr>
      <w:tr w:rsidR="000D454E" w:rsidRPr="00C50FD1" w:rsidTr="008B0364">
        <w:trPr>
          <w:jc w:val="center"/>
        </w:trPr>
        <w:tc>
          <w:tcPr>
            <w:tcW w:w="5922" w:type="dxa"/>
            <w:tcBorders>
              <w:top w:val="single" w:sz="4" w:space="0" w:color="000000"/>
              <w:left w:val="single" w:sz="4" w:space="0" w:color="000000"/>
              <w:bottom w:val="single" w:sz="4" w:space="0" w:color="000000"/>
              <w:right w:val="single" w:sz="4" w:space="0" w:color="000000"/>
            </w:tcBorders>
            <w:vAlign w:val="center"/>
            <w:hideMark/>
          </w:tcPr>
          <w:p w:rsidR="000D454E" w:rsidRPr="00C50FD1" w:rsidRDefault="000D454E" w:rsidP="007E466C">
            <w:pPr>
              <w:spacing w:before="120" w:after="120" w:line="276" w:lineRule="auto"/>
              <w:jc w:val="center"/>
              <w:rPr>
                <w:rFonts w:cs="Tahoma"/>
                <w:szCs w:val="18"/>
                <w:lang w:val="pt-BR"/>
              </w:rPr>
            </w:pPr>
            <w:r w:rsidRPr="00C50FD1">
              <w:rPr>
                <w:rFonts w:cs="Tahoma"/>
                <w:color w:val="000000"/>
                <w:szCs w:val="18"/>
                <w:lang w:val="pt-BR"/>
              </w:rPr>
              <w:t>Licença de Gerenciamento do System Center 2012 Standard Server</w:t>
            </w:r>
          </w:p>
        </w:tc>
      </w:tr>
    </w:tbl>
    <w:p w:rsidR="00E06FE8" w:rsidRPr="00C50FD1" w:rsidRDefault="000E6E21" w:rsidP="00653421">
      <w:pPr>
        <w:spacing w:before="40"/>
        <w:outlineLvl w:val="2"/>
        <w:rPr>
          <w:lang w:val="pt-BR"/>
        </w:rPr>
      </w:pPr>
      <w:bookmarkStart w:id="802" w:name="_Toc336338239"/>
      <w:r w:rsidRPr="00C50FD1">
        <w:rPr>
          <w:rFonts w:eastAsiaTheme="majorEastAsia" w:cs="Tahoma"/>
          <w:color w:val="000000"/>
          <w:szCs w:val="18"/>
          <w:lang w:val="pt-BR"/>
        </w:rPr>
        <w:cr/>
      </w:r>
      <w:r w:rsidRPr="00C50FD1">
        <w:rPr>
          <w:rFonts w:eastAsiaTheme="majorEastAsia" w:cs="Tahoma"/>
          <w:b/>
          <w:color w:val="000000"/>
          <w:sz w:val="24"/>
          <w:szCs w:val="18"/>
          <w:lang w:val="pt-BR"/>
        </w:rPr>
        <w:t>System Center Global Service Monitor</w:t>
      </w:r>
    </w:p>
    <w:p w:rsidR="00E06FE8" w:rsidRPr="00C50FD1" w:rsidRDefault="00E06FE8" w:rsidP="007E466C">
      <w:pPr>
        <w:rPr>
          <w:lang w:val="pt-BR"/>
        </w:rPr>
      </w:pPr>
      <w:r w:rsidRPr="00C50FD1">
        <w:rPr>
          <w:rFonts w:cs="Tahoma"/>
          <w:szCs w:val="18"/>
          <w:lang w:val="pt-BR"/>
        </w:rPr>
        <w:t>Os clientes com cobertura de Software Assurance ativa para Licenças de Gerenciamento identificadas na tabela a</w:t>
      </w:r>
      <w:r w:rsidR="008B0364" w:rsidRPr="00C50FD1">
        <w:rPr>
          <w:rFonts w:cs="Tahoma"/>
          <w:szCs w:val="18"/>
          <w:lang w:val="pt-BR"/>
        </w:rPr>
        <w:t> </w:t>
      </w:r>
      <w:r w:rsidRPr="00C50FD1">
        <w:rPr>
          <w:rFonts w:cs="Tahoma"/>
          <w:szCs w:val="18"/>
          <w:lang w:val="pt-BR"/>
        </w:rPr>
        <w:t>seguir estão qualificados para usar o System Center Global Service Monitor conforme definido nos Direitos de Uso</w:t>
      </w:r>
      <w:r w:rsidR="008B0364" w:rsidRPr="00C50FD1">
        <w:rPr>
          <w:rFonts w:cs="Tahoma"/>
          <w:szCs w:val="18"/>
          <w:lang w:val="pt-BR"/>
        </w:rPr>
        <w:t> </w:t>
      </w:r>
      <w:r w:rsidRPr="00C50FD1">
        <w:rPr>
          <w:rFonts w:cs="Tahoma"/>
          <w:szCs w:val="18"/>
          <w:lang w:val="pt-BR"/>
        </w:rPr>
        <w:t>do</w:t>
      </w:r>
      <w:r w:rsidR="008B0364" w:rsidRPr="00C50FD1">
        <w:rPr>
          <w:rFonts w:cs="Tahoma"/>
          <w:szCs w:val="18"/>
          <w:lang w:val="pt-BR"/>
        </w:rPr>
        <w:t> </w:t>
      </w:r>
      <w:r w:rsidRPr="00C50FD1">
        <w:rPr>
          <w:rFonts w:cs="Tahoma"/>
          <w:szCs w:val="18"/>
          <w:lang w:val="pt-BR"/>
        </w:rPr>
        <w:t>Produto.</w:t>
      </w:r>
    </w:p>
    <w:p w:rsidR="000E6E21" w:rsidRPr="00C50FD1" w:rsidRDefault="000E6E21" w:rsidP="007E466C">
      <w:pPr>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C50FD1"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C50FD1" w:rsidRDefault="00E06FE8" w:rsidP="007E466C">
            <w:pPr>
              <w:spacing w:before="120" w:after="120"/>
              <w:jc w:val="center"/>
              <w:rPr>
                <w:rFonts w:cs="Tahoma"/>
                <w:b/>
                <w:szCs w:val="18"/>
                <w:lang w:val="pt-BR"/>
              </w:rPr>
            </w:pPr>
            <w:r w:rsidRPr="00C50FD1">
              <w:rPr>
                <w:rFonts w:cs="Tahoma"/>
                <w:b/>
                <w:szCs w:val="18"/>
                <w:lang w:val="pt-BR"/>
              </w:rPr>
              <w:t>Licenças de Gerenciamento de Qualificação</w:t>
            </w:r>
          </w:p>
        </w:tc>
      </w:tr>
      <w:tr w:rsidR="000E6E21" w:rsidRPr="00C50FD1"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C50FD1" w:rsidRDefault="00E06FE8" w:rsidP="007E466C">
            <w:pPr>
              <w:spacing w:before="120" w:after="120"/>
              <w:jc w:val="center"/>
              <w:rPr>
                <w:rFonts w:cs="Tahoma"/>
                <w:szCs w:val="18"/>
                <w:lang w:val="pt-BR"/>
              </w:rPr>
            </w:pPr>
            <w:r w:rsidRPr="00C50FD1">
              <w:rPr>
                <w:rFonts w:cs="Tahoma"/>
                <w:szCs w:val="18"/>
                <w:lang w:val="pt-BR"/>
              </w:rPr>
              <w:t>Licença de Gerenciamento do System Center Datacenter Server</w:t>
            </w:r>
          </w:p>
        </w:tc>
      </w:tr>
      <w:tr w:rsidR="000E6E21" w:rsidRPr="00C50FD1"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C50FD1" w:rsidRDefault="00E06FE8" w:rsidP="007E466C">
            <w:pPr>
              <w:spacing w:before="120" w:after="120"/>
              <w:jc w:val="center"/>
              <w:rPr>
                <w:rFonts w:cs="Tahoma"/>
                <w:szCs w:val="18"/>
                <w:lang w:val="pt-BR"/>
              </w:rPr>
            </w:pPr>
            <w:r w:rsidRPr="00C50FD1">
              <w:rPr>
                <w:rFonts w:cs="Tahoma"/>
                <w:szCs w:val="18"/>
                <w:lang w:val="pt-BR"/>
              </w:rPr>
              <w:t>Licença de Gerenciamento do System Center Standard Server</w:t>
            </w:r>
          </w:p>
        </w:tc>
      </w:tr>
    </w:tbl>
    <w:p w:rsidR="00E06FE8" w:rsidRPr="00C50FD1" w:rsidRDefault="00E06FE8">
      <w:pPr>
        <w:rPr>
          <w:lang w:val="pt-BR"/>
        </w:rPr>
      </w:pPr>
    </w:p>
    <w:p w:rsidR="00023FE7" w:rsidRPr="00C50FD1" w:rsidRDefault="00023FE7">
      <w:pPr>
        <w:pStyle w:val="Heading3"/>
        <w:rPr>
          <w:lang w:val="pt-BR"/>
        </w:rPr>
      </w:pPr>
      <w:bookmarkStart w:id="803" w:name="_Toc353470887"/>
      <w:r w:rsidRPr="00C50FD1">
        <w:rPr>
          <w:rFonts w:ascii="Tahoma" w:hAnsi="Tahoma" w:cs="Tahoma"/>
          <w:sz w:val="24"/>
          <w:lang w:val="pt-BR"/>
        </w:rPr>
        <w:t>Backup Passivo para Recuperação de Desastres</w:t>
      </w:r>
      <w:bookmarkEnd w:id="802"/>
      <w:bookmarkEnd w:id="803"/>
      <w:r w:rsidRPr="00C50FD1">
        <w:rPr>
          <w:rFonts w:ascii="Tahoma" w:hAnsi="Tahoma" w:cs="Tahoma"/>
          <w:sz w:val="24"/>
          <w:lang w:val="pt-BR"/>
        </w:rPr>
        <w:t xml:space="preserve"> </w:t>
      </w:r>
    </w:p>
    <w:p w:rsidR="00023FE7" w:rsidRPr="00C50FD1" w:rsidRDefault="00023FE7">
      <w:pPr>
        <w:rPr>
          <w:lang w:val="pt-BR"/>
        </w:rPr>
      </w:pPr>
    </w:p>
    <w:p w:rsidR="008A15A8" w:rsidRPr="00C50FD1" w:rsidRDefault="008A15A8" w:rsidP="00792D1E">
      <w:pPr>
        <w:rPr>
          <w:lang w:val="pt-BR"/>
        </w:rPr>
      </w:pPr>
      <w:r w:rsidRPr="00C50FD1">
        <w:rPr>
          <w:rFonts w:eastAsia="Calibri" w:cs="Tahoma"/>
          <w:szCs w:val="18"/>
          <w:lang w:val="pt-BR"/>
        </w:rPr>
        <w:t>Os clientes com Software Assurance para produtos de servidor qualificados e CALs relacionadas estão qualificados para licenças de servidor complementares desses produtos com fins de recuperação de desastre (DR).</w:t>
      </w:r>
    </w:p>
    <w:p w:rsidR="00792D1E" w:rsidRPr="00C50FD1" w:rsidRDefault="00792D1E" w:rsidP="00792D1E">
      <w:pPr>
        <w:rPr>
          <w:lang w:val="pt-BR"/>
        </w:rPr>
      </w:pPr>
    </w:p>
    <w:p w:rsidR="00023FE7" w:rsidRPr="00C50FD1" w:rsidRDefault="00023FE7" w:rsidP="00792D1E">
      <w:pPr>
        <w:pStyle w:val="AppendixFlushBulletedList"/>
        <w:tabs>
          <w:tab w:val="clear" w:pos="360"/>
          <w:tab w:val="num" w:pos="0"/>
        </w:tabs>
        <w:ind w:left="0" w:firstLine="0"/>
        <w:rPr>
          <w:rFonts w:ascii="Tahoma" w:hAnsi="Tahoma" w:cs="Tahoma"/>
          <w:sz w:val="18"/>
          <w:szCs w:val="18"/>
          <w:lang w:val="pt-BR"/>
        </w:rPr>
      </w:pPr>
      <w:r w:rsidRPr="00C50FD1">
        <w:rPr>
          <w:rFonts w:ascii="Tahoma" w:hAnsi="Tahoma" w:cs="Tahoma"/>
          <w:sz w:val="18"/>
          <w:szCs w:val="18"/>
          <w:lang w:val="pt-BR"/>
        </w:rPr>
        <w:t>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“passivo” apenas para fins de DR</w:t>
      </w:r>
      <w:r w:rsidR="008B0364" w:rsidRPr="00C50FD1">
        <w:rPr>
          <w:rFonts w:ascii="Tahoma" w:hAnsi="Tahoma" w:cs="Tahoma"/>
          <w:sz w:val="18"/>
          <w:szCs w:val="18"/>
          <w:lang w:val="pt-BR"/>
        </w:rPr>
        <w:t> </w:t>
      </w:r>
      <w:r w:rsidRPr="00C50FD1">
        <w:rPr>
          <w:rFonts w:ascii="Tahoma" w:hAnsi="Tahoma" w:cs="Tahoma"/>
          <w:sz w:val="18"/>
          <w:szCs w:val="18"/>
          <w:lang w:val="pt-BR"/>
        </w:rPr>
        <w:t>durante o prazo de sua cobertura do Software Assurance.</w:t>
      </w:r>
      <w:r w:rsidR="005A52A2" w:rsidRPr="00C50FD1">
        <w:rPr>
          <w:rFonts w:ascii="Tahoma" w:hAnsi="Tahoma" w:cs="Tahoma"/>
          <w:sz w:val="18"/>
          <w:szCs w:val="18"/>
          <w:lang w:val="pt-BR"/>
        </w:rPr>
        <w:t xml:space="preserve"> </w:t>
      </w:r>
      <w:r w:rsidRPr="00C50FD1">
        <w:rPr>
          <w:rFonts w:ascii="Tahoma" w:hAnsi="Tahoma" w:cs="Tahoma"/>
          <w:sz w:val="18"/>
          <w:szCs w:val="18"/>
          <w:lang w:val="pt-BR"/>
        </w:rPr>
        <w:t>A implantação e o uso do software sob as licenças de</w:t>
      </w:r>
      <w:r w:rsidR="008B0364" w:rsidRPr="00C50FD1">
        <w:rPr>
          <w:rFonts w:ascii="Tahoma" w:hAnsi="Tahoma" w:cs="Tahoma"/>
          <w:sz w:val="18"/>
          <w:szCs w:val="18"/>
          <w:lang w:val="pt-BR"/>
        </w:rPr>
        <w:t> </w:t>
      </w:r>
      <w:r w:rsidRPr="00C50FD1">
        <w:rPr>
          <w:rFonts w:ascii="Tahoma" w:hAnsi="Tahoma" w:cs="Tahoma"/>
          <w:sz w:val="18"/>
          <w:szCs w:val="18"/>
          <w:lang w:val="pt-BR"/>
        </w:rPr>
        <w:t>DR pelos clientes estão sujeitos aos termos e condições de seus contratos de licença.</w:t>
      </w:r>
    </w:p>
    <w:p w:rsidR="00C277BC" w:rsidRPr="00C50FD1" w:rsidRDefault="00C277BC" w:rsidP="00C277BC">
      <w:pPr>
        <w:rPr>
          <w:lang w:val="pt-BR"/>
        </w:rPr>
      </w:pPr>
      <w:bookmarkStart w:id="804" w:name="_Toc336338240"/>
    </w:p>
    <w:p w:rsidR="00EA20DF" w:rsidRPr="00C50FD1" w:rsidRDefault="00EA20DF" w:rsidP="00C277BC">
      <w:pPr>
        <w:rPr>
          <w:lang w:val="pt-BR"/>
        </w:rPr>
      </w:pPr>
    </w:p>
    <w:p w:rsidR="00EA20DF" w:rsidRPr="00C50FD1" w:rsidRDefault="00EA20DF" w:rsidP="00C277BC">
      <w:pPr>
        <w:rPr>
          <w:lang w:val="pt-BR"/>
        </w:rPr>
      </w:pPr>
    </w:p>
    <w:p w:rsidR="00EA20DF" w:rsidRPr="00C50FD1" w:rsidRDefault="00EA20DF" w:rsidP="00C277BC">
      <w:pPr>
        <w:rPr>
          <w:lang w:val="pt-BR"/>
        </w:rPr>
      </w:pPr>
    </w:p>
    <w:p w:rsidR="00EA20DF" w:rsidRPr="00C50FD1" w:rsidRDefault="00EA20DF" w:rsidP="00C277BC">
      <w:pPr>
        <w:rPr>
          <w:lang w:val="pt-BR"/>
        </w:rPr>
      </w:pPr>
    </w:p>
    <w:p w:rsidR="00EA20DF" w:rsidRPr="00C50FD1" w:rsidRDefault="00EA20DF" w:rsidP="00C277BC">
      <w:pPr>
        <w:rPr>
          <w:lang w:val="pt-BR"/>
        </w:rPr>
      </w:pPr>
    </w:p>
    <w:p w:rsidR="00023FE7" w:rsidRPr="00C50FD1" w:rsidRDefault="00023FE7" w:rsidP="00792D1E">
      <w:pPr>
        <w:pStyle w:val="Heading3"/>
        <w:rPr>
          <w:lang w:val="pt-BR"/>
        </w:rPr>
      </w:pPr>
      <w:bookmarkStart w:id="805" w:name="_Toc353470888"/>
      <w:r w:rsidRPr="00C50FD1">
        <w:rPr>
          <w:rFonts w:ascii="Tahoma" w:hAnsi="Tahoma" w:cs="Tahoma"/>
          <w:sz w:val="24"/>
          <w:lang w:val="pt-BR"/>
        </w:rPr>
        <w:lastRenderedPageBreak/>
        <w:t>Serviços de Assinatura do TechNet SA</w:t>
      </w:r>
      <w:bookmarkEnd w:id="804"/>
      <w:bookmarkEnd w:id="805"/>
    </w:p>
    <w:p w:rsidR="00023FE7" w:rsidRPr="00C50FD1" w:rsidRDefault="00023FE7" w:rsidP="00792D1E">
      <w:pPr>
        <w:rPr>
          <w:lang w:val="pt-BR"/>
        </w:rPr>
      </w:pPr>
    </w:p>
    <w:p w:rsidR="004A4D28" w:rsidRPr="00C50FD1" w:rsidRDefault="00A65414" w:rsidP="00792D1E">
      <w:pPr>
        <w:pStyle w:val="AppendixBodyText"/>
        <w:spacing w:after="0"/>
        <w:rPr>
          <w:lang w:val="pt-BR"/>
        </w:rPr>
      </w:pPr>
      <w:r w:rsidRPr="00C50FD1">
        <w:rPr>
          <w:rFonts w:ascii="Tahoma" w:eastAsia="Calibri" w:hAnsi="Tahoma" w:cs="Tahoma"/>
          <w:sz w:val="18"/>
          <w:szCs w:val="18"/>
          <w:lang w:val="pt-BR"/>
        </w:rPr>
        <w:t xml:space="preserve">Os clientes com Software Assurance para produtos qualificados em qualquer pool de servidores de produtos estão qualificados para o suporte de Serviços de Assinatura do TechNet SA durante o prazo da cobertura do Software Assurance. </w:t>
      </w:r>
      <w:r w:rsidRPr="00C50FD1">
        <w:rPr>
          <w:rFonts w:ascii="Tahoma" w:hAnsi="Tahoma" w:cs="Tahoma"/>
          <w:sz w:val="18"/>
          <w:szCs w:val="18"/>
          <w:lang w:val="pt-BR"/>
        </w:rPr>
        <w:t>Isso fornece aos profissionais de TI respostas a questões técnicas de colegas do setor.</w:t>
      </w:r>
      <w:r w:rsidR="005A52A2" w:rsidRPr="00C50FD1">
        <w:rPr>
          <w:rFonts w:ascii="Tahoma" w:hAnsi="Tahoma" w:cs="Tahoma"/>
          <w:sz w:val="18"/>
          <w:szCs w:val="18"/>
          <w:lang w:val="pt-BR"/>
        </w:rPr>
        <w:t xml:space="preserve"> </w:t>
      </w:r>
      <w:r w:rsidRPr="00C50FD1">
        <w:rPr>
          <w:rFonts w:ascii="Tahoma" w:hAnsi="Tahoma" w:cs="Tahoma"/>
          <w:sz w:val="18"/>
          <w:szCs w:val="18"/>
          <w:lang w:val="pt-BR"/>
        </w:rPr>
        <w:t>Os profissionais de</w:t>
      </w:r>
      <w:r w:rsidR="00532DEC" w:rsidRPr="00C50FD1">
        <w:rPr>
          <w:rFonts w:ascii="Tahoma" w:hAnsi="Tahoma" w:cs="Tahoma"/>
          <w:sz w:val="18"/>
          <w:szCs w:val="18"/>
          <w:lang w:val="pt-BR"/>
        </w:rPr>
        <w:t> </w:t>
      </w:r>
      <w:r w:rsidRPr="00C50FD1">
        <w:rPr>
          <w:rFonts w:ascii="Tahoma" w:hAnsi="Tahoma" w:cs="Tahoma"/>
          <w:sz w:val="18"/>
          <w:szCs w:val="18"/>
          <w:lang w:val="pt-BR"/>
        </w:rPr>
        <w:t>suporte da Microsoft monitoram os grupos de notícias a fim de ajudar a garantir a precisão.</w:t>
      </w:r>
      <w:r w:rsidR="005A52A2" w:rsidRPr="00C50FD1">
        <w:rPr>
          <w:rFonts w:ascii="Tahoma" w:hAnsi="Tahoma" w:cs="Tahoma"/>
          <w:sz w:val="18"/>
          <w:szCs w:val="18"/>
          <w:lang w:val="pt-BR"/>
        </w:rPr>
        <w:t xml:space="preserve"> </w:t>
      </w:r>
      <w:r w:rsidRPr="00C50FD1">
        <w:rPr>
          <w:rFonts w:ascii="Tahoma" w:hAnsi="Tahoma" w:cs="Tahoma"/>
          <w:sz w:val="18"/>
          <w:szCs w:val="18"/>
          <w:lang w:val="pt-BR"/>
        </w:rPr>
        <w:t>Os clientes qualificados recebem IDs de Usuário que fornecem acesso aos serviços online.</w:t>
      </w:r>
      <w:r w:rsidR="005A52A2" w:rsidRPr="00C50FD1">
        <w:rPr>
          <w:rFonts w:ascii="Tahoma" w:hAnsi="Tahoma" w:cs="Tahoma"/>
          <w:sz w:val="18"/>
          <w:szCs w:val="18"/>
          <w:lang w:val="pt-BR"/>
        </w:rPr>
        <w:t xml:space="preserve"> </w:t>
      </w:r>
    </w:p>
    <w:p w:rsidR="00FE5F1D" w:rsidRPr="00C50FD1" w:rsidRDefault="00FE5F1D" w:rsidP="00792D1E">
      <w:pPr>
        <w:pStyle w:val="AppendixBodyText"/>
        <w:spacing w:after="0"/>
        <w:rPr>
          <w:lang w:val="pt-BR"/>
        </w:rPr>
      </w:pPr>
    </w:p>
    <w:p w:rsidR="00023FE7" w:rsidRPr="00C50FD1" w:rsidRDefault="00023FE7" w:rsidP="00792D1E">
      <w:pPr>
        <w:pStyle w:val="AppendixBodyText"/>
        <w:spacing w:after="0"/>
        <w:rPr>
          <w:lang w:val="pt-BR"/>
        </w:rPr>
      </w:pPr>
      <w:r w:rsidRPr="00C50FD1">
        <w:rPr>
          <w:rFonts w:ascii="Tahoma" w:hAnsi="Tahoma" w:cs="Tahoma"/>
          <w:sz w:val="18"/>
          <w:szCs w:val="18"/>
          <w:lang w:val="pt-BR"/>
        </w:rPr>
        <w:t>Os clientes receberão uma ID de Usuário para cada produto qualificado com cobertura do Software Assurance, conforme mostrado a seguir:</w:t>
      </w:r>
    </w:p>
    <w:p w:rsidR="00023FE7" w:rsidRPr="00C50FD1" w:rsidRDefault="00023FE7" w:rsidP="00792D1E">
      <w:pPr>
        <w:pStyle w:val="AppendixBodyText"/>
        <w:spacing w:after="0"/>
        <w:rPr>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653421"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53421" w:rsidRDefault="0036654E">
            <w:pPr>
              <w:pStyle w:val="AppendixTableHeadings"/>
              <w:rPr>
                <w:rFonts w:ascii="Tahoma" w:hAnsi="Tahoma" w:cs="Tahoma"/>
                <w:sz w:val="20"/>
                <w:szCs w:val="20"/>
              </w:rPr>
            </w:pPr>
            <w:r w:rsidRPr="00653421">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53421" w:rsidRDefault="0036654E" w:rsidP="00142F25">
            <w:pPr>
              <w:pStyle w:val="AppendixTableHeadings"/>
              <w:rPr>
                <w:rFonts w:ascii="Tahoma" w:hAnsi="Tahoma" w:cs="Tahoma"/>
                <w:sz w:val="20"/>
                <w:szCs w:val="20"/>
              </w:rPr>
            </w:pPr>
            <w:r w:rsidRPr="00653421">
              <w:rPr>
                <w:rFonts w:ascii="Tahoma" w:hAnsi="Tahoma" w:cs="Tahoma"/>
                <w:sz w:val="20"/>
                <w:szCs w:val="20"/>
              </w:rPr>
              <w:t>Open License, Open Value Subscription – Soluções Educacionais, Open Value e</w:t>
            </w:r>
            <w:r w:rsidR="00142F25" w:rsidRPr="00653421">
              <w:rPr>
                <w:rFonts w:ascii="Tahoma" w:hAnsi="Tahoma" w:cs="Tahoma"/>
                <w:sz w:val="20"/>
                <w:szCs w:val="20"/>
              </w:rPr>
              <w:t> </w:t>
            </w:r>
            <w:r w:rsidRPr="00653421">
              <w:rPr>
                <w:rFonts w:ascii="Tahoma" w:hAnsi="Tahoma" w:cs="Tahoma"/>
                <w:sz w:val="20"/>
                <w:szCs w:val="20"/>
              </w:rPr>
              <w:t>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53421" w:rsidRDefault="0036654E">
            <w:pPr>
              <w:pStyle w:val="AppendixTableHeadings"/>
              <w:rPr>
                <w:rFonts w:ascii="Tahoma" w:hAnsi="Tahoma" w:cs="Tahoma"/>
                <w:sz w:val="20"/>
                <w:szCs w:val="20"/>
              </w:rPr>
            </w:pPr>
            <w:r w:rsidRPr="00653421">
              <w:rPr>
                <w:rFonts w:ascii="Tahoma" w:hAnsi="Tahoma" w:cs="Tahoma"/>
                <w:sz w:val="20"/>
                <w:szCs w:val="20"/>
              </w:rPr>
              <w:t>Select/Select Plus/Contrato Enterprise</w:t>
            </w:r>
          </w:p>
        </w:tc>
      </w:tr>
      <w:tr w:rsidR="0036654E" w:rsidRPr="00C50FD1"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653421" w:rsidRDefault="0036654E">
            <w:pPr>
              <w:pStyle w:val="AppendixTableText"/>
              <w:rPr>
                <w:rFonts w:ascii="Tahoma" w:hAnsi="Tahoma" w:cs="Tahoma"/>
                <w:b/>
              </w:rPr>
            </w:pPr>
            <w:r w:rsidRPr="00653421">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C50FD1" w:rsidRDefault="0036654E" w:rsidP="00A9099B">
            <w:pPr>
              <w:pStyle w:val="AppendixTableText"/>
              <w:rPr>
                <w:lang w:val="pt-BR"/>
              </w:rPr>
            </w:pPr>
            <w:r w:rsidRPr="00C50FD1">
              <w:rPr>
                <w:rFonts w:ascii="Tahoma" w:hAnsi="Tahoma" w:cs="Tahoma"/>
                <w:lang w:val="pt-BR"/>
              </w:rPr>
              <w:t>1 ID de Usuário por</w:t>
            </w:r>
          </w:p>
          <w:p w:rsidR="0036654E" w:rsidRPr="00C50FD1" w:rsidRDefault="0036654E" w:rsidP="00A9099B">
            <w:pPr>
              <w:pStyle w:val="AppendixTableText"/>
              <w:rPr>
                <w:lang w:val="pt-BR"/>
              </w:rPr>
            </w:pPr>
            <w:r w:rsidRPr="00C50FD1">
              <w:rPr>
                <w:rFonts w:ascii="Tahoma" w:hAnsi="Tahoma" w:cs="Tahoma"/>
                <w:lang w:val="pt-BR"/>
              </w:rPr>
              <w:t>Licença de Servidor</w:t>
            </w:r>
          </w:p>
          <w:p w:rsidR="0036654E" w:rsidRPr="00C50FD1" w:rsidRDefault="0036654E">
            <w:pPr>
              <w:pStyle w:val="AppendixTableText"/>
              <w:rPr>
                <w:rFonts w:ascii="Tahoma" w:hAnsi="Tahoma" w:cs="Tahoma"/>
                <w:lang w:val="pt-BR"/>
              </w:rPr>
            </w:pPr>
            <w:r w:rsidRPr="00C50FD1">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C50FD1" w:rsidRDefault="0036654E" w:rsidP="00A9099B">
            <w:pPr>
              <w:pStyle w:val="AppendixTableText"/>
              <w:rPr>
                <w:lang w:val="pt-BR"/>
              </w:rPr>
            </w:pPr>
            <w:r w:rsidRPr="00C50FD1">
              <w:rPr>
                <w:rFonts w:ascii="Tahoma" w:hAnsi="Tahoma" w:cs="Tahoma"/>
                <w:lang w:val="pt-BR"/>
              </w:rPr>
              <w:t>1 ID de Usuário por</w:t>
            </w:r>
          </w:p>
          <w:p w:rsidR="0036654E" w:rsidRPr="00C50FD1" w:rsidRDefault="0036654E">
            <w:pPr>
              <w:pStyle w:val="AppendixTableText"/>
              <w:rPr>
                <w:rFonts w:ascii="Tahoma" w:hAnsi="Tahoma" w:cs="Tahoma"/>
                <w:lang w:val="pt-BR"/>
              </w:rPr>
            </w:pPr>
            <w:r w:rsidRPr="00C50FD1">
              <w:rPr>
                <w:rFonts w:ascii="Tahoma" w:hAnsi="Tahoma" w:cs="Tahoma"/>
                <w:lang w:val="pt-BR"/>
              </w:rPr>
              <w:t>Licença de Servidor</w:t>
            </w:r>
          </w:p>
        </w:tc>
      </w:tr>
    </w:tbl>
    <w:p w:rsidR="00023FE7" w:rsidRPr="00C50FD1" w:rsidRDefault="00023FE7" w:rsidP="00792D1E">
      <w:pPr>
        <w:pStyle w:val="AppendixBodyText"/>
        <w:spacing w:after="0"/>
        <w:rPr>
          <w:lang w:val="pt-BR"/>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62"/>
        <w:gridCol w:w="1206"/>
        <w:gridCol w:w="1359"/>
        <w:gridCol w:w="1251"/>
        <w:gridCol w:w="1224"/>
        <w:gridCol w:w="2079"/>
      </w:tblGrid>
      <w:tr w:rsidR="00142F25" w:rsidRPr="00653421" w:rsidTr="00142F25">
        <w:trPr>
          <w:trHeight w:val="178"/>
        </w:trPr>
        <w:tc>
          <w:tcPr>
            <w:tcW w:w="1269" w:type="dxa"/>
            <w:shd w:val="clear" w:color="auto" w:fill="FFCC99"/>
            <w:vAlign w:val="center"/>
          </w:tcPr>
          <w:p w:rsidR="0043190C" w:rsidRPr="00653421" w:rsidRDefault="0043190C" w:rsidP="002A6416">
            <w:pPr>
              <w:pStyle w:val="AppendixTableHeadings"/>
              <w:keepNext/>
              <w:spacing w:line="240" w:lineRule="auto"/>
              <w:rPr>
                <w:rFonts w:ascii="Tahoma" w:hAnsi="Tahoma" w:cs="Tahoma"/>
                <w:sz w:val="20"/>
                <w:szCs w:val="20"/>
              </w:rPr>
            </w:pPr>
            <w:r w:rsidRPr="00653421">
              <w:rPr>
                <w:rFonts w:ascii="Tahoma" w:hAnsi="Tahoma" w:cs="Tahoma"/>
                <w:sz w:val="20"/>
                <w:szCs w:val="20"/>
              </w:rPr>
              <w:t>Pool de Produtos</w:t>
            </w:r>
          </w:p>
        </w:tc>
        <w:tc>
          <w:tcPr>
            <w:tcW w:w="1062" w:type="dxa"/>
            <w:shd w:val="clear" w:color="auto" w:fill="FFCC99"/>
            <w:vAlign w:val="center"/>
          </w:tcPr>
          <w:p w:rsidR="0043190C" w:rsidRPr="00653421" w:rsidRDefault="0043190C" w:rsidP="002A6416">
            <w:pPr>
              <w:pStyle w:val="AppendixTableHeadings"/>
              <w:keepNext/>
              <w:spacing w:line="240" w:lineRule="auto"/>
              <w:rPr>
                <w:rFonts w:ascii="Tahoma" w:hAnsi="Tahoma" w:cs="Tahoma"/>
                <w:sz w:val="20"/>
                <w:szCs w:val="20"/>
              </w:rPr>
            </w:pPr>
            <w:r w:rsidRPr="00653421">
              <w:rPr>
                <w:rFonts w:ascii="Tahoma" w:hAnsi="Tahoma" w:cs="Tahoma"/>
                <w:sz w:val="20"/>
                <w:szCs w:val="20"/>
              </w:rPr>
              <w:t>Open Value com SAM</w:t>
            </w:r>
          </w:p>
        </w:tc>
        <w:tc>
          <w:tcPr>
            <w:tcW w:w="1206" w:type="dxa"/>
            <w:shd w:val="clear" w:color="auto" w:fill="FFCC99"/>
            <w:vAlign w:val="center"/>
          </w:tcPr>
          <w:p w:rsidR="0043190C" w:rsidRPr="00653421" w:rsidRDefault="0043190C" w:rsidP="002A6416">
            <w:pPr>
              <w:pStyle w:val="AppendixTableHeadings"/>
              <w:keepNext/>
              <w:spacing w:line="240" w:lineRule="auto"/>
            </w:pPr>
            <w:r w:rsidRPr="00653421">
              <w:rPr>
                <w:rFonts w:ascii="Tahoma" w:hAnsi="Tahoma" w:cs="Tahoma"/>
                <w:sz w:val="20"/>
                <w:szCs w:val="20"/>
              </w:rPr>
              <w:t>SAM</w:t>
            </w:r>
          </w:p>
          <w:p w:rsidR="0043190C" w:rsidRPr="00653421" w:rsidRDefault="0043190C" w:rsidP="00142F25">
            <w:pPr>
              <w:pStyle w:val="AppendixTableHeadings"/>
              <w:keepNext/>
              <w:spacing w:line="240" w:lineRule="auto"/>
              <w:rPr>
                <w:rFonts w:ascii="Tahoma" w:hAnsi="Tahoma" w:cs="Tahoma"/>
                <w:sz w:val="20"/>
                <w:szCs w:val="20"/>
              </w:rPr>
            </w:pPr>
            <w:r w:rsidRPr="00653421">
              <w:rPr>
                <w:rFonts w:ascii="Tahoma" w:hAnsi="Tahoma" w:cs="Tahoma"/>
                <w:sz w:val="20"/>
                <w:szCs w:val="20"/>
              </w:rPr>
              <w:t>250-2</w:t>
            </w:r>
            <w:r w:rsidR="00142F25" w:rsidRPr="00653421">
              <w:rPr>
                <w:rFonts w:ascii="Tahoma" w:hAnsi="Tahoma" w:cs="Tahoma"/>
                <w:sz w:val="20"/>
                <w:szCs w:val="20"/>
              </w:rPr>
              <w:t>.</w:t>
            </w:r>
            <w:r w:rsidRPr="00653421">
              <w:rPr>
                <w:rFonts w:ascii="Tahoma" w:hAnsi="Tahoma" w:cs="Tahoma"/>
                <w:sz w:val="20"/>
                <w:szCs w:val="20"/>
              </w:rPr>
              <w:t xml:space="preserve">399 </w:t>
            </w:r>
          </w:p>
        </w:tc>
        <w:tc>
          <w:tcPr>
            <w:tcW w:w="1359" w:type="dxa"/>
            <w:shd w:val="clear" w:color="auto" w:fill="FFCC99"/>
            <w:vAlign w:val="center"/>
          </w:tcPr>
          <w:p w:rsidR="0043190C" w:rsidRPr="00653421" w:rsidRDefault="0043190C" w:rsidP="002A6416">
            <w:pPr>
              <w:pStyle w:val="AppendixTableHeadings"/>
              <w:keepNext/>
              <w:spacing w:line="240" w:lineRule="auto"/>
            </w:pPr>
            <w:r w:rsidRPr="00653421">
              <w:rPr>
                <w:rFonts w:ascii="Tahoma" w:hAnsi="Tahoma" w:cs="Tahoma"/>
                <w:sz w:val="20"/>
                <w:szCs w:val="20"/>
              </w:rPr>
              <w:t>SAM</w:t>
            </w:r>
          </w:p>
          <w:p w:rsidR="0043190C" w:rsidRPr="00653421" w:rsidRDefault="0043190C" w:rsidP="00142F25">
            <w:pPr>
              <w:pStyle w:val="AppendixTableHeadings"/>
              <w:keepNext/>
              <w:spacing w:line="240" w:lineRule="auto"/>
              <w:rPr>
                <w:rFonts w:ascii="Tahoma" w:hAnsi="Tahoma" w:cs="Tahoma"/>
                <w:sz w:val="20"/>
                <w:szCs w:val="20"/>
              </w:rPr>
            </w:pPr>
            <w:r w:rsidRPr="00653421">
              <w:rPr>
                <w:rFonts w:ascii="Tahoma" w:hAnsi="Tahoma" w:cs="Tahoma"/>
                <w:sz w:val="20"/>
                <w:szCs w:val="20"/>
              </w:rPr>
              <w:t>2</w:t>
            </w:r>
            <w:r w:rsidR="00142F25" w:rsidRPr="00653421">
              <w:rPr>
                <w:rFonts w:ascii="Tahoma" w:hAnsi="Tahoma" w:cs="Tahoma"/>
                <w:sz w:val="20"/>
                <w:szCs w:val="20"/>
              </w:rPr>
              <w:t>.</w:t>
            </w:r>
            <w:r w:rsidRPr="00653421">
              <w:rPr>
                <w:rFonts w:ascii="Tahoma" w:hAnsi="Tahoma" w:cs="Tahoma"/>
                <w:sz w:val="20"/>
                <w:szCs w:val="20"/>
              </w:rPr>
              <w:t>400-5</w:t>
            </w:r>
            <w:r w:rsidR="00142F25" w:rsidRPr="00653421">
              <w:rPr>
                <w:rFonts w:ascii="Tahoma" w:hAnsi="Tahoma" w:cs="Tahoma"/>
                <w:sz w:val="20"/>
                <w:szCs w:val="20"/>
              </w:rPr>
              <w:t>.</w:t>
            </w:r>
            <w:r w:rsidRPr="00653421">
              <w:rPr>
                <w:rFonts w:ascii="Tahoma" w:hAnsi="Tahoma" w:cs="Tahoma"/>
                <w:sz w:val="20"/>
                <w:szCs w:val="20"/>
              </w:rPr>
              <w:t>999</w:t>
            </w:r>
          </w:p>
        </w:tc>
        <w:tc>
          <w:tcPr>
            <w:tcW w:w="1251" w:type="dxa"/>
            <w:shd w:val="clear" w:color="auto" w:fill="FFCC99"/>
            <w:vAlign w:val="center"/>
          </w:tcPr>
          <w:p w:rsidR="0043190C" w:rsidRPr="00653421" w:rsidRDefault="0043190C" w:rsidP="002A6416">
            <w:pPr>
              <w:pStyle w:val="AppendixTableHeadings"/>
              <w:keepNext/>
              <w:spacing w:line="240" w:lineRule="auto"/>
            </w:pPr>
            <w:r w:rsidRPr="00653421">
              <w:rPr>
                <w:rFonts w:ascii="Tahoma" w:hAnsi="Tahoma" w:cs="Tahoma"/>
                <w:sz w:val="20"/>
                <w:szCs w:val="20"/>
              </w:rPr>
              <w:t>SAM</w:t>
            </w:r>
          </w:p>
          <w:p w:rsidR="0043190C" w:rsidRPr="00653421" w:rsidRDefault="0043190C" w:rsidP="00142F25">
            <w:pPr>
              <w:pStyle w:val="AppendixTableHeadings"/>
              <w:keepNext/>
              <w:spacing w:line="240" w:lineRule="auto"/>
              <w:rPr>
                <w:rFonts w:ascii="Tahoma" w:hAnsi="Tahoma" w:cs="Tahoma"/>
                <w:sz w:val="20"/>
                <w:szCs w:val="20"/>
              </w:rPr>
            </w:pPr>
            <w:r w:rsidRPr="00653421">
              <w:rPr>
                <w:rFonts w:ascii="Tahoma" w:hAnsi="Tahoma" w:cs="Tahoma"/>
                <w:sz w:val="20"/>
                <w:szCs w:val="20"/>
              </w:rPr>
              <w:t>6</w:t>
            </w:r>
            <w:r w:rsidR="00142F25" w:rsidRPr="00653421">
              <w:rPr>
                <w:rFonts w:ascii="Tahoma" w:hAnsi="Tahoma" w:cs="Tahoma"/>
                <w:sz w:val="20"/>
                <w:szCs w:val="20"/>
              </w:rPr>
              <w:t>.</w:t>
            </w:r>
            <w:r w:rsidRPr="00653421">
              <w:rPr>
                <w:rFonts w:ascii="Tahoma" w:hAnsi="Tahoma" w:cs="Tahoma"/>
                <w:sz w:val="20"/>
                <w:szCs w:val="20"/>
              </w:rPr>
              <w:t>000-14</w:t>
            </w:r>
            <w:r w:rsidR="00142F25" w:rsidRPr="00653421">
              <w:rPr>
                <w:rFonts w:ascii="Tahoma" w:hAnsi="Tahoma" w:cs="Tahoma"/>
                <w:sz w:val="20"/>
                <w:szCs w:val="20"/>
              </w:rPr>
              <w:t>.</w:t>
            </w:r>
            <w:r w:rsidRPr="00653421">
              <w:rPr>
                <w:rFonts w:ascii="Tahoma" w:hAnsi="Tahoma" w:cs="Tahoma"/>
                <w:sz w:val="20"/>
                <w:szCs w:val="20"/>
              </w:rPr>
              <w:t>999</w:t>
            </w:r>
          </w:p>
        </w:tc>
        <w:tc>
          <w:tcPr>
            <w:tcW w:w="1224" w:type="dxa"/>
            <w:shd w:val="clear" w:color="auto" w:fill="FFCC99"/>
            <w:vAlign w:val="center"/>
          </w:tcPr>
          <w:p w:rsidR="0043190C" w:rsidRPr="00653421" w:rsidRDefault="0043190C" w:rsidP="002A6416">
            <w:pPr>
              <w:pStyle w:val="AppendixTableHeadings"/>
              <w:keepNext/>
              <w:spacing w:line="240" w:lineRule="auto"/>
            </w:pPr>
            <w:r w:rsidRPr="00653421">
              <w:rPr>
                <w:rFonts w:ascii="Tahoma" w:hAnsi="Tahoma" w:cs="Tahoma"/>
                <w:sz w:val="20"/>
                <w:szCs w:val="20"/>
              </w:rPr>
              <w:t>SAM</w:t>
            </w:r>
          </w:p>
          <w:p w:rsidR="0043190C" w:rsidRPr="00653421" w:rsidRDefault="0043190C" w:rsidP="00142F25">
            <w:pPr>
              <w:pStyle w:val="AppendixTableHeadings"/>
              <w:keepNext/>
              <w:spacing w:line="240" w:lineRule="auto"/>
              <w:rPr>
                <w:rFonts w:ascii="Tahoma" w:hAnsi="Tahoma" w:cs="Tahoma"/>
                <w:sz w:val="20"/>
                <w:szCs w:val="20"/>
              </w:rPr>
            </w:pPr>
            <w:r w:rsidRPr="00653421">
              <w:rPr>
                <w:rFonts w:ascii="Tahoma" w:hAnsi="Tahoma" w:cs="Tahoma"/>
                <w:sz w:val="20"/>
                <w:szCs w:val="20"/>
              </w:rPr>
              <w:t>15</w:t>
            </w:r>
            <w:r w:rsidR="00142F25" w:rsidRPr="00653421">
              <w:rPr>
                <w:rFonts w:ascii="Tahoma" w:hAnsi="Tahoma" w:cs="Tahoma"/>
                <w:sz w:val="20"/>
                <w:szCs w:val="20"/>
              </w:rPr>
              <w:t>.</w:t>
            </w:r>
            <w:r w:rsidRPr="00653421">
              <w:rPr>
                <w:rFonts w:ascii="Tahoma" w:hAnsi="Tahoma" w:cs="Tahoma"/>
                <w:sz w:val="20"/>
                <w:szCs w:val="20"/>
              </w:rPr>
              <w:t>000+</w:t>
            </w:r>
          </w:p>
        </w:tc>
        <w:tc>
          <w:tcPr>
            <w:tcW w:w="2079" w:type="dxa"/>
            <w:shd w:val="clear" w:color="auto" w:fill="FFCC99"/>
            <w:vAlign w:val="center"/>
          </w:tcPr>
          <w:p w:rsidR="0043190C" w:rsidRPr="00653421" w:rsidRDefault="0043190C" w:rsidP="00142F25">
            <w:pPr>
              <w:pStyle w:val="AppendixTableHeadings"/>
              <w:keepNext/>
              <w:spacing w:line="240" w:lineRule="auto"/>
              <w:rPr>
                <w:rFonts w:ascii="Tahoma" w:hAnsi="Tahoma" w:cs="Tahoma"/>
                <w:sz w:val="20"/>
                <w:szCs w:val="20"/>
              </w:rPr>
            </w:pPr>
            <w:r w:rsidRPr="00653421">
              <w:rPr>
                <w:rFonts w:ascii="Tahoma" w:hAnsi="Tahoma" w:cs="Tahoma"/>
                <w:sz w:val="20"/>
                <w:szCs w:val="20"/>
              </w:rPr>
              <w:t>Academic Select/Select Plus</w:t>
            </w:r>
            <w:r w:rsidR="00142F25" w:rsidRPr="00653421">
              <w:rPr>
                <w:rFonts w:ascii="Tahoma" w:hAnsi="Tahoma" w:cs="Tahoma"/>
                <w:sz w:val="20"/>
                <w:szCs w:val="20"/>
              </w:rPr>
              <w:t> </w:t>
            </w:r>
            <w:r w:rsidRPr="00653421">
              <w:rPr>
                <w:rFonts w:ascii="Tahoma" w:hAnsi="Tahoma" w:cs="Tahoma"/>
                <w:sz w:val="20"/>
                <w:szCs w:val="20"/>
              </w:rPr>
              <w:t>para Academic/Open com SAM</w:t>
            </w:r>
          </w:p>
        </w:tc>
      </w:tr>
      <w:tr w:rsidR="00142F25" w:rsidRPr="00C50FD1" w:rsidTr="00142F25">
        <w:trPr>
          <w:trHeight w:val="236"/>
        </w:trPr>
        <w:tc>
          <w:tcPr>
            <w:tcW w:w="1269" w:type="dxa"/>
            <w:vAlign w:val="center"/>
          </w:tcPr>
          <w:p w:rsidR="0043190C" w:rsidRPr="00653421" w:rsidRDefault="0043190C" w:rsidP="002A6416">
            <w:pPr>
              <w:pStyle w:val="AppendixTableText"/>
              <w:keepNext/>
              <w:spacing w:line="240" w:lineRule="auto"/>
              <w:rPr>
                <w:rFonts w:ascii="Tahoma" w:hAnsi="Tahoma" w:cs="Tahoma"/>
              </w:rPr>
            </w:pPr>
            <w:r w:rsidRPr="00653421">
              <w:rPr>
                <w:rFonts w:ascii="Tahoma" w:hAnsi="Tahoma" w:cs="Tahoma"/>
                <w:b/>
              </w:rPr>
              <w:t>Pool de</w:t>
            </w:r>
            <w:r w:rsidRPr="00653421">
              <w:rPr>
                <w:rFonts w:ascii="Tahoma" w:hAnsi="Tahoma" w:cs="Tahoma"/>
              </w:rPr>
              <w:t xml:space="preserve"> </w:t>
            </w:r>
            <w:r w:rsidRPr="00653421">
              <w:rPr>
                <w:rFonts w:ascii="Tahoma" w:hAnsi="Tahoma" w:cs="Tahoma"/>
                <w:b/>
              </w:rPr>
              <w:t>aplicativos</w:t>
            </w:r>
          </w:p>
        </w:tc>
        <w:tc>
          <w:tcPr>
            <w:tcW w:w="1062" w:type="dxa"/>
            <w:vAlign w:val="center"/>
          </w:tcPr>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1 ID de Usuário por contrato</w:t>
            </w:r>
          </w:p>
        </w:tc>
        <w:tc>
          <w:tcPr>
            <w:tcW w:w="1206" w:type="dxa"/>
            <w:vAlign w:val="center"/>
          </w:tcPr>
          <w:p w:rsidR="0043190C" w:rsidRPr="00C50FD1" w:rsidRDefault="0043190C" w:rsidP="002A6416">
            <w:pPr>
              <w:pStyle w:val="AppendixTableText"/>
              <w:keepNext/>
              <w:spacing w:line="240" w:lineRule="auto"/>
              <w:rPr>
                <w:lang w:val="pt-BR"/>
              </w:rPr>
            </w:pPr>
            <w:r w:rsidRPr="00C50FD1">
              <w:rPr>
                <w:rFonts w:ascii="Tahoma" w:hAnsi="Tahoma" w:cs="Tahoma"/>
                <w:lang w:val="pt-BR"/>
              </w:rPr>
              <w:t>2 IDs de Usuário por</w:t>
            </w:r>
          </w:p>
          <w:p w:rsidR="0043190C" w:rsidRPr="00C50FD1" w:rsidRDefault="0043190C" w:rsidP="002A6416">
            <w:pPr>
              <w:pStyle w:val="AppendixTableText"/>
              <w:keepNext/>
              <w:spacing w:line="240" w:lineRule="auto"/>
              <w:rPr>
                <w:lang w:val="pt-BR"/>
              </w:rPr>
            </w:pPr>
            <w:r w:rsidRPr="00C50FD1">
              <w:rPr>
                <w:rFonts w:ascii="Tahoma" w:hAnsi="Tahoma" w:cs="Tahoma"/>
                <w:lang w:val="pt-BR"/>
              </w:rPr>
              <w:t>Registro</w:t>
            </w:r>
          </w:p>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Qualificado</w:t>
            </w:r>
          </w:p>
        </w:tc>
        <w:tc>
          <w:tcPr>
            <w:tcW w:w="1359" w:type="dxa"/>
            <w:vAlign w:val="center"/>
          </w:tcPr>
          <w:p w:rsidR="0043190C" w:rsidRPr="00C50FD1" w:rsidRDefault="0043190C" w:rsidP="002A6416">
            <w:pPr>
              <w:pStyle w:val="AppendixTableText"/>
              <w:keepNext/>
              <w:spacing w:line="240" w:lineRule="auto"/>
              <w:rPr>
                <w:lang w:val="pt-BR"/>
              </w:rPr>
            </w:pPr>
            <w:r w:rsidRPr="00C50FD1">
              <w:rPr>
                <w:rFonts w:ascii="Tahoma" w:hAnsi="Tahoma" w:cs="Tahoma"/>
                <w:lang w:val="pt-BR"/>
              </w:rPr>
              <w:t>5 IDs de Usuário por</w:t>
            </w:r>
          </w:p>
          <w:p w:rsidR="0043190C" w:rsidRPr="00C50FD1" w:rsidRDefault="0043190C" w:rsidP="002A6416">
            <w:pPr>
              <w:pStyle w:val="AppendixTableText"/>
              <w:keepNext/>
              <w:spacing w:line="240" w:lineRule="auto"/>
              <w:rPr>
                <w:lang w:val="pt-BR"/>
              </w:rPr>
            </w:pPr>
            <w:r w:rsidRPr="00C50FD1">
              <w:rPr>
                <w:rFonts w:ascii="Tahoma" w:hAnsi="Tahoma" w:cs="Tahoma"/>
                <w:lang w:val="pt-BR"/>
              </w:rPr>
              <w:t>Registro</w:t>
            </w:r>
          </w:p>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Qualificado</w:t>
            </w:r>
          </w:p>
        </w:tc>
        <w:tc>
          <w:tcPr>
            <w:tcW w:w="1251" w:type="dxa"/>
            <w:vAlign w:val="center"/>
          </w:tcPr>
          <w:p w:rsidR="0043190C" w:rsidRPr="00C50FD1" w:rsidRDefault="0043190C" w:rsidP="002A6416">
            <w:pPr>
              <w:pStyle w:val="AppendixTableText"/>
              <w:keepNext/>
              <w:spacing w:line="240" w:lineRule="auto"/>
              <w:rPr>
                <w:lang w:val="pt-BR"/>
              </w:rPr>
            </w:pPr>
            <w:r w:rsidRPr="00C50FD1">
              <w:rPr>
                <w:rFonts w:ascii="Tahoma" w:hAnsi="Tahoma" w:cs="Tahoma"/>
                <w:lang w:val="pt-BR"/>
              </w:rPr>
              <w:t>10 IDs de Usuário por</w:t>
            </w:r>
          </w:p>
          <w:p w:rsidR="0043190C" w:rsidRPr="00C50FD1" w:rsidRDefault="0043190C" w:rsidP="002A6416">
            <w:pPr>
              <w:pStyle w:val="AppendixTableText"/>
              <w:keepNext/>
              <w:spacing w:line="240" w:lineRule="auto"/>
              <w:rPr>
                <w:lang w:val="pt-BR"/>
              </w:rPr>
            </w:pPr>
            <w:r w:rsidRPr="00C50FD1">
              <w:rPr>
                <w:rFonts w:ascii="Tahoma" w:hAnsi="Tahoma" w:cs="Tahoma"/>
                <w:lang w:val="pt-BR"/>
              </w:rPr>
              <w:t>Registro</w:t>
            </w:r>
          </w:p>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Qualificado</w:t>
            </w:r>
          </w:p>
        </w:tc>
        <w:tc>
          <w:tcPr>
            <w:tcW w:w="1224" w:type="dxa"/>
            <w:vAlign w:val="center"/>
          </w:tcPr>
          <w:p w:rsidR="0043190C" w:rsidRPr="00C50FD1" w:rsidRDefault="0043190C" w:rsidP="002A6416">
            <w:pPr>
              <w:pStyle w:val="AppendixTableText"/>
              <w:keepNext/>
              <w:spacing w:line="240" w:lineRule="auto"/>
              <w:rPr>
                <w:lang w:val="pt-BR"/>
              </w:rPr>
            </w:pPr>
            <w:r w:rsidRPr="00C50FD1">
              <w:rPr>
                <w:rFonts w:ascii="Tahoma" w:hAnsi="Tahoma" w:cs="Tahoma"/>
                <w:lang w:val="pt-BR"/>
              </w:rPr>
              <w:t>20 IDs de Usuário por</w:t>
            </w:r>
          </w:p>
          <w:p w:rsidR="0043190C" w:rsidRPr="00C50FD1" w:rsidRDefault="0043190C" w:rsidP="002A6416">
            <w:pPr>
              <w:pStyle w:val="AppendixTableText"/>
              <w:keepNext/>
              <w:spacing w:line="240" w:lineRule="auto"/>
              <w:rPr>
                <w:lang w:val="pt-BR"/>
              </w:rPr>
            </w:pPr>
            <w:r w:rsidRPr="00C50FD1">
              <w:rPr>
                <w:rFonts w:ascii="Tahoma" w:hAnsi="Tahoma" w:cs="Tahoma"/>
                <w:lang w:val="pt-BR"/>
              </w:rPr>
              <w:t>Registro</w:t>
            </w:r>
          </w:p>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Qualificado</w:t>
            </w:r>
          </w:p>
        </w:tc>
        <w:tc>
          <w:tcPr>
            <w:tcW w:w="2079" w:type="dxa"/>
            <w:vAlign w:val="center"/>
          </w:tcPr>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1 ID de Usuário por registro/contrato</w:t>
            </w:r>
          </w:p>
        </w:tc>
      </w:tr>
      <w:tr w:rsidR="00142F25" w:rsidRPr="00C50FD1" w:rsidTr="00142F25">
        <w:trPr>
          <w:trHeight w:val="236"/>
        </w:trPr>
        <w:tc>
          <w:tcPr>
            <w:tcW w:w="1269" w:type="dxa"/>
            <w:vAlign w:val="center"/>
          </w:tcPr>
          <w:p w:rsidR="0043190C" w:rsidRPr="00653421" w:rsidRDefault="0043190C" w:rsidP="002A6416">
            <w:pPr>
              <w:pStyle w:val="AppendixTableText"/>
              <w:keepNext/>
              <w:spacing w:line="240" w:lineRule="auto"/>
              <w:rPr>
                <w:rFonts w:ascii="Tahoma" w:hAnsi="Tahoma" w:cs="Tahoma"/>
              </w:rPr>
            </w:pPr>
            <w:r w:rsidRPr="00653421">
              <w:rPr>
                <w:rFonts w:ascii="Tahoma" w:hAnsi="Tahoma" w:cs="Tahoma"/>
                <w:b/>
              </w:rPr>
              <w:t>Pool de</w:t>
            </w:r>
            <w:r w:rsidRPr="00653421">
              <w:rPr>
                <w:rFonts w:ascii="Tahoma" w:hAnsi="Tahoma" w:cs="Tahoma"/>
              </w:rPr>
              <w:t xml:space="preserve"> </w:t>
            </w:r>
            <w:r w:rsidRPr="00653421">
              <w:rPr>
                <w:rFonts w:ascii="Tahoma" w:hAnsi="Tahoma" w:cs="Tahoma"/>
                <w:b/>
              </w:rPr>
              <w:t>sistemas</w:t>
            </w:r>
          </w:p>
        </w:tc>
        <w:tc>
          <w:tcPr>
            <w:tcW w:w="1062" w:type="dxa"/>
            <w:vAlign w:val="center"/>
          </w:tcPr>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1 ID de Usuário por contrato</w:t>
            </w:r>
          </w:p>
        </w:tc>
        <w:tc>
          <w:tcPr>
            <w:tcW w:w="1206" w:type="dxa"/>
            <w:vAlign w:val="center"/>
          </w:tcPr>
          <w:p w:rsidR="0043190C" w:rsidRPr="00C50FD1" w:rsidRDefault="0043190C" w:rsidP="002A6416">
            <w:pPr>
              <w:pStyle w:val="AppendixTableText"/>
              <w:keepNext/>
              <w:spacing w:line="240" w:lineRule="auto"/>
              <w:rPr>
                <w:lang w:val="pt-BR"/>
              </w:rPr>
            </w:pPr>
            <w:r w:rsidRPr="00C50FD1">
              <w:rPr>
                <w:rFonts w:ascii="Tahoma" w:hAnsi="Tahoma" w:cs="Tahoma"/>
                <w:lang w:val="pt-BR"/>
              </w:rPr>
              <w:t>2 IDs de Usuário por</w:t>
            </w:r>
          </w:p>
          <w:p w:rsidR="0043190C" w:rsidRPr="00C50FD1" w:rsidRDefault="0043190C" w:rsidP="002A6416">
            <w:pPr>
              <w:pStyle w:val="AppendixTableText"/>
              <w:keepNext/>
              <w:spacing w:line="240" w:lineRule="auto"/>
              <w:rPr>
                <w:lang w:val="pt-BR"/>
              </w:rPr>
            </w:pPr>
            <w:r w:rsidRPr="00C50FD1">
              <w:rPr>
                <w:rFonts w:ascii="Tahoma" w:hAnsi="Tahoma" w:cs="Tahoma"/>
                <w:lang w:val="pt-BR"/>
              </w:rPr>
              <w:t>Registro</w:t>
            </w:r>
          </w:p>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Qualificado</w:t>
            </w:r>
          </w:p>
        </w:tc>
        <w:tc>
          <w:tcPr>
            <w:tcW w:w="1359" w:type="dxa"/>
            <w:vAlign w:val="center"/>
          </w:tcPr>
          <w:p w:rsidR="0043190C" w:rsidRPr="00C50FD1" w:rsidRDefault="00F30075" w:rsidP="002A6416">
            <w:pPr>
              <w:pStyle w:val="AppendixTableText"/>
              <w:keepNext/>
              <w:spacing w:line="240" w:lineRule="auto"/>
              <w:rPr>
                <w:lang w:val="pt-BR"/>
              </w:rPr>
            </w:pPr>
            <w:r w:rsidRPr="00C50FD1">
              <w:rPr>
                <w:rFonts w:ascii="Tahoma" w:hAnsi="Tahoma" w:cs="Tahoma"/>
                <w:lang w:val="pt-BR"/>
              </w:rPr>
              <w:t>3 IDs de Usuário por</w:t>
            </w:r>
          </w:p>
          <w:p w:rsidR="0043190C" w:rsidRPr="00C50FD1" w:rsidRDefault="0043190C" w:rsidP="002A6416">
            <w:pPr>
              <w:pStyle w:val="AppendixTableText"/>
              <w:keepNext/>
              <w:spacing w:line="240" w:lineRule="auto"/>
              <w:rPr>
                <w:lang w:val="pt-BR"/>
              </w:rPr>
            </w:pPr>
            <w:r w:rsidRPr="00C50FD1">
              <w:rPr>
                <w:rFonts w:ascii="Tahoma" w:hAnsi="Tahoma" w:cs="Tahoma"/>
                <w:lang w:val="pt-BR"/>
              </w:rPr>
              <w:t>Registro</w:t>
            </w:r>
          </w:p>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Qualificado</w:t>
            </w:r>
          </w:p>
        </w:tc>
        <w:tc>
          <w:tcPr>
            <w:tcW w:w="1251" w:type="dxa"/>
            <w:vAlign w:val="center"/>
          </w:tcPr>
          <w:p w:rsidR="0043190C" w:rsidRPr="00C50FD1" w:rsidRDefault="00F30075" w:rsidP="002A6416">
            <w:pPr>
              <w:pStyle w:val="AppendixTableText"/>
              <w:keepNext/>
              <w:spacing w:line="240" w:lineRule="auto"/>
              <w:rPr>
                <w:lang w:val="pt-BR"/>
              </w:rPr>
            </w:pPr>
            <w:r w:rsidRPr="00C50FD1">
              <w:rPr>
                <w:rFonts w:ascii="Tahoma" w:hAnsi="Tahoma" w:cs="Tahoma"/>
                <w:lang w:val="pt-BR"/>
              </w:rPr>
              <w:t>5 IDs de Usuário por</w:t>
            </w:r>
          </w:p>
          <w:p w:rsidR="0043190C" w:rsidRPr="00C50FD1" w:rsidRDefault="0043190C" w:rsidP="002A6416">
            <w:pPr>
              <w:pStyle w:val="AppendixTableText"/>
              <w:keepNext/>
              <w:spacing w:line="240" w:lineRule="auto"/>
              <w:rPr>
                <w:lang w:val="pt-BR"/>
              </w:rPr>
            </w:pPr>
            <w:r w:rsidRPr="00C50FD1">
              <w:rPr>
                <w:rFonts w:ascii="Tahoma" w:hAnsi="Tahoma" w:cs="Tahoma"/>
                <w:lang w:val="pt-BR"/>
              </w:rPr>
              <w:t>Registro</w:t>
            </w:r>
          </w:p>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Qualificado</w:t>
            </w:r>
          </w:p>
        </w:tc>
        <w:tc>
          <w:tcPr>
            <w:tcW w:w="1224" w:type="dxa"/>
            <w:vAlign w:val="center"/>
          </w:tcPr>
          <w:p w:rsidR="0043190C" w:rsidRPr="00C50FD1" w:rsidRDefault="00F30075" w:rsidP="002A6416">
            <w:pPr>
              <w:pStyle w:val="AppendixTableText"/>
              <w:keepNext/>
              <w:spacing w:line="240" w:lineRule="auto"/>
              <w:rPr>
                <w:lang w:val="pt-BR"/>
              </w:rPr>
            </w:pPr>
            <w:r w:rsidRPr="00C50FD1">
              <w:rPr>
                <w:rFonts w:ascii="Tahoma" w:hAnsi="Tahoma" w:cs="Tahoma"/>
                <w:lang w:val="pt-BR"/>
              </w:rPr>
              <w:t>10 IDs de Usuário por</w:t>
            </w:r>
          </w:p>
          <w:p w:rsidR="0043190C" w:rsidRPr="00C50FD1" w:rsidRDefault="0043190C" w:rsidP="002A6416">
            <w:pPr>
              <w:pStyle w:val="AppendixTableText"/>
              <w:keepNext/>
              <w:spacing w:line="240" w:lineRule="auto"/>
              <w:rPr>
                <w:lang w:val="pt-BR"/>
              </w:rPr>
            </w:pPr>
            <w:r w:rsidRPr="00C50FD1">
              <w:rPr>
                <w:rFonts w:ascii="Tahoma" w:hAnsi="Tahoma" w:cs="Tahoma"/>
                <w:lang w:val="pt-BR"/>
              </w:rPr>
              <w:t>Registro</w:t>
            </w:r>
          </w:p>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Qualificado</w:t>
            </w:r>
          </w:p>
        </w:tc>
        <w:tc>
          <w:tcPr>
            <w:tcW w:w="2079" w:type="dxa"/>
            <w:vAlign w:val="center"/>
          </w:tcPr>
          <w:p w:rsidR="0043190C" w:rsidRPr="00C50FD1" w:rsidRDefault="0043190C" w:rsidP="002A6416">
            <w:pPr>
              <w:pStyle w:val="AppendixTableText"/>
              <w:keepNext/>
              <w:spacing w:line="240" w:lineRule="auto"/>
              <w:rPr>
                <w:rFonts w:ascii="Tahoma" w:hAnsi="Tahoma" w:cs="Tahoma"/>
                <w:lang w:val="pt-BR"/>
              </w:rPr>
            </w:pPr>
            <w:r w:rsidRPr="00C50FD1">
              <w:rPr>
                <w:rFonts w:ascii="Tahoma" w:hAnsi="Tahoma" w:cs="Tahoma"/>
                <w:lang w:val="pt-BR"/>
              </w:rPr>
              <w:t>1 ID de Usuário por registro/contrato</w:t>
            </w:r>
          </w:p>
        </w:tc>
      </w:tr>
    </w:tbl>
    <w:p w:rsidR="009D26EE" w:rsidRPr="00C50FD1" w:rsidRDefault="009D26EE" w:rsidP="00792D1E">
      <w:pPr>
        <w:pStyle w:val="AppendixFlushBulletedList"/>
        <w:tabs>
          <w:tab w:val="clear" w:pos="360"/>
          <w:tab w:val="num" w:pos="0"/>
        </w:tabs>
        <w:ind w:left="0" w:firstLine="0"/>
        <w:rPr>
          <w:lang w:val="pt-BR"/>
        </w:rPr>
      </w:pPr>
      <w:r w:rsidRPr="00C50FD1">
        <w:rPr>
          <w:rFonts w:ascii="Tahoma" w:hAnsi="Tahoma" w:cs="Tahoma"/>
          <w:sz w:val="18"/>
          <w:szCs w:val="18"/>
          <w:lang w:val="pt-BR"/>
        </w:rPr>
        <w:t>Cada ID de Usuário qualifica um indivíduo para registrar e obter acesso ao site de serviços online apenas para</w:t>
      </w:r>
      <w:r w:rsidR="00142F25" w:rsidRPr="00C50FD1">
        <w:rPr>
          <w:rFonts w:ascii="Tahoma" w:hAnsi="Tahoma" w:cs="Tahoma"/>
          <w:sz w:val="18"/>
          <w:szCs w:val="18"/>
          <w:lang w:val="pt-BR"/>
        </w:rPr>
        <w:t> </w:t>
      </w:r>
      <w:r w:rsidRPr="00C50FD1">
        <w:rPr>
          <w:rFonts w:ascii="Tahoma" w:hAnsi="Tahoma" w:cs="Tahoma"/>
          <w:sz w:val="18"/>
          <w:szCs w:val="18"/>
          <w:lang w:val="pt-BR"/>
        </w:rPr>
        <w:t>Assinantes, o que inclui, mas não se limita a: Atendimento via Chat, Grupos de Notícias Gerenciados e</w:t>
      </w:r>
      <w:r w:rsidR="00142F25" w:rsidRPr="00C50FD1">
        <w:rPr>
          <w:rFonts w:ascii="Tahoma" w:hAnsi="Tahoma" w:cs="Tahoma"/>
          <w:sz w:val="18"/>
          <w:szCs w:val="18"/>
          <w:lang w:val="pt-BR"/>
        </w:rPr>
        <w:t> </w:t>
      </w:r>
      <w:r w:rsidRPr="00C50FD1">
        <w:rPr>
          <w:rFonts w:ascii="Tahoma" w:hAnsi="Tahoma" w:cs="Tahoma"/>
          <w:sz w:val="18"/>
          <w:szCs w:val="18"/>
          <w:lang w:val="pt-BR"/>
        </w:rPr>
        <w:t>conteúdos premium.</w:t>
      </w:r>
    </w:p>
    <w:p w:rsidR="00792D1E" w:rsidRPr="00C50FD1" w:rsidRDefault="00792D1E" w:rsidP="00792D1E">
      <w:pPr>
        <w:pStyle w:val="AppendixFlushBulletedList"/>
        <w:tabs>
          <w:tab w:val="clear" w:pos="360"/>
          <w:tab w:val="num" w:pos="0"/>
        </w:tabs>
        <w:ind w:left="0" w:firstLine="0"/>
        <w:rPr>
          <w:lang w:val="pt-BR"/>
        </w:rPr>
      </w:pPr>
    </w:p>
    <w:p w:rsidR="008C0608" w:rsidRPr="00C50FD1" w:rsidRDefault="008C0608" w:rsidP="00792D1E">
      <w:pPr>
        <w:pStyle w:val="AppendixFlushBulletedList"/>
        <w:tabs>
          <w:tab w:val="clear" w:pos="360"/>
          <w:tab w:val="num" w:pos="0"/>
        </w:tabs>
        <w:ind w:left="0" w:firstLine="0"/>
        <w:rPr>
          <w:lang w:val="pt-BR"/>
        </w:rPr>
      </w:pPr>
      <w:r w:rsidRPr="00C50FD1">
        <w:rPr>
          <w:rFonts w:ascii="Tahoma" w:hAnsi="Tahoma" w:cs="Tahoma"/>
          <w:sz w:val="18"/>
          <w:szCs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rsidR="00792D1E" w:rsidRPr="00C50FD1" w:rsidRDefault="00792D1E" w:rsidP="00792D1E">
      <w:pPr>
        <w:pStyle w:val="AppendixFlushBulletedList"/>
        <w:tabs>
          <w:tab w:val="clear" w:pos="360"/>
          <w:tab w:val="num" w:pos="0"/>
        </w:tabs>
        <w:ind w:left="0" w:firstLine="0"/>
        <w:rPr>
          <w:lang w:val="pt-BR"/>
        </w:rPr>
      </w:pPr>
    </w:p>
    <w:p w:rsidR="00023FE7" w:rsidRPr="00C50FD1" w:rsidRDefault="009D26EE" w:rsidP="00792D1E">
      <w:pPr>
        <w:pStyle w:val="AppendixBodyText"/>
        <w:spacing w:after="0"/>
        <w:rPr>
          <w:lang w:val="pt-BR"/>
        </w:rPr>
      </w:pPr>
      <w:r w:rsidRPr="00C50FD1">
        <w:rPr>
          <w:rFonts w:ascii="Tahoma" w:hAnsi="Tahoma" w:cs="Tahoma"/>
          <w:sz w:val="18"/>
          <w:szCs w:val="18"/>
          <w:lang w:val="pt-BR"/>
        </w:rPr>
        <w:t>O uso de software dos Serviços de Assinatura do TechNet SA pelos clientes está sujeito aos termos e condições de seu contrato de licença.</w:t>
      </w:r>
    </w:p>
    <w:p w:rsidR="00142F25" w:rsidRPr="00C50FD1" w:rsidRDefault="00142F25" w:rsidP="00142F25">
      <w:pPr>
        <w:rPr>
          <w:lang w:val="pt-BR"/>
        </w:rPr>
      </w:pPr>
    </w:p>
    <w:p w:rsidR="00023FE7" w:rsidRPr="00C50FD1" w:rsidRDefault="00023FE7" w:rsidP="00F0652C">
      <w:pPr>
        <w:pStyle w:val="Heading3"/>
        <w:rPr>
          <w:lang w:val="pt-BR"/>
        </w:rPr>
      </w:pPr>
      <w:bookmarkStart w:id="806" w:name="_Toc336338241"/>
      <w:bookmarkStart w:id="807" w:name="_Toc353470889"/>
      <w:r w:rsidRPr="00C50FD1">
        <w:rPr>
          <w:rFonts w:ascii="Tahoma" w:hAnsi="Tahoma"/>
          <w:sz w:val="24"/>
          <w:lang w:val="pt-BR"/>
        </w:rPr>
        <w:t>TechNet Plus Direct</w:t>
      </w:r>
      <w:bookmarkEnd w:id="806"/>
      <w:bookmarkEnd w:id="807"/>
    </w:p>
    <w:p w:rsidR="00F0652C" w:rsidRPr="00C50FD1" w:rsidRDefault="00F0652C" w:rsidP="002C7EF6">
      <w:pPr>
        <w:spacing w:line="180" w:lineRule="exact"/>
        <w:rPr>
          <w:lang w:val="pt-BR"/>
        </w:rPr>
      </w:pPr>
    </w:p>
    <w:p w:rsidR="00792D1E" w:rsidRPr="00653421" w:rsidRDefault="00A65414" w:rsidP="00792D1E">
      <w:pPr>
        <w:pStyle w:val="AppendixBodyText"/>
        <w:spacing w:after="0"/>
      </w:pPr>
      <w:r w:rsidRPr="00C50FD1">
        <w:rPr>
          <w:rFonts w:ascii="Tahoma" w:hAnsi="Tahoma" w:cs="Tahoma"/>
          <w:sz w:val="18"/>
          <w:szCs w:val="18"/>
          <w:lang w:val="pt-BR"/>
        </w:rPr>
        <w:t>Os clientes com Software Assurance para produtos qualificados no pool de servidores estão qualificados para uma Assinatura do TechNet Plus Direct durante o prazo de suas coberturas do Software Assurance.</w:t>
      </w:r>
      <w:r w:rsidR="005A52A2" w:rsidRPr="00C50FD1">
        <w:rPr>
          <w:rFonts w:ascii="Tahoma" w:hAnsi="Tahoma" w:cs="Tahoma"/>
          <w:sz w:val="18"/>
          <w:szCs w:val="18"/>
          <w:lang w:val="pt-BR"/>
        </w:rPr>
        <w:t xml:space="preserve"> </w:t>
      </w:r>
      <w:r w:rsidRPr="00C50FD1">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005A52A2" w:rsidRPr="00C50FD1">
        <w:rPr>
          <w:rFonts w:ascii="Tahoma" w:hAnsi="Tahoma" w:cs="Tahoma"/>
          <w:sz w:val="18"/>
          <w:szCs w:val="18"/>
          <w:lang w:val="pt-BR"/>
        </w:rPr>
        <w:t xml:space="preserve"> </w:t>
      </w:r>
      <w:r w:rsidRPr="00653421">
        <w:rPr>
          <w:rFonts w:ascii="Tahoma" w:hAnsi="Tahoma" w:cs="Tahoma"/>
          <w:sz w:val="18"/>
          <w:szCs w:val="18"/>
        </w:rPr>
        <w:t>Além disso, os clientes também receberão os seguintes benefícios:</w:t>
      </w:r>
    </w:p>
    <w:p w:rsidR="00023FE7" w:rsidRPr="00653421" w:rsidRDefault="00023FE7" w:rsidP="002C7EF6">
      <w:pPr>
        <w:pStyle w:val="AppendixBodyText"/>
        <w:spacing w:after="0" w:line="180" w:lineRule="exact"/>
        <w:rPr>
          <w:rFonts w:ascii="Tahoma" w:hAnsi="Tahoma" w:cs="Tahoma"/>
          <w:sz w:val="18"/>
          <w:szCs w:val="18"/>
        </w:rPr>
      </w:pPr>
    </w:p>
    <w:p w:rsidR="00023FE7" w:rsidRPr="00C50FD1" w:rsidRDefault="00023FE7" w:rsidP="002C1048">
      <w:pPr>
        <w:pStyle w:val="AppendixFlushBulletedList"/>
        <w:numPr>
          <w:ilvl w:val="0"/>
          <w:numId w:val="137"/>
        </w:numPr>
        <w:spacing w:after="60"/>
        <w:ind w:left="1440"/>
        <w:rPr>
          <w:lang w:val="pt-BR"/>
        </w:rPr>
      </w:pPr>
      <w:r w:rsidRPr="00C50FD1">
        <w:rPr>
          <w:rFonts w:ascii="Tahoma" w:hAnsi="Tahoma" w:cs="Tahoma"/>
          <w:sz w:val="18"/>
          <w:szCs w:val="18"/>
          <w:lang w:val="pt-BR"/>
        </w:rPr>
        <w:t xml:space="preserve">Acesso para baixar softwares de versão completa licenciados para fins de avaliação; inclui sistemas operacionais e servidores da Microsoft e software do Office System. </w:t>
      </w:r>
    </w:p>
    <w:p w:rsidR="00023FE7" w:rsidRPr="00C50FD1" w:rsidRDefault="00023FE7" w:rsidP="002C1048">
      <w:pPr>
        <w:pStyle w:val="AppendixFlushBulletedList"/>
        <w:numPr>
          <w:ilvl w:val="0"/>
          <w:numId w:val="137"/>
        </w:numPr>
        <w:spacing w:after="60"/>
        <w:ind w:left="1440"/>
        <w:rPr>
          <w:lang w:val="pt-BR"/>
        </w:rPr>
      </w:pPr>
      <w:r w:rsidRPr="00C50FD1">
        <w:rPr>
          <w:rFonts w:ascii="Tahoma" w:hAnsi="Tahoma" w:cs="Tahoma"/>
          <w:sz w:val="18"/>
          <w:szCs w:val="18"/>
          <w:lang w:val="pt-BR"/>
        </w:rPr>
        <w:t xml:space="preserve">Acesso para baixar software Beta — versões de pré-lançamento de software da Microsoft </w:t>
      </w:r>
    </w:p>
    <w:p w:rsidR="00023FE7" w:rsidRPr="00C50FD1" w:rsidRDefault="00023FE7" w:rsidP="002C1048">
      <w:pPr>
        <w:pStyle w:val="AppendixFlushBulletedList"/>
        <w:numPr>
          <w:ilvl w:val="0"/>
          <w:numId w:val="137"/>
        </w:numPr>
        <w:spacing w:after="60"/>
        <w:ind w:left="1440"/>
        <w:rPr>
          <w:lang w:val="pt-BR"/>
        </w:rPr>
      </w:pPr>
      <w:r w:rsidRPr="00C50FD1">
        <w:rPr>
          <w:rFonts w:ascii="Tahoma" w:hAnsi="Tahoma" w:cs="Tahoma"/>
          <w:sz w:val="18"/>
          <w:szCs w:val="18"/>
          <w:lang w:val="pt-BR"/>
        </w:rPr>
        <w:lastRenderedPageBreak/>
        <w:t xml:space="preserve">Dois (2) incidentes de suporte técnico complementares por ano e 20% de desconto para incidentes de suporte por telefone adicionais adquiridos por um cliente. </w:t>
      </w:r>
    </w:p>
    <w:p w:rsidR="00023FE7" w:rsidRPr="00C50FD1" w:rsidRDefault="00023FE7" w:rsidP="002C1048">
      <w:pPr>
        <w:pStyle w:val="AppendixFlushBulletedList"/>
        <w:numPr>
          <w:ilvl w:val="0"/>
          <w:numId w:val="137"/>
        </w:numPr>
        <w:spacing w:after="60"/>
        <w:ind w:left="1440"/>
        <w:rPr>
          <w:lang w:val="pt-BR"/>
        </w:rPr>
      </w:pPr>
      <w:r w:rsidRPr="00C50FD1">
        <w:rPr>
          <w:rFonts w:ascii="Tahoma" w:hAnsi="Tahoma" w:cs="Tahoma"/>
          <w:sz w:val="18"/>
          <w:szCs w:val="18"/>
          <w:lang w:val="pt-BR"/>
        </w:rPr>
        <w:t xml:space="preserve">Suporte a Grupos de Notícias Gerenciados Ilimitado e serviço de Atendimento via Chat. </w:t>
      </w:r>
    </w:p>
    <w:p w:rsidR="00023FE7" w:rsidRPr="00C50FD1" w:rsidRDefault="00023FE7" w:rsidP="002C7EF6">
      <w:pPr>
        <w:pStyle w:val="AppendixBodyText"/>
        <w:spacing w:after="0" w:line="180" w:lineRule="exact"/>
        <w:rPr>
          <w:rFonts w:ascii="Tahoma" w:hAnsi="Tahoma" w:cs="Tahoma"/>
          <w:sz w:val="18"/>
          <w:szCs w:val="18"/>
          <w:lang w:val="pt-BR"/>
        </w:rPr>
      </w:pPr>
    </w:p>
    <w:p w:rsidR="00023FE7" w:rsidRPr="00C50FD1" w:rsidRDefault="00023FE7" w:rsidP="00792D1E">
      <w:pPr>
        <w:pStyle w:val="AppendixBodyText"/>
        <w:spacing w:after="0"/>
        <w:rPr>
          <w:lang w:val="pt-BR"/>
        </w:rPr>
      </w:pPr>
      <w:r w:rsidRPr="00C50FD1">
        <w:rPr>
          <w:rFonts w:ascii="Tahoma" w:hAnsi="Tahoma" w:cs="Tahoma"/>
          <w:sz w:val="18"/>
          <w:szCs w:val="18"/>
          <w:lang w:val="pt-BR"/>
        </w:rPr>
        <w:t>Os clientes qualificados recebem uma assinatura por registro qualificado, conforme mostrado a seguir:</w:t>
      </w:r>
    </w:p>
    <w:p w:rsidR="00023FE7" w:rsidRPr="00C50FD1" w:rsidRDefault="00023FE7" w:rsidP="002C7EF6">
      <w:pPr>
        <w:pStyle w:val="AppendixBodyText"/>
        <w:tabs>
          <w:tab w:val="left" w:pos="1425"/>
        </w:tabs>
        <w:spacing w:after="0" w:line="180" w:lineRule="exact"/>
        <w:rPr>
          <w:rFonts w:ascii="Tahoma" w:hAnsi="Tahoma" w:cs="Tahoma"/>
          <w:sz w:val="18"/>
          <w:szCs w:val="18"/>
          <w:lang w:val="pt-BR"/>
        </w:rPr>
      </w:pPr>
    </w:p>
    <w:tbl>
      <w:tblPr>
        <w:tblW w:w="9459" w:type="dxa"/>
        <w:tblInd w:w="99" w:type="dxa"/>
        <w:tblCellMar>
          <w:left w:w="0" w:type="dxa"/>
          <w:right w:w="0" w:type="dxa"/>
        </w:tblCellMar>
        <w:tblLook w:val="0000" w:firstRow="0" w:lastRow="0" w:firstColumn="0" w:lastColumn="0" w:noHBand="0" w:noVBand="0"/>
      </w:tblPr>
      <w:tblGrid>
        <w:gridCol w:w="1246"/>
        <w:gridCol w:w="1004"/>
        <w:gridCol w:w="2160"/>
        <w:gridCol w:w="2250"/>
        <w:gridCol w:w="2799"/>
      </w:tblGrid>
      <w:tr w:rsidR="00270612" w:rsidRPr="00653421" w:rsidTr="005615BC">
        <w:trPr>
          <w:trHeight w:val="460"/>
        </w:trPr>
        <w:tc>
          <w:tcPr>
            <w:tcW w:w="1246"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53421" w:rsidRDefault="00270612" w:rsidP="00CA4488">
            <w:pPr>
              <w:jc w:val="center"/>
              <w:rPr>
                <w:rFonts w:cs="Tahoma"/>
                <w:b/>
                <w:bCs/>
                <w:color w:val="000000"/>
                <w:sz w:val="20"/>
                <w:szCs w:val="20"/>
                <w:highlight w:val="yellow"/>
              </w:rPr>
            </w:pPr>
            <w:r w:rsidRPr="00653421">
              <w:rPr>
                <w:rFonts w:cs="Tahoma"/>
                <w:b/>
                <w:bCs/>
                <w:color w:val="000000"/>
                <w:sz w:val="20"/>
                <w:szCs w:val="20"/>
              </w:rPr>
              <w:t>Produto</w:t>
            </w:r>
          </w:p>
        </w:tc>
        <w:tc>
          <w:tcPr>
            <w:tcW w:w="100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53421" w:rsidRDefault="00270612" w:rsidP="00CA4488">
            <w:pPr>
              <w:jc w:val="center"/>
              <w:rPr>
                <w:rFonts w:cs="Tahoma"/>
                <w:b/>
                <w:bCs/>
                <w:color w:val="000000"/>
                <w:sz w:val="20"/>
                <w:szCs w:val="20"/>
                <w:highlight w:val="yellow"/>
              </w:rPr>
            </w:pPr>
            <w:r w:rsidRPr="00653421">
              <w:rPr>
                <w:rFonts w:cs="Tahoma"/>
                <w:b/>
                <w:bCs/>
                <w:color w:val="000000"/>
                <w:sz w:val="20"/>
                <w:szCs w:val="20"/>
              </w:rPr>
              <w:t>Licença Open</w:t>
            </w:r>
          </w:p>
        </w:tc>
        <w:tc>
          <w:tcPr>
            <w:tcW w:w="216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53421" w:rsidRDefault="00270612" w:rsidP="00CA4488">
            <w:pPr>
              <w:jc w:val="center"/>
              <w:rPr>
                <w:rFonts w:cs="Tahoma"/>
                <w:b/>
                <w:bCs/>
                <w:color w:val="000000"/>
                <w:sz w:val="20"/>
                <w:szCs w:val="20"/>
                <w:highlight w:val="yellow"/>
              </w:rPr>
            </w:pPr>
            <w:r w:rsidRPr="00653421">
              <w:rPr>
                <w:rFonts w:cs="Tahoma"/>
                <w:b/>
                <w:bCs/>
                <w:color w:val="000000"/>
                <w:sz w:val="20"/>
                <w:szCs w:val="20"/>
              </w:rPr>
              <w:t>Open Value</w:t>
            </w:r>
          </w:p>
        </w:tc>
        <w:tc>
          <w:tcPr>
            <w:tcW w:w="2250" w:type="dxa"/>
            <w:tcBorders>
              <w:top w:val="single" w:sz="8" w:space="0" w:color="auto"/>
              <w:left w:val="nil"/>
              <w:bottom w:val="single" w:sz="8" w:space="0" w:color="auto"/>
              <w:right w:val="single" w:sz="8" w:space="0" w:color="auto"/>
            </w:tcBorders>
            <w:shd w:val="clear" w:color="auto" w:fill="FFCC99"/>
            <w:vAlign w:val="center"/>
          </w:tcPr>
          <w:p w:rsidR="00270612" w:rsidRPr="00653421" w:rsidRDefault="00270612" w:rsidP="00CA4488">
            <w:pPr>
              <w:jc w:val="center"/>
              <w:rPr>
                <w:rFonts w:cs="Tahoma"/>
                <w:b/>
                <w:bCs/>
                <w:color w:val="000000"/>
                <w:sz w:val="20"/>
                <w:szCs w:val="20"/>
              </w:rPr>
            </w:pPr>
            <w:r w:rsidRPr="00653421">
              <w:rPr>
                <w:rFonts w:cs="Tahoma"/>
                <w:b/>
                <w:bCs/>
                <w:color w:val="000000"/>
                <w:sz w:val="20"/>
                <w:szCs w:val="20"/>
              </w:rPr>
              <w:t>Academic</w:t>
            </w:r>
          </w:p>
        </w:tc>
        <w:tc>
          <w:tcPr>
            <w:tcW w:w="279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53421" w:rsidRDefault="00270612" w:rsidP="00CA4488">
            <w:pPr>
              <w:jc w:val="center"/>
              <w:rPr>
                <w:rFonts w:cs="Tahoma"/>
                <w:b/>
                <w:bCs/>
                <w:color w:val="000000"/>
                <w:sz w:val="20"/>
                <w:szCs w:val="20"/>
                <w:highlight w:val="yellow"/>
              </w:rPr>
            </w:pPr>
            <w:r w:rsidRPr="00653421">
              <w:rPr>
                <w:rFonts w:cs="Tahoma"/>
                <w:b/>
                <w:bCs/>
                <w:color w:val="000000"/>
                <w:sz w:val="20"/>
                <w:szCs w:val="20"/>
              </w:rPr>
              <w:t>Select (diferente de Academic)/Select Plus (diferente de Academic)/</w:t>
            </w:r>
            <w:r w:rsidR="005615BC" w:rsidRPr="00653421">
              <w:rPr>
                <w:rFonts w:cs="Tahoma"/>
                <w:b/>
                <w:bCs/>
                <w:color w:val="000000"/>
                <w:sz w:val="20"/>
                <w:szCs w:val="20"/>
              </w:rPr>
              <w:t xml:space="preserve"> </w:t>
            </w:r>
            <w:r w:rsidRPr="00653421">
              <w:rPr>
                <w:rFonts w:cs="Tahoma"/>
                <w:b/>
                <w:bCs/>
                <w:color w:val="000000"/>
                <w:sz w:val="20"/>
                <w:szCs w:val="20"/>
              </w:rPr>
              <w:t>Contrato Enterprise</w:t>
            </w:r>
          </w:p>
        </w:tc>
      </w:tr>
      <w:tr w:rsidR="00270612" w:rsidRPr="00653421" w:rsidTr="005615BC">
        <w:trPr>
          <w:trHeight w:val="50"/>
        </w:trPr>
        <w:tc>
          <w:tcPr>
            <w:tcW w:w="1246"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653421" w:rsidRDefault="00270612" w:rsidP="00CA4488">
            <w:pPr>
              <w:rPr>
                <w:rFonts w:cs="Tahoma"/>
                <w:color w:val="000000"/>
                <w:szCs w:val="18"/>
                <w:highlight w:val="yellow"/>
              </w:rPr>
            </w:pPr>
            <w:r w:rsidRPr="00653421">
              <w:rPr>
                <w:rFonts w:cs="Tahoma"/>
                <w:b/>
                <w:bCs/>
                <w:iCs/>
                <w:color w:val="000000"/>
                <w:szCs w:val="18"/>
              </w:rPr>
              <w:t>Licenças de</w:t>
            </w:r>
            <w:r w:rsidRPr="00653421">
              <w:rPr>
                <w:rFonts w:cs="Tahoma"/>
                <w:b/>
                <w:color w:val="000000"/>
                <w:szCs w:val="18"/>
              </w:rPr>
              <w:t xml:space="preserve"> servidor</w:t>
            </w:r>
          </w:p>
        </w:tc>
        <w:tc>
          <w:tcPr>
            <w:tcW w:w="1004"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653421" w:rsidRDefault="00270612" w:rsidP="00CA4488">
            <w:pPr>
              <w:jc w:val="center"/>
              <w:rPr>
                <w:rFonts w:cs="Tahoma"/>
                <w:color w:val="000000"/>
                <w:szCs w:val="18"/>
                <w:highlight w:val="yellow"/>
              </w:rPr>
            </w:pPr>
            <w:r w:rsidRPr="00653421">
              <w:rPr>
                <w:rFonts w:cs="Tahoma"/>
                <w:color w:val="000000"/>
                <w:szCs w:val="18"/>
              </w:rPr>
              <w:t>N/D</w:t>
            </w:r>
          </w:p>
        </w:tc>
        <w:tc>
          <w:tcPr>
            <w:tcW w:w="216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653421" w:rsidRDefault="00270612" w:rsidP="00142F25">
            <w:pPr>
              <w:jc w:val="center"/>
              <w:rPr>
                <w:rFonts w:cs="Tahoma"/>
                <w:color w:val="000000"/>
                <w:szCs w:val="18"/>
                <w:highlight w:val="yellow"/>
              </w:rPr>
            </w:pPr>
            <w:r w:rsidRPr="00653421">
              <w:rPr>
                <w:rFonts w:cs="Tahoma"/>
                <w:color w:val="000000"/>
                <w:szCs w:val="18"/>
              </w:rPr>
              <w:t>1 assinatura por</w:t>
            </w:r>
            <w:r w:rsidR="00142F25" w:rsidRPr="00653421">
              <w:rPr>
                <w:rFonts w:cs="Tahoma"/>
                <w:color w:val="000000"/>
                <w:szCs w:val="18"/>
              </w:rPr>
              <w:t> </w:t>
            </w:r>
            <w:r w:rsidRPr="00653421">
              <w:rPr>
                <w:rFonts w:cs="Tahoma"/>
                <w:color w:val="000000"/>
                <w:szCs w:val="18"/>
              </w:rPr>
              <w:t>registro</w:t>
            </w:r>
          </w:p>
        </w:tc>
        <w:tc>
          <w:tcPr>
            <w:tcW w:w="2250" w:type="dxa"/>
            <w:tcBorders>
              <w:top w:val="single" w:sz="8" w:space="0" w:color="auto"/>
              <w:left w:val="nil"/>
              <w:bottom w:val="single" w:sz="8" w:space="0" w:color="auto"/>
              <w:right w:val="single" w:sz="8" w:space="0" w:color="auto"/>
            </w:tcBorders>
          </w:tcPr>
          <w:p w:rsidR="00270612" w:rsidRPr="00653421" w:rsidRDefault="00270612" w:rsidP="008B67B6">
            <w:pPr>
              <w:spacing w:before="80"/>
              <w:ind w:left="130"/>
              <w:rPr>
                <w:rFonts w:cs="Tahoma"/>
                <w:color w:val="000000"/>
                <w:szCs w:val="18"/>
              </w:rPr>
            </w:pPr>
            <w:r w:rsidRPr="00653421">
              <w:rPr>
                <w:rFonts w:cs="Tahoma"/>
                <w:color w:val="000000"/>
                <w:szCs w:val="18"/>
              </w:rPr>
              <w:t xml:space="preserve">1 assinatura por registro </w:t>
            </w:r>
          </w:p>
        </w:tc>
        <w:tc>
          <w:tcPr>
            <w:tcW w:w="279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653421" w:rsidRDefault="00270612" w:rsidP="00CA4488">
            <w:pPr>
              <w:rPr>
                <w:rFonts w:cs="Tahoma"/>
                <w:color w:val="000000"/>
                <w:szCs w:val="18"/>
              </w:rPr>
            </w:pPr>
            <w:r w:rsidRPr="00653421">
              <w:rPr>
                <w:rFonts w:cs="Tahoma"/>
                <w:color w:val="000000"/>
                <w:szCs w:val="18"/>
              </w:rPr>
              <w:t>1 assinatura por registro</w:t>
            </w:r>
          </w:p>
        </w:tc>
      </w:tr>
    </w:tbl>
    <w:p w:rsidR="00F30075" w:rsidRPr="00C50FD1" w:rsidRDefault="00620E07" w:rsidP="00F30075">
      <w:pPr>
        <w:tabs>
          <w:tab w:val="num" w:pos="0"/>
        </w:tabs>
        <w:rPr>
          <w:lang w:val="pt-BR"/>
        </w:rPr>
      </w:pPr>
      <w:r w:rsidRPr="00C50FD1">
        <w:rPr>
          <w:rFonts w:cs="Tahoma"/>
          <w:i/>
          <w:sz w:val="16"/>
          <w:szCs w:val="18"/>
          <w:lang w:val="pt-BR" w:eastAsia="x-none"/>
        </w:rPr>
        <w:t xml:space="preserve">* </w:t>
      </w:r>
      <w:r w:rsidR="00F30075" w:rsidRPr="00C50FD1">
        <w:rPr>
          <w:rFonts w:cs="Tahoma"/>
          <w:i/>
          <w:color w:val="000000"/>
          <w:sz w:val="16"/>
          <w:szCs w:val="16"/>
          <w:lang w:val="pt-BR"/>
        </w:rPr>
        <w:t>Se o cliente tiver uma cobertura ativa do SA para cinco licenças de software de servidor</w:t>
      </w:r>
    </w:p>
    <w:p w:rsidR="00270612" w:rsidRPr="00C50FD1" w:rsidRDefault="00270612" w:rsidP="002C7EF6">
      <w:pPr>
        <w:pStyle w:val="AppendixFlushBulletedList"/>
        <w:tabs>
          <w:tab w:val="clear" w:pos="360"/>
          <w:tab w:val="num" w:pos="0"/>
        </w:tabs>
        <w:spacing w:line="180" w:lineRule="exact"/>
        <w:ind w:left="0" w:firstLine="0"/>
        <w:rPr>
          <w:rFonts w:ascii="Tahoma" w:hAnsi="Tahoma" w:cs="Tahoma"/>
          <w:sz w:val="18"/>
          <w:szCs w:val="18"/>
          <w:lang w:val="pt-BR"/>
        </w:rPr>
      </w:pPr>
    </w:p>
    <w:p w:rsidR="00270612" w:rsidRPr="00C50FD1" w:rsidRDefault="00270612" w:rsidP="00270612">
      <w:pPr>
        <w:pStyle w:val="AppendixFlushBulletedList"/>
        <w:tabs>
          <w:tab w:val="clear" w:pos="360"/>
          <w:tab w:val="num" w:pos="0"/>
        </w:tabs>
        <w:ind w:left="0" w:firstLine="0"/>
        <w:rPr>
          <w:lang w:val="pt-BR"/>
        </w:rPr>
      </w:pPr>
      <w:r w:rsidRPr="00C50FD1">
        <w:rPr>
          <w:rFonts w:ascii="Tahoma" w:hAnsi="Tahoma" w:cs="Tahoma"/>
          <w:color w:val="000000"/>
          <w:sz w:val="18"/>
          <w:szCs w:val="18"/>
          <w:lang w:val="pt-BR"/>
        </w:rPr>
        <w:t xml:space="preserve">O uso de software, software de pré-lançamento e de avaliação do TechNet Plus Direct pelos clientes está </w:t>
      </w:r>
      <w:r w:rsidR="005723AA" w:rsidRPr="00C50FD1">
        <w:rPr>
          <w:rFonts w:ascii="Tahoma" w:hAnsi="Tahoma" w:cs="Tahoma"/>
          <w:color w:val="000000"/>
          <w:sz w:val="18"/>
          <w:szCs w:val="18"/>
          <w:lang w:val="pt-BR"/>
        </w:rPr>
        <w:br/>
      </w:r>
      <w:r w:rsidRPr="00C50FD1">
        <w:rPr>
          <w:rFonts w:ascii="Tahoma" w:hAnsi="Tahoma" w:cs="Tahoma"/>
          <w:color w:val="000000"/>
          <w:sz w:val="18"/>
          <w:szCs w:val="18"/>
          <w:lang w:val="pt-BR"/>
        </w:rPr>
        <w:t>sujeito aos termos e condições de seus contratos de licença.</w:t>
      </w:r>
      <w:r w:rsidR="005A52A2" w:rsidRPr="00C50FD1">
        <w:rPr>
          <w:rFonts w:ascii="Tahoma" w:hAnsi="Tahoma" w:cs="Tahoma"/>
          <w:color w:val="000000"/>
          <w:sz w:val="18"/>
          <w:szCs w:val="18"/>
          <w:lang w:val="pt-BR"/>
        </w:rPr>
        <w:t xml:space="preserve"> </w:t>
      </w:r>
    </w:p>
    <w:p w:rsidR="00270612" w:rsidRPr="00C50FD1" w:rsidRDefault="00270612" w:rsidP="00270612">
      <w:pPr>
        <w:pStyle w:val="AppendixFlushBulletedList"/>
        <w:tabs>
          <w:tab w:val="clear" w:pos="360"/>
          <w:tab w:val="num" w:pos="0"/>
        </w:tabs>
        <w:ind w:left="0" w:firstLine="0"/>
        <w:rPr>
          <w:lang w:val="pt-BR"/>
        </w:rPr>
      </w:pPr>
      <w:r w:rsidRPr="00C50FD1">
        <w:rPr>
          <w:rFonts w:ascii="Tahoma" w:hAnsi="Tahoma" w:cs="Tahoma"/>
          <w:color w:val="000000"/>
          <w:sz w:val="18"/>
          <w:szCs w:val="18"/>
          <w:lang w:val="pt-BR"/>
        </w:rPr>
        <w:t xml:space="preserve">O software de versão completa licenciado não possui uma bomba relógio e destina-se apenas para fins </w:t>
      </w:r>
      <w:r w:rsidR="005723AA" w:rsidRPr="00C50FD1">
        <w:rPr>
          <w:rFonts w:ascii="Tahoma" w:hAnsi="Tahoma" w:cs="Tahoma"/>
          <w:color w:val="000000"/>
          <w:sz w:val="18"/>
          <w:szCs w:val="18"/>
          <w:lang w:val="pt-BR"/>
        </w:rPr>
        <w:br/>
      </w:r>
      <w:r w:rsidRPr="00C50FD1">
        <w:rPr>
          <w:rFonts w:ascii="Tahoma" w:hAnsi="Tahoma" w:cs="Tahoma"/>
          <w:color w:val="000000"/>
          <w:sz w:val="18"/>
          <w:szCs w:val="18"/>
          <w:lang w:val="pt-BR"/>
        </w:rPr>
        <w:t xml:space="preserve">de avaliação – ela não deve ser usado em ambientes de produção. </w:t>
      </w:r>
    </w:p>
    <w:p w:rsidR="004D4D43" w:rsidRPr="00C50FD1" w:rsidRDefault="004D4D43" w:rsidP="002C7EF6">
      <w:pPr>
        <w:pStyle w:val="AppendixFlushBulletedList"/>
        <w:tabs>
          <w:tab w:val="clear" w:pos="360"/>
          <w:tab w:val="num" w:pos="0"/>
        </w:tabs>
        <w:spacing w:line="180" w:lineRule="exact"/>
        <w:ind w:left="0" w:firstLine="0"/>
        <w:rPr>
          <w:rFonts w:ascii="Tahoma" w:hAnsi="Tahoma" w:cs="Tahoma"/>
          <w:sz w:val="18"/>
          <w:szCs w:val="18"/>
          <w:lang w:val="pt-BR"/>
        </w:rPr>
      </w:pPr>
    </w:p>
    <w:p w:rsidR="00270612" w:rsidRPr="00C50FD1" w:rsidRDefault="00270612" w:rsidP="00270612">
      <w:pPr>
        <w:pStyle w:val="AppendixFlushBulletedList"/>
        <w:tabs>
          <w:tab w:val="clear" w:pos="360"/>
          <w:tab w:val="num" w:pos="0"/>
        </w:tabs>
        <w:ind w:left="0" w:firstLine="0"/>
        <w:rPr>
          <w:lang w:val="pt-BR"/>
        </w:rPr>
      </w:pPr>
      <w:r w:rsidRPr="00C50FD1">
        <w:rPr>
          <w:rFonts w:ascii="Tahoma" w:hAnsi="Tahoma" w:cs="Tahoma"/>
          <w:color w:val="000000"/>
          <w:sz w:val="18"/>
          <w:szCs w:val="18"/>
          <w:lang w:val="pt-BR"/>
        </w:rPr>
        <w:t>Os clientes do SA têm direito de compartilhar o conteúdo técnico dentro da organização, como a base de conhecimento, os treinamentos técnicos, os downloads, os service packs e os patches de segurança.</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Entretanto, os</w:t>
      </w:r>
      <w:r w:rsidR="005615BC" w:rsidRPr="00C50FD1">
        <w:rPr>
          <w:rFonts w:ascii="Tahoma" w:hAnsi="Tahoma" w:cs="Tahoma"/>
          <w:color w:val="000000"/>
          <w:sz w:val="18"/>
          <w:szCs w:val="18"/>
          <w:lang w:val="pt-BR"/>
        </w:rPr>
        <w:t> </w:t>
      </w:r>
      <w:r w:rsidRPr="00C50FD1">
        <w:rPr>
          <w:rFonts w:ascii="Tahoma" w:hAnsi="Tahoma" w:cs="Tahoma"/>
          <w:color w:val="000000"/>
          <w:sz w:val="18"/>
          <w:szCs w:val="18"/>
          <w:lang w:val="pt-BR"/>
        </w:rPr>
        <w:t>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w:t>
      </w:r>
      <w:r w:rsidR="005723AA" w:rsidRPr="00C50FD1">
        <w:rPr>
          <w:rFonts w:ascii="Tahoma" w:hAnsi="Tahoma" w:cs="Tahoma"/>
          <w:color w:val="000000"/>
          <w:sz w:val="18"/>
          <w:szCs w:val="18"/>
          <w:lang w:val="pt-BR"/>
        </w:rPr>
        <w:t> </w:t>
      </w:r>
      <w:r w:rsidRPr="00C50FD1">
        <w:rPr>
          <w:rFonts w:ascii="Tahoma" w:hAnsi="Tahoma" w:cs="Tahoma"/>
          <w:color w:val="000000"/>
          <w:sz w:val="18"/>
          <w:szCs w:val="18"/>
          <w:lang w:val="pt-BR"/>
        </w:rPr>
        <w:t>do</w:t>
      </w:r>
      <w:r w:rsidR="005615BC" w:rsidRPr="00C50FD1">
        <w:rPr>
          <w:rFonts w:ascii="Tahoma" w:hAnsi="Tahoma" w:cs="Tahoma"/>
          <w:color w:val="000000"/>
          <w:sz w:val="18"/>
          <w:szCs w:val="18"/>
          <w:lang w:val="pt-BR"/>
        </w:rPr>
        <w:t> </w:t>
      </w:r>
      <w:r w:rsidRPr="00C50FD1">
        <w:rPr>
          <w:rFonts w:ascii="Tahoma" w:hAnsi="Tahoma" w:cs="Tahoma"/>
          <w:color w:val="000000"/>
          <w:sz w:val="18"/>
          <w:szCs w:val="18"/>
          <w:lang w:val="pt-BR"/>
        </w:rPr>
        <w:t xml:space="preserve">TechNet Plus Direct. </w:t>
      </w:r>
    </w:p>
    <w:p w:rsidR="00792D1E" w:rsidRPr="00C50FD1" w:rsidRDefault="00792D1E" w:rsidP="00C277BC">
      <w:pPr>
        <w:pStyle w:val="AppendixFlushBulletedList"/>
        <w:tabs>
          <w:tab w:val="clear" w:pos="360"/>
          <w:tab w:val="num" w:pos="0"/>
        </w:tabs>
        <w:spacing w:line="180" w:lineRule="exact"/>
        <w:ind w:left="0" w:firstLine="0"/>
        <w:rPr>
          <w:rFonts w:ascii="Tahoma" w:hAnsi="Tahoma" w:cs="Tahoma"/>
          <w:sz w:val="18"/>
          <w:szCs w:val="18"/>
          <w:lang w:val="pt-BR"/>
        </w:rPr>
      </w:pPr>
    </w:p>
    <w:p w:rsidR="00270612" w:rsidRPr="00C50FD1" w:rsidRDefault="00270612" w:rsidP="00270612">
      <w:pPr>
        <w:pStyle w:val="AppendixFlushBulletedList"/>
        <w:tabs>
          <w:tab w:val="clear" w:pos="360"/>
          <w:tab w:val="num" w:pos="0"/>
        </w:tabs>
        <w:ind w:left="0" w:firstLine="0"/>
        <w:rPr>
          <w:lang w:val="pt-BR"/>
        </w:rPr>
      </w:pPr>
      <w:r w:rsidRPr="00C50FD1">
        <w:rPr>
          <w:rFonts w:ascii="Tahoma" w:hAnsi="Tahoma" w:cs="Tahoma"/>
          <w:color w:val="000000"/>
          <w:sz w:val="18"/>
          <w:szCs w:val="18"/>
          <w:lang w:val="pt-BR"/>
        </w:rPr>
        <w:t>Nem todos os serviços e benefícios do TechNet Plus Direct estão disponíveis em todos os países/regiões.</w:t>
      </w:r>
      <w:r w:rsidR="005A52A2" w:rsidRPr="00C50FD1">
        <w:rPr>
          <w:rFonts w:ascii="Tahoma" w:hAnsi="Tahoma" w:cs="Tahoma"/>
          <w:color w:val="000000"/>
          <w:sz w:val="18"/>
          <w:szCs w:val="18"/>
          <w:lang w:val="pt-BR"/>
        </w:rPr>
        <w:t xml:space="preserve"> </w:t>
      </w:r>
    </w:p>
    <w:p w:rsidR="00792D1E" w:rsidRPr="00C50FD1" w:rsidRDefault="00792D1E" w:rsidP="00C277BC">
      <w:pPr>
        <w:pStyle w:val="AppendixFlushBulletedList"/>
        <w:tabs>
          <w:tab w:val="clear" w:pos="360"/>
          <w:tab w:val="num" w:pos="0"/>
        </w:tabs>
        <w:spacing w:line="180" w:lineRule="exact"/>
        <w:ind w:left="0" w:firstLine="0"/>
        <w:rPr>
          <w:rFonts w:ascii="Tahoma" w:hAnsi="Tahoma" w:cs="Tahoma"/>
          <w:sz w:val="18"/>
          <w:szCs w:val="18"/>
          <w:lang w:val="pt-BR"/>
        </w:rPr>
      </w:pPr>
    </w:p>
    <w:p w:rsidR="00270612" w:rsidRPr="00C50FD1" w:rsidRDefault="00270612" w:rsidP="00270612">
      <w:pPr>
        <w:pStyle w:val="AppendixFlushBulletedList"/>
        <w:tabs>
          <w:tab w:val="clear" w:pos="360"/>
          <w:tab w:val="num" w:pos="0"/>
        </w:tabs>
        <w:ind w:left="0" w:firstLine="0"/>
        <w:rPr>
          <w:lang w:val="pt-BR"/>
        </w:rPr>
      </w:pPr>
      <w:r w:rsidRPr="00C50FD1">
        <w:rPr>
          <w:rFonts w:ascii="Tahoma" w:hAnsi="Tahoma" w:cs="Tahoma"/>
          <w:color w:val="000000"/>
          <w:sz w:val="18"/>
          <w:szCs w:val="18"/>
          <w:lang w:val="pt-BR"/>
        </w:rPr>
        <w:t xml:space="preserve">Visite o site </w:t>
      </w:r>
      <w:hyperlink r:id="rId29" w:history="1">
        <w:r w:rsidRPr="00C50FD1">
          <w:rPr>
            <w:rStyle w:val="Hyperlink"/>
            <w:rFonts w:ascii="Tahoma" w:hAnsi="Tahoma" w:cs="Tahoma"/>
            <w:color w:val="000000"/>
            <w:sz w:val="18"/>
            <w:szCs w:val="18"/>
            <w:lang w:val="pt-BR"/>
          </w:rPr>
          <w:t>www.microsoft.com/technet/subscription</w:t>
        </w:r>
      </w:hyperlink>
      <w:r w:rsidRPr="00C50FD1">
        <w:rPr>
          <w:rFonts w:ascii="Tahoma" w:hAnsi="Tahoma" w:cs="Tahoma"/>
          <w:color w:val="000000"/>
          <w:sz w:val="18"/>
          <w:szCs w:val="18"/>
          <w:lang w:val="pt-BR"/>
        </w:rPr>
        <w:t xml:space="preserve"> para obter mais informações sobre a disponibilidade por</w:t>
      </w:r>
      <w:r w:rsidR="005723AA" w:rsidRPr="00C50FD1">
        <w:rPr>
          <w:rFonts w:ascii="Tahoma" w:hAnsi="Tahoma" w:cs="Tahoma"/>
          <w:color w:val="000000"/>
          <w:sz w:val="18"/>
          <w:szCs w:val="18"/>
          <w:lang w:val="pt-BR"/>
        </w:rPr>
        <w:t> </w:t>
      </w:r>
      <w:r w:rsidRPr="00C50FD1">
        <w:rPr>
          <w:rFonts w:ascii="Tahoma" w:hAnsi="Tahoma" w:cs="Tahoma"/>
          <w:color w:val="000000"/>
          <w:sz w:val="18"/>
          <w:szCs w:val="18"/>
          <w:lang w:val="pt-BR"/>
        </w:rPr>
        <w:t xml:space="preserve">país/região. </w:t>
      </w:r>
    </w:p>
    <w:p w:rsidR="00270612" w:rsidRPr="00C50FD1" w:rsidRDefault="00270612" w:rsidP="00270612">
      <w:pPr>
        <w:pStyle w:val="AppendixFlushBulletedList"/>
        <w:tabs>
          <w:tab w:val="clear" w:pos="360"/>
          <w:tab w:val="num" w:pos="0"/>
        </w:tabs>
        <w:ind w:left="0" w:firstLine="0"/>
        <w:rPr>
          <w:lang w:val="pt-BR"/>
        </w:rPr>
      </w:pPr>
      <w:r w:rsidRPr="00C50FD1">
        <w:rPr>
          <w:rFonts w:ascii="Tahoma" w:hAnsi="Tahoma" w:cs="Tahoma"/>
          <w:color w:val="000000"/>
          <w:sz w:val="18"/>
          <w:szCs w:val="18"/>
          <w:lang w:val="pt-BR"/>
        </w:rPr>
        <w:t xml:space="preserve">Os direitos de uso de software, software de pré-lançamento e de avaliação do TechNet Plus Direct pelos </w:t>
      </w:r>
      <w:r w:rsidR="005723AA" w:rsidRPr="00C50FD1">
        <w:rPr>
          <w:rFonts w:ascii="Tahoma" w:hAnsi="Tahoma" w:cs="Tahoma"/>
          <w:color w:val="000000"/>
          <w:sz w:val="18"/>
          <w:szCs w:val="18"/>
          <w:lang w:val="pt-BR"/>
        </w:rPr>
        <w:t>clients </w:t>
      </w:r>
      <w:r w:rsidRPr="00C50FD1">
        <w:rPr>
          <w:rFonts w:ascii="Tahoma" w:hAnsi="Tahoma" w:cs="Tahoma"/>
          <w:color w:val="000000"/>
          <w:sz w:val="18"/>
          <w:szCs w:val="18"/>
          <w:lang w:val="pt-BR"/>
        </w:rPr>
        <w:t>se</w:t>
      </w:r>
      <w:r w:rsidR="005615BC" w:rsidRPr="00C50FD1">
        <w:rPr>
          <w:rFonts w:ascii="Tahoma" w:hAnsi="Tahoma" w:cs="Tahoma"/>
          <w:color w:val="000000"/>
          <w:sz w:val="18"/>
          <w:szCs w:val="18"/>
          <w:lang w:val="pt-BR"/>
        </w:rPr>
        <w:t> </w:t>
      </w:r>
      <w:r w:rsidRPr="00C50FD1">
        <w:rPr>
          <w:rFonts w:ascii="Tahoma" w:hAnsi="Tahoma" w:cs="Tahoma"/>
          <w:color w:val="000000"/>
          <w:sz w:val="18"/>
          <w:szCs w:val="18"/>
          <w:lang w:val="pt-BR"/>
        </w:rPr>
        <w:t>encerram no término de suas coberturas do Software Assurance.</w:t>
      </w:r>
    </w:p>
    <w:p w:rsidR="00023FE7" w:rsidRPr="00C50FD1" w:rsidRDefault="00023FE7" w:rsidP="00C277BC">
      <w:pPr>
        <w:pStyle w:val="Heading3"/>
        <w:tabs>
          <w:tab w:val="num" w:pos="0"/>
        </w:tabs>
        <w:spacing w:line="180" w:lineRule="exact"/>
        <w:rPr>
          <w:rFonts w:ascii="Tahoma" w:hAnsi="Tahoma" w:cs="Tahoma"/>
          <w:b w:val="0"/>
          <w:sz w:val="18"/>
          <w:szCs w:val="18"/>
          <w:lang w:val="pt-BR"/>
        </w:rPr>
      </w:pPr>
    </w:p>
    <w:p w:rsidR="004D4D43" w:rsidRPr="00C50FD1" w:rsidRDefault="004D4D43" w:rsidP="004D4D43">
      <w:pPr>
        <w:pStyle w:val="Heading3"/>
        <w:tabs>
          <w:tab w:val="num" w:pos="0"/>
        </w:tabs>
        <w:rPr>
          <w:lang w:val="pt-BR"/>
        </w:rPr>
      </w:pPr>
      <w:bookmarkStart w:id="808" w:name="_Toc336338242"/>
      <w:bookmarkStart w:id="809" w:name="_Toc353470890"/>
      <w:r w:rsidRPr="00C50FD1">
        <w:rPr>
          <w:rFonts w:ascii="Tahoma" w:hAnsi="Tahoma" w:cs="Tahoma"/>
          <w:sz w:val="24"/>
          <w:lang w:val="pt-BR"/>
        </w:rPr>
        <w:t>Mobilidade de Licença por meio do Software Assurance</w:t>
      </w:r>
      <w:bookmarkEnd w:id="808"/>
      <w:bookmarkEnd w:id="809"/>
    </w:p>
    <w:p w:rsidR="004D4D43" w:rsidRPr="00C50FD1" w:rsidRDefault="004D4D43" w:rsidP="00C277BC">
      <w:pPr>
        <w:pStyle w:val="Heading3"/>
        <w:tabs>
          <w:tab w:val="num" w:pos="0"/>
        </w:tabs>
        <w:spacing w:line="180" w:lineRule="exact"/>
        <w:rPr>
          <w:rFonts w:ascii="Tahoma" w:hAnsi="Tahoma" w:cs="Tahoma"/>
          <w:b w:val="0"/>
          <w:sz w:val="18"/>
          <w:szCs w:val="18"/>
          <w:lang w:val="pt-BR"/>
        </w:rPr>
      </w:pPr>
    </w:p>
    <w:p w:rsidR="004D4D43" w:rsidRPr="00C50FD1" w:rsidRDefault="004D4D43" w:rsidP="002171C3">
      <w:pPr>
        <w:rPr>
          <w:lang w:val="pt-BR"/>
        </w:rPr>
      </w:pPr>
      <w:bookmarkStart w:id="810" w:name="_Toc294048012"/>
      <w:bookmarkStart w:id="811" w:name="_Toc294048569"/>
      <w:bookmarkStart w:id="812" w:name="_Toc294092640"/>
      <w:bookmarkStart w:id="813" w:name="_Toc295819320"/>
      <w:bookmarkStart w:id="814" w:name="_Toc298795971"/>
      <w:bookmarkStart w:id="815" w:name="_Toc299369847"/>
      <w:bookmarkStart w:id="816" w:name="_Toc300391558"/>
      <w:bookmarkStart w:id="817" w:name="_Toc301939835"/>
      <w:bookmarkStart w:id="818" w:name="_Toc304801232"/>
      <w:bookmarkStart w:id="819" w:name="_Toc312399280"/>
      <w:bookmarkStart w:id="820" w:name="_Toc315289087"/>
      <w:bookmarkStart w:id="821" w:name="_Toc317591243"/>
      <w:bookmarkStart w:id="822" w:name="_Toc325313196"/>
      <w:bookmarkStart w:id="823" w:name="_Toc325609219"/>
      <w:r w:rsidRPr="00C50FD1">
        <w:rPr>
          <w:lang w:val="pt-BR"/>
        </w:rPr>
        <w:t>A Mobilidade de Licença por meio do Software Assurance permite mover-se entre determinadas licenças nas instalações cobertas por Software Assurance para servidores compartilhados por terceiros.</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rsidR="004D4D43" w:rsidRPr="00C50FD1" w:rsidRDefault="004D4D43" w:rsidP="00C277BC">
      <w:pPr>
        <w:spacing w:line="180" w:lineRule="exact"/>
        <w:rPr>
          <w:lang w:val="pt-BR"/>
        </w:rPr>
      </w:pPr>
    </w:p>
    <w:p w:rsidR="004D4D43" w:rsidRPr="00C50FD1" w:rsidRDefault="004D4D43" w:rsidP="002171C3">
      <w:pPr>
        <w:rPr>
          <w:lang w:val="pt-BR"/>
        </w:rPr>
      </w:pPr>
      <w:bookmarkStart w:id="824" w:name="_Toc294048013"/>
      <w:bookmarkStart w:id="825" w:name="_Toc294048570"/>
      <w:bookmarkStart w:id="826" w:name="_Toc294092641"/>
      <w:bookmarkStart w:id="827" w:name="_Toc295819321"/>
      <w:bookmarkStart w:id="828" w:name="_Toc298795972"/>
      <w:bookmarkStart w:id="829" w:name="_Toc299369848"/>
      <w:bookmarkStart w:id="830" w:name="_Toc300391559"/>
      <w:bookmarkStart w:id="831" w:name="_Toc301939836"/>
      <w:bookmarkStart w:id="832" w:name="_Toc304801233"/>
      <w:bookmarkStart w:id="833" w:name="_Toc307350402"/>
      <w:bookmarkStart w:id="834" w:name="_Toc308429813"/>
      <w:bookmarkStart w:id="835" w:name="_Toc312399281"/>
      <w:bookmarkStart w:id="836" w:name="_Toc315289088"/>
      <w:bookmarkStart w:id="837" w:name="_Toc317591244"/>
      <w:bookmarkStart w:id="838" w:name="_Toc323034197"/>
      <w:bookmarkStart w:id="839" w:name="_Toc325313197"/>
      <w:bookmarkStart w:id="840" w:name="_Toc325609220"/>
      <w:r w:rsidRPr="00C50FD1">
        <w:rPr>
          <w:lang w:val="pt-BR"/>
        </w:rPr>
        <w:t>Todos os Produtos qualificados no momento para “Mobilidade de Licenças nos Farms de Servidores”, conforme definidos nos Direitos de Uso do Produto (PUR) e cobertos por Software Assurance, estão qualificados para a Mobilidade de Licença por meio do Software Assurance. Além disso, os seguintes Produtos também estão qualificados para Mobilidade de Licenças por meio de Software Assurance:</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4D4D43" w:rsidRPr="00C50FD1" w:rsidRDefault="004D4D43" w:rsidP="00C277BC">
      <w:pPr>
        <w:spacing w:line="180" w:lineRule="exact"/>
        <w:rPr>
          <w:lang w:val="pt-BR"/>
        </w:rPr>
      </w:pPr>
    </w:p>
    <w:p w:rsidR="004D4D43" w:rsidRPr="00C50FD1" w:rsidRDefault="004D4D43" w:rsidP="002C1048">
      <w:pPr>
        <w:numPr>
          <w:ilvl w:val="0"/>
          <w:numId w:val="92"/>
        </w:numPr>
        <w:spacing w:after="60"/>
        <w:ind w:left="1440"/>
        <w:rPr>
          <w:lang w:val="pt-BR"/>
        </w:rPr>
      </w:pPr>
      <w:bookmarkStart w:id="841" w:name="_Toc294048014"/>
      <w:bookmarkStart w:id="842" w:name="_Toc294048571"/>
      <w:bookmarkStart w:id="843" w:name="_Toc294092642"/>
      <w:bookmarkStart w:id="844" w:name="_Toc295819322"/>
      <w:bookmarkStart w:id="845" w:name="_Toc298795973"/>
      <w:bookmarkStart w:id="846" w:name="_Toc299369849"/>
      <w:bookmarkStart w:id="847" w:name="_Toc300391560"/>
      <w:bookmarkStart w:id="848" w:name="_Toc301939837"/>
      <w:bookmarkStart w:id="849" w:name="_Toc304801234"/>
      <w:bookmarkStart w:id="850" w:name="_Toc307350403"/>
      <w:bookmarkStart w:id="851" w:name="_Toc308429814"/>
      <w:bookmarkStart w:id="852" w:name="_Toc312399282"/>
      <w:bookmarkStart w:id="853" w:name="_Toc315289089"/>
      <w:bookmarkStart w:id="854" w:name="_Toc317591245"/>
      <w:bookmarkStart w:id="855" w:name="_Toc323034198"/>
      <w:bookmarkStart w:id="856" w:name="_Toc325313198"/>
      <w:bookmarkStart w:id="857" w:name="_Toc325609221"/>
      <w:r w:rsidRPr="00C50FD1">
        <w:rPr>
          <w:lang w:val="pt-BR"/>
        </w:rPr>
        <w:t>SQL Server Standard – Por Processador e Servidor/CAL (licenças do servidor e processador somente) com Software Assurance</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rsidR="004D4D43" w:rsidRPr="00C50FD1" w:rsidRDefault="004D4D43" w:rsidP="002C1048">
      <w:pPr>
        <w:numPr>
          <w:ilvl w:val="0"/>
          <w:numId w:val="92"/>
        </w:numPr>
        <w:spacing w:after="60"/>
        <w:ind w:left="1440"/>
        <w:rPr>
          <w:lang w:val="pt-BR"/>
        </w:rPr>
      </w:pPr>
      <w:bookmarkStart w:id="858" w:name="_Toc294048015"/>
      <w:bookmarkStart w:id="859" w:name="_Toc294048572"/>
      <w:bookmarkStart w:id="860" w:name="_Toc294092643"/>
      <w:bookmarkStart w:id="861" w:name="_Toc295819323"/>
      <w:bookmarkStart w:id="862" w:name="_Toc298795974"/>
      <w:bookmarkStart w:id="863" w:name="_Toc299369850"/>
      <w:bookmarkStart w:id="864" w:name="_Toc300391561"/>
      <w:bookmarkStart w:id="865" w:name="_Toc301939838"/>
      <w:bookmarkStart w:id="866" w:name="_Toc304801235"/>
      <w:bookmarkStart w:id="867" w:name="_Toc307350404"/>
      <w:bookmarkStart w:id="868" w:name="_Toc308429815"/>
      <w:bookmarkStart w:id="869" w:name="_Toc312399283"/>
      <w:bookmarkStart w:id="870" w:name="_Toc315289090"/>
      <w:bookmarkStart w:id="871" w:name="_Toc317591246"/>
      <w:bookmarkStart w:id="872" w:name="_Toc323034199"/>
      <w:bookmarkStart w:id="873" w:name="_Toc325313199"/>
      <w:bookmarkStart w:id="874" w:name="_Toc325609222"/>
      <w:r w:rsidRPr="00C50FD1">
        <w:rPr>
          <w:lang w:val="pt-BR"/>
        </w:rPr>
        <w:t>System Center – todas as Licenças de Gerenciamento do Servidor (MLs), inclusive SMSE e SMSD com Software Assurance</w:t>
      </w:r>
      <w:bookmarkEnd w:id="858"/>
      <w:bookmarkEnd w:id="859"/>
      <w:bookmarkEnd w:id="860"/>
      <w:bookmarkEnd w:id="861"/>
      <w:bookmarkEnd w:id="862"/>
      <w:bookmarkEnd w:id="863"/>
      <w:bookmarkEnd w:id="864"/>
      <w:bookmarkEnd w:id="865"/>
      <w:bookmarkEnd w:id="866"/>
      <w:bookmarkEnd w:id="867"/>
      <w:bookmarkEnd w:id="868"/>
      <w:bookmarkEnd w:id="869"/>
      <w:bookmarkEnd w:id="870"/>
      <w:r w:rsidRPr="00C50FD1">
        <w:rPr>
          <w:lang w:val="pt-BR"/>
        </w:rPr>
        <w:t xml:space="preserve"> e System Center 2012 Standard e Datacenter com Software Assurance</w:t>
      </w:r>
      <w:bookmarkEnd w:id="871"/>
      <w:bookmarkEnd w:id="872"/>
      <w:bookmarkEnd w:id="873"/>
      <w:bookmarkEnd w:id="874"/>
    </w:p>
    <w:p w:rsidR="00EA20DF" w:rsidRPr="00C50FD1" w:rsidRDefault="00EA20DF" w:rsidP="002171C3">
      <w:pPr>
        <w:rPr>
          <w:lang w:val="pt-BR"/>
        </w:rPr>
      </w:pPr>
      <w:bookmarkStart w:id="875" w:name="_Toc294048016"/>
      <w:bookmarkStart w:id="876" w:name="_Toc294048573"/>
      <w:bookmarkStart w:id="877" w:name="_Toc294092644"/>
      <w:bookmarkStart w:id="878" w:name="_Toc295819324"/>
      <w:bookmarkStart w:id="879" w:name="_Toc298795975"/>
      <w:bookmarkStart w:id="880" w:name="_Toc299369851"/>
      <w:bookmarkStart w:id="881" w:name="_Toc300391562"/>
      <w:bookmarkStart w:id="882" w:name="_Toc301939839"/>
      <w:bookmarkStart w:id="883" w:name="_Toc304801236"/>
      <w:bookmarkStart w:id="884" w:name="_Toc307350405"/>
      <w:bookmarkStart w:id="885" w:name="_Toc308429816"/>
      <w:bookmarkStart w:id="886" w:name="_Toc312399284"/>
      <w:bookmarkStart w:id="887" w:name="_Toc315289091"/>
      <w:bookmarkStart w:id="888" w:name="_Toc317591247"/>
      <w:bookmarkStart w:id="889" w:name="_Toc323034200"/>
      <w:bookmarkStart w:id="890" w:name="_Toc325313200"/>
      <w:bookmarkStart w:id="891" w:name="_Toc325609223"/>
    </w:p>
    <w:p w:rsidR="004D4D43" w:rsidRPr="00C50FD1" w:rsidRDefault="004D4D43" w:rsidP="002171C3">
      <w:pPr>
        <w:rPr>
          <w:lang w:val="pt-BR"/>
        </w:rPr>
      </w:pPr>
      <w:r w:rsidRPr="00C50FD1">
        <w:rPr>
          <w:lang w:val="pt-BR"/>
        </w:rPr>
        <w:t>Para usar a Mobilidade de Licenças por meio do Software Assurance, os clientes devem:</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rsidR="004D4D43" w:rsidRPr="00C50FD1" w:rsidRDefault="004D4D43" w:rsidP="00C277BC">
      <w:pPr>
        <w:spacing w:line="180" w:lineRule="exact"/>
        <w:rPr>
          <w:lang w:val="pt-BR"/>
        </w:rPr>
      </w:pPr>
    </w:p>
    <w:p w:rsidR="004D4D43" w:rsidRPr="00C50FD1" w:rsidRDefault="004D4D43" w:rsidP="002C1048">
      <w:pPr>
        <w:numPr>
          <w:ilvl w:val="0"/>
          <w:numId w:val="81"/>
        </w:numPr>
        <w:spacing w:after="60"/>
        <w:ind w:left="1440"/>
        <w:rPr>
          <w:lang w:val="pt-BR"/>
        </w:rPr>
      </w:pPr>
      <w:bookmarkStart w:id="892" w:name="_Toc294048017"/>
      <w:bookmarkStart w:id="893" w:name="_Toc294048574"/>
      <w:bookmarkStart w:id="894" w:name="_Toc294092645"/>
      <w:bookmarkStart w:id="895" w:name="_Toc295819325"/>
      <w:bookmarkStart w:id="896" w:name="_Toc298795976"/>
      <w:bookmarkStart w:id="897" w:name="_Toc299369852"/>
      <w:bookmarkStart w:id="898" w:name="_Toc300391563"/>
      <w:bookmarkStart w:id="899" w:name="_Toc301939840"/>
      <w:bookmarkStart w:id="900" w:name="_Toc304801237"/>
      <w:bookmarkStart w:id="901" w:name="_Toc307350406"/>
      <w:bookmarkStart w:id="902" w:name="_Toc308429817"/>
      <w:bookmarkStart w:id="903" w:name="_Toc312399285"/>
      <w:bookmarkStart w:id="904" w:name="_Toc315289092"/>
      <w:bookmarkStart w:id="905" w:name="_Toc317591248"/>
      <w:bookmarkStart w:id="906" w:name="_Toc323034201"/>
      <w:bookmarkStart w:id="907" w:name="_Toc325313201"/>
      <w:bookmarkStart w:id="908" w:name="_Toc325609224"/>
      <w:r w:rsidRPr="00C50FD1">
        <w:rPr>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rsidR="004D4D43" w:rsidRPr="00C50FD1" w:rsidRDefault="004D4D43" w:rsidP="002C1048">
      <w:pPr>
        <w:numPr>
          <w:ilvl w:val="0"/>
          <w:numId w:val="81"/>
        </w:numPr>
        <w:spacing w:after="60"/>
        <w:ind w:left="1440"/>
        <w:rPr>
          <w:lang w:val="pt-BR"/>
        </w:rPr>
      </w:pPr>
      <w:bookmarkStart w:id="909" w:name="_Toc294048018"/>
      <w:bookmarkStart w:id="910" w:name="_Toc294048575"/>
      <w:bookmarkStart w:id="911" w:name="_Toc294092646"/>
      <w:bookmarkStart w:id="912" w:name="_Toc295819326"/>
      <w:bookmarkStart w:id="913" w:name="_Toc298795977"/>
      <w:bookmarkStart w:id="914" w:name="_Toc299369853"/>
      <w:bookmarkStart w:id="915" w:name="_Toc300391564"/>
      <w:bookmarkStart w:id="916" w:name="_Toc301939841"/>
      <w:bookmarkStart w:id="917" w:name="_Toc304801238"/>
      <w:bookmarkStart w:id="918" w:name="_Toc307350407"/>
      <w:bookmarkStart w:id="919" w:name="_Toc308429818"/>
      <w:bookmarkStart w:id="920" w:name="_Toc312399286"/>
      <w:bookmarkStart w:id="921" w:name="_Toc315289093"/>
      <w:bookmarkStart w:id="922" w:name="_Toc317591249"/>
      <w:bookmarkStart w:id="923" w:name="_Toc323034202"/>
      <w:bookmarkStart w:id="924" w:name="_Toc325313202"/>
      <w:bookmarkStart w:id="925" w:name="_Toc325609225"/>
      <w:r w:rsidRPr="00C50FD1">
        <w:rPr>
          <w:lang w:val="pt-BR"/>
        </w:rPr>
        <w:t>Qualquer atualização de Licença adquirida por meio do Software Assurance substitui a Licença subjacente. Uma lista de Mobilidade de Licenças qualificada por meio de Parceiros do Software Assurance está disponível no site http://www.microsoft.com/licensing/software-assurance/license-mobility e</w:t>
      </w:r>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p>
    <w:p w:rsidR="004D4D43" w:rsidRPr="00C50FD1" w:rsidRDefault="004D4D43" w:rsidP="002C1048">
      <w:pPr>
        <w:numPr>
          <w:ilvl w:val="0"/>
          <w:numId w:val="81"/>
        </w:numPr>
        <w:spacing w:after="60"/>
        <w:ind w:left="1440"/>
        <w:rPr>
          <w:lang w:val="pt-BR"/>
        </w:rPr>
      </w:pPr>
      <w:bookmarkStart w:id="926" w:name="_Toc294048019"/>
      <w:bookmarkStart w:id="927" w:name="_Toc294048576"/>
      <w:bookmarkStart w:id="928" w:name="_Toc294092647"/>
      <w:bookmarkStart w:id="929" w:name="_Toc295819327"/>
      <w:bookmarkStart w:id="930" w:name="_Toc298795978"/>
      <w:bookmarkStart w:id="931" w:name="_Toc299369854"/>
      <w:bookmarkStart w:id="932" w:name="_Toc300391565"/>
      <w:bookmarkStart w:id="933" w:name="_Toc301939842"/>
      <w:bookmarkStart w:id="934" w:name="_Toc304801239"/>
      <w:bookmarkStart w:id="935" w:name="_Toc307350408"/>
      <w:bookmarkStart w:id="936" w:name="_Toc308429819"/>
      <w:bookmarkStart w:id="937" w:name="_Toc312399287"/>
      <w:bookmarkStart w:id="938" w:name="_Toc315289094"/>
      <w:bookmarkStart w:id="939" w:name="_Toc317591250"/>
      <w:bookmarkStart w:id="940" w:name="_Toc323034203"/>
      <w:bookmarkStart w:id="941" w:name="_Toc325313203"/>
      <w:bookmarkStart w:id="942" w:name="_Toc325609226"/>
      <w:r w:rsidRPr="00C50FD1">
        <w:rPr>
          <w:lang w:val="pt-BR"/>
        </w:rPr>
        <w:lastRenderedPageBreak/>
        <w:t>Completar e enviar o formulário de Validação de Mobilidade de Licenças com cada Parceiro de Mobilidade de Licenças por meio do Software Assurance que executará o software licenciado dos clientes nos servidores compartilhados dos parceiros.</w:t>
      </w:r>
      <w:r w:rsidR="005A52A2" w:rsidRPr="00C50FD1">
        <w:rPr>
          <w:lang w:val="pt-BR"/>
        </w:rPr>
        <w:t xml:space="preserve"> </w:t>
      </w:r>
      <w:r w:rsidRPr="00C50FD1">
        <w:rPr>
          <w:lang w:val="pt-BR"/>
        </w:rPr>
        <w:t>O formulário de Validação de Mobilidade de Licenças estará disponível para os clientes pelo Parceiro Qualificado da Mobilidade de Licenças por meio de Software Assurance.</w:t>
      </w:r>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p>
    <w:p w:rsidR="004D4D43" w:rsidRPr="00C50FD1" w:rsidRDefault="004D4D43" w:rsidP="00C277BC">
      <w:pPr>
        <w:spacing w:line="180" w:lineRule="exact"/>
        <w:rPr>
          <w:lang w:val="pt-BR"/>
        </w:rPr>
      </w:pPr>
    </w:p>
    <w:p w:rsidR="004D4D43" w:rsidRPr="00C50FD1" w:rsidRDefault="004D4D43" w:rsidP="002171C3">
      <w:pPr>
        <w:rPr>
          <w:lang w:val="pt-BR"/>
        </w:rPr>
      </w:pPr>
      <w:bookmarkStart w:id="943" w:name="_Toc294048020"/>
      <w:bookmarkStart w:id="944" w:name="_Toc294048577"/>
      <w:bookmarkStart w:id="945" w:name="_Toc294092648"/>
      <w:bookmarkStart w:id="946" w:name="_Toc295819328"/>
      <w:bookmarkStart w:id="947" w:name="_Toc298795979"/>
      <w:bookmarkStart w:id="948" w:name="_Toc299369855"/>
      <w:bookmarkStart w:id="949" w:name="_Toc300391566"/>
      <w:bookmarkStart w:id="950" w:name="_Toc301939843"/>
      <w:bookmarkStart w:id="951" w:name="_Toc304801240"/>
      <w:bookmarkStart w:id="952" w:name="_Toc307350409"/>
      <w:bookmarkStart w:id="953" w:name="_Toc308429820"/>
      <w:bookmarkStart w:id="954" w:name="_Toc312399288"/>
      <w:bookmarkStart w:id="955" w:name="_Toc317591251"/>
      <w:bookmarkStart w:id="956" w:name="_Toc323034204"/>
      <w:bookmarkStart w:id="957" w:name="_Toc325313204"/>
      <w:bookmarkStart w:id="958" w:name="_Toc325609227"/>
      <w:r w:rsidRPr="00C50FD1">
        <w:rPr>
          <w:lang w:val="pt-BR"/>
        </w:rPr>
        <w:t>Os direitos dos clientes de executar o software licenciado e gerenciar OSEs em servidores compartilhados por terceiros expiram com a cobertura do Software Assurance naquelas licenças ou em seu acesso correspondente ou</w:t>
      </w:r>
      <w:r w:rsidR="00A10533" w:rsidRPr="00C50FD1">
        <w:rPr>
          <w:lang w:val="pt-BR"/>
        </w:rPr>
        <w:t> </w:t>
      </w:r>
      <w:r w:rsidRPr="00C50FD1">
        <w:rPr>
          <w:lang w:val="pt-BR"/>
        </w:rPr>
        <w:t>licenças de gerenciamento.</w:t>
      </w:r>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p>
    <w:p w:rsidR="004D4D43" w:rsidRPr="00C50FD1" w:rsidRDefault="004D4D43" w:rsidP="00C277BC">
      <w:pPr>
        <w:spacing w:line="180" w:lineRule="exact"/>
        <w:rPr>
          <w:lang w:val="pt-BR"/>
        </w:rPr>
      </w:pPr>
    </w:p>
    <w:p w:rsidR="00023FE7" w:rsidRPr="00C50FD1" w:rsidRDefault="00023FE7" w:rsidP="0007218F">
      <w:pPr>
        <w:pStyle w:val="Heading3"/>
        <w:tabs>
          <w:tab w:val="num" w:pos="0"/>
        </w:tabs>
        <w:rPr>
          <w:lang w:val="pt-BR"/>
        </w:rPr>
      </w:pPr>
      <w:bookmarkStart w:id="959" w:name="_Toc336338243"/>
      <w:bookmarkStart w:id="960" w:name="_Toc353470891"/>
      <w:r w:rsidRPr="00C50FD1">
        <w:rPr>
          <w:rFonts w:ascii="Tahoma" w:hAnsi="Tahoma" w:cs="Tahoma"/>
          <w:sz w:val="24"/>
          <w:lang w:val="pt-BR"/>
        </w:rPr>
        <w:t>Windows Thin PC</w:t>
      </w:r>
      <w:bookmarkEnd w:id="959"/>
      <w:bookmarkEnd w:id="960"/>
    </w:p>
    <w:p w:rsidR="00023FE7" w:rsidRPr="00C50FD1" w:rsidRDefault="00023FE7" w:rsidP="00C277BC">
      <w:pPr>
        <w:pStyle w:val="Heading3"/>
        <w:spacing w:line="180" w:lineRule="exact"/>
        <w:rPr>
          <w:rFonts w:ascii="Tahoma" w:hAnsi="Tahoma" w:cs="Tahoma"/>
          <w:sz w:val="18"/>
          <w:szCs w:val="18"/>
          <w:lang w:val="pt-BR"/>
        </w:rPr>
      </w:pPr>
    </w:p>
    <w:p w:rsidR="0008414D" w:rsidRPr="00C50FD1" w:rsidRDefault="0008414D" w:rsidP="0007218F">
      <w:pPr>
        <w:rPr>
          <w:lang w:val="pt-BR"/>
        </w:rPr>
      </w:pPr>
      <w:r w:rsidRPr="00C50FD1">
        <w:rPr>
          <w:rFonts w:eastAsia="Calibri" w:cs="Tahoma"/>
          <w:szCs w:val="20"/>
          <w:lang w:val="pt-BR"/>
        </w:rPr>
        <w:t xml:space="preserve">Os clientes de Licenciamento por Volume com cobertura do Software Assurance ativa para o sistema operacional Windows Desktop ou licenças ativas para VDA ou Windows Intune </w:t>
      </w:r>
      <w:r w:rsidRPr="00C50FD1">
        <w:rPr>
          <w:rFonts w:cs="Tahoma"/>
          <w:szCs w:val="18"/>
          <w:lang w:val="pt-BR"/>
        </w:rPr>
        <w:t xml:space="preserve">(Por Dispositivo) </w:t>
      </w:r>
      <w:r w:rsidRPr="00C50FD1">
        <w:rPr>
          <w:rFonts w:eastAsia="Calibri" w:cs="Tahoma"/>
          <w:szCs w:val="20"/>
          <w:lang w:val="pt-BR"/>
        </w:rPr>
        <w:t>estão qualificados para o benefício.</w:t>
      </w:r>
      <w:r w:rsidR="005A52A2" w:rsidRPr="00C50FD1">
        <w:rPr>
          <w:rFonts w:eastAsia="Calibri" w:cs="Tahoma"/>
          <w:szCs w:val="20"/>
          <w:lang w:val="pt-BR"/>
        </w:rPr>
        <w:t xml:space="preserve"> </w:t>
      </w:r>
      <w:r w:rsidRPr="00C50FD1">
        <w:rPr>
          <w:rFonts w:eastAsia="Calibri" w:cs="Tahoma"/>
          <w:szCs w:val="20"/>
          <w:lang w:val="pt-BR"/>
        </w:rPr>
        <w:t xml:space="preserve">Os clientes que acessam esse benefício </w:t>
      </w:r>
      <w:r w:rsidRPr="00C50FD1">
        <w:rPr>
          <w:rFonts w:eastAsia="Calibri" w:cs="Tahoma"/>
          <w:color w:val="000000"/>
          <w:szCs w:val="20"/>
          <w:lang w:val="pt-BR"/>
        </w:rPr>
        <w:t xml:space="preserve">de acordo com o </w:t>
      </w:r>
      <w:r w:rsidRPr="00C50FD1">
        <w:rPr>
          <w:rFonts w:eastAsia="Calibri" w:cs="Tahoma"/>
          <w:szCs w:val="20"/>
          <w:lang w:val="pt-BR"/>
        </w:rPr>
        <w:t>VDA devem ter um sistema operacional qualificado</w:t>
      </w:r>
      <w:r w:rsidRPr="00C50FD1">
        <w:rPr>
          <w:rFonts w:eastAsia="Calibri" w:cs="Tahoma"/>
          <w:color w:val="1F497D"/>
          <w:szCs w:val="20"/>
          <w:lang w:val="pt-BR"/>
        </w:rPr>
        <w:t xml:space="preserve"> </w:t>
      </w:r>
      <w:r w:rsidRPr="00C50FD1">
        <w:rPr>
          <w:rFonts w:eastAsia="Calibri" w:cs="Tahoma"/>
          <w:color w:val="000000"/>
          <w:szCs w:val="20"/>
          <w:lang w:val="pt-BR"/>
        </w:rPr>
        <w:t>instalado em seu dispositivo licenciado d</w:t>
      </w:r>
      <w:r w:rsidRPr="00C50FD1">
        <w:rPr>
          <w:rFonts w:eastAsia="Calibri" w:cs="Tahoma"/>
          <w:szCs w:val="20"/>
          <w:lang w:val="pt-BR"/>
        </w:rPr>
        <w:t>e acordo com a tabela de Sistemas Operacionais Qualificados</w:t>
      </w:r>
      <w:r w:rsidR="005723AA" w:rsidRPr="00C50FD1">
        <w:rPr>
          <w:rFonts w:eastAsia="Calibri" w:cs="Tahoma"/>
          <w:szCs w:val="20"/>
          <w:lang w:val="pt-BR"/>
        </w:rPr>
        <w:t> </w:t>
      </w:r>
      <w:r w:rsidRPr="00C50FD1">
        <w:rPr>
          <w:rFonts w:eastAsia="Calibri" w:cs="Tahoma"/>
          <w:szCs w:val="20"/>
          <w:lang w:val="pt-BR"/>
        </w:rPr>
        <w:t>nas</w:t>
      </w:r>
      <w:r w:rsidR="002C7EF6" w:rsidRPr="00C50FD1">
        <w:rPr>
          <w:rFonts w:eastAsia="Calibri" w:cs="Tahoma"/>
          <w:szCs w:val="20"/>
          <w:lang w:val="pt-BR"/>
        </w:rPr>
        <w:t> </w:t>
      </w:r>
      <w:r w:rsidRPr="00C50FD1">
        <w:rPr>
          <w:rFonts w:eastAsia="Calibri" w:cs="Tahoma"/>
          <w:color w:val="000000"/>
          <w:szCs w:val="20"/>
          <w:lang w:val="pt-BR"/>
        </w:rPr>
        <w:t xml:space="preserve">Notas do Produto, </w:t>
      </w:r>
      <w:r w:rsidRPr="00C50FD1">
        <w:rPr>
          <w:rFonts w:eastAsia="Calibri" w:cs="Tahoma"/>
          <w:szCs w:val="20"/>
          <w:lang w:val="pt-BR"/>
        </w:rPr>
        <w:t>seção Pool de Sistemas deste documento.</w:t>
      </w:r>
      <w:r w:rsidR="005A52A2" w:rsidRPr="00C50FD1">
        <w:rPr>
          <w:rFonts w:eastAsia="Calibri" w:cs="Tahoma"/>
          <w:szCs w:val="20"/>
          <w:lang w:val="pt-BR"/>
        </w:rPr>
        <w:t xml:space="preserve"> </w:t>
      </w:r>
    </w:p>
    <w:p w:rsidR="0008414D" w:rsidRPr="00C50FD1" w:rsidRDefault="0008414D" w:rsidP="00C277BC">
      <w:pPr>
        <w:spacing w:line="180" w:lineRule="exact"/>
        <w:rPr>
          <w:lang w:val="pt-BR"/>
        </w:rPr>
      </w:pPr>
    </w:p>
    <w:p w:rsidR="0008414D" w:rsidRPr="00C50FD1" w:rsidRDefault="0008414D" w:rsidP="0007218F">
      <w:pPr>
        <w:rPr>
          <w:lang w:val="pt-BR"/>
        </w:rPr>
      </w:pPr>
      <w:r w:rsidRPr="00C50FD1">
        <w:rPr>
          <w:rFonts w:eastAsia="Calibri" w:cs="Tahoma"/>
          <w:szCs w:val="20"/>
          <w:lang w:val="pt-BR"/>
        </w:rPr>
        <w:t>O Windows Thin PC é uma solução de sistema operacional com base no Windows de superfície menor desenvolvido para os clientes que gostariam de adaptar seus PCs com Windows 8 existentes</w:t>
      </w:r>
      <w:r w:rsidRPr="00C50FD1">
        <w:rPr>
          <w:rFonts w:eastAsia="Calibri" w:cs="Tahoma"/>
          <w:color w:val="1F497D"/>
          <w:szCs w:val="20"/>
          <w:lang w:val="pt-BR"/>
        </w:rPr>
        <w:t xml:space="preserve"> </w:t>
      </w:r>
      <w:r w:rsidRPr="00C50FD1">
        <w:rPr>
          <w:rFonts w:eastAsia="Calibri" w:cs="Tahoma"/>
          <w:szCs w:val="20"/>
          <w:lang w:val="pt-BR"/>
        </w:rPr>
        <w:t>para se conectar a um desktop centralizado sem ter que comprar novo hardware thin client.</w:t>
      </w:r>
      <w:r w:rsidR="005A52A2" w:rsidRPr="00C50FD1">
        <w:rPr>
          <w:rFonts w:eastAsia="Calibri" w:cs="Tahoma"/>
          <w:szCs w:val="20"/>
          <w:lang w:val="pt-BR"/>
        </w:rPr>
        <w:t xml:space="preserve"> </w:t>
      </w:r>
      <w:r w:rsidRPr="00C50FD1">
        <w:rPr>
          <w:rFonts w:eastAsia="Calibri" w:cs="Tahoma"/>
          <w:szCs w:val="20"/>
          <w:lang w:val="pt-BR"/>
        </w:rPr>
        <w:t>Os clientes qualificados podem usar o Windows Thin PC</w:t>
      </w:r>
      <w:r w:rsidR="002C7EF6" w:rsidRPr="00C50FD1">
        <w:rPr>
          <w:rFonts w:eastAsia="Calibri" w:cs="Tahoma"/>
          <w:szCs w:val="20"/>
          <w:lang w:val="pt-BR"/>
        </w:rPr>
        <w:t> </w:t>
      </w:r>
      <w:r w:rsidRPr="00C50FD1">
        <w:rPr>
          <w:rFonts w:eastAsia="Calibri" w:cs="Tahoma"/>
          <w:szCs w:val="20"/>
          <w:lang w:val="pt-BR"/>
        </w:rPr>
        <w:t>no lugar de instâncias do sistema operacional Windows Desktop que têm permissão para serem usados sob a</w:t>
      </w:r>
      <w:r w:rsidR="002C7EF6" w:rsidRPr="00C50FD1">
        <w:rPr>
          <w:rFonts w:eastAsia="Calibri" w:cs="Tahoma"/>
          <w:szCs w:val="20"/>
          <w:lang w:val="pt-BR"/>
        </w:rPr>
        <w:t> </w:t>
      </w:r>
      <w:r w:rsidRPr="00C50FD1">
        <w:rPr>
          <w:rFonts w:eastAsia="Calibri" w:cs="Tahoma"/>
          <w:szCs w:val="20"/>
          <w:lang w:val="pt-BR"/>
        </w:rPr>
        <w:t xml:space="preserve">cobertura do Windows Software Assurance, Windows Intune </w:t>
      </w:r>
      <w:r w:rsidRPr="00C50FD1">
        <w:rPr>
          <w:rFonts w:cs="Tahoma"/>
          <w:szCs w:val="18"/>
          <w:lang w:val="pt-BR"/>
        </w:rPr>
        <w:t>(Por Dispositivo)</w:t>
      </w:r>
      <w:r w:rsidRPr="00C50FD1">
        <w:rPr>
          <w:rFonts w:eastAsia="Calibri" w:cs="Tahoma"/>
          <w:color w:val="000000"/>
          <w:szCs w:val="20"/>
          <w:lang w:val="pt-BR"/>
        </w:rPr>
        <w:t xml:space="preserve"> ou licenças do Windows </w:t>
      </w:r>
      <w:r w:rsidRPr="00C50FD1">
        <w:rPr>
          <w:rFonts w:eastAsia="Calibri" w:cs="Tahoma"/>
          <w:szCs w:val="20"/>
          <w:lang w:val="pt-BR"/>
        </w:rPr>
        <w:t>VDA.</w:t>
      </w:r>
      <w:r w:rsidR="005A52A2" w:rsidRPr="00C50FD1">
        <w:rPr>
          <w:rFonts w:eastAsia="Calibri" w:cs="Tahoma"/>
          <w:szCs w:val="20"/>
          <w:lang w:val="pt-BR"/>
        </w:rPr>
        <w:t xml:space="preserve"> </w:t>
      </w:r>
      <w:r w:rsidRPr="00C50FD1">
        <w:rPr>
          <w:rFonts w:eastAsia="Calibri" w:cs="Tahoma"/>
          <w:szCs w:val="20"/>
          <w:lang w:val="pt-BR"/>
        </w:rPr>
        <w:t>O</w:t>
      </w:r>
      <w:r w:rsidR="002C7EF6" w:rsidRPr="00C50FD1">
        <w:rPr>
          <w:rFonts w:eastAsia="Calibri" w:cs="Tahoma"/>
          <w:szCs w:val="20"/>
          <w:lang w:val="pt-BR"/>
        </w:rPr>
        <w:t> </w:t>
      </w:r>
      <w:r w:rsidRPr="00C50FD1">
        <w:rPr>
          <w:rFonts w:eastAsia="Calibri" w:cs="Tahoma"/>
          <w:szCs w:val="20"/>
          <w:lang w:val="pt-BR"/>
        </w:rPr>
        <w:t>uso</w:t>
      </w:r>
      <w:r w:rsidR="002C7EF6" w:rsidRPr="00C50FD1">
        <w:rPr>
          <w:rFonts w:eastAsia="Calibri" w:cs="Tahoma"/>
          <w:szCs w:val="20"/>
          <w:lang w:val="pt-BR"/>
        </w:rPr>
        <w:t> </w:t>
      </w:r>
      <w:r w:rsidRPr="00C50FD1">
        <w:rPr>
          <w:rFonts w:eastAsia="Calibri" w:cs="Tahoma"/>
          <w:szCs w:val="20"/>
          <w:lang w:val="pt-BR"/>
        </w:rPr>
        <w:t>do Windows Thin PC pelos clientes está sujeito aos termos e condições de seus contratos de licença.</w:t>
      </w:r>
    </w:p>
    <w:p w:rsidR="00EA20DF" w:rsidRPr="00C50FD1" w:rsidRDefault="00EA20DF" w:rsidP="0007218F">
      <w:pPr>
        <w:outlineLvl w:val="2"/>
        <w:rPr>
          <w:rFonts w:cs="Tahoma"/>
          <w:b/>
          <w:szCs w:val="18"/>
          <w:lang w:val="pt-BR"/>
        </w:rPr>
      </w:pPr>
      <w:bookmarkStart w:id="961" w:name="_Toc291204568"/>
    </w:p>
    <w:p w:rsidR="00F30075" w:rsidRPr="00C50FD1" w:rsidRDefault="00F30075" w:rsidP="0007218F">
      <w:pPr>
        <w:outlineLvl w:val="2"/>
        <w:rPr>
          <w:lang w:val="pt-BR"/>
        </w:rPr>
      </w:pPr>
      <w:r w:rsidRPr="00C50FD1">
        <w:rPr>
          <w:rFonts w:cs="Tahoma"/>
          <w:b/>
          <w:sz w:val="24"/>
          <w:szCs w:val="20"/>
          <w:lang w:val="pt-BR"/>
        </w:rPr>
        <w:t>Suporte Estendido a Hotfix</w:t>
      </w:r>
      <w:bookmarkEnd w:id="961"/>
    </w:p>
    <w:p w:rsidR="00F30075" w:rsidRPr="00C50FD1" w:rsidRDefault="00F30075" w:rsidP="003F2A6D">
      <w:pPr>
        <w:spacing w:line="180" w:lineRule="exact"/>
        <w:outlineLvl w:val="2"/>
        <w:rPr>
          <w:lang w:val="pt-BR"/>
        </w:rPr>
      </w:pPr>
    </w:p>
    <w:p w:rsidR="00F30075" w:rsidRPr="00C50FD1" w:rsidRDefault="00F30075" w:rsidP="00F30075">
      <w:pPr>
        <w:rPr>
          <w:lang w:val="pt-BR"/>
        </w:rPr>
      </w:pPr>
      <w:r w:rsidRPr="00C50FD1">
        <w:rPr>
          <w:rFonts w:cs="Tahoma"/>
          <w:lang w:val="pt-BR"/>
        </w:rPr>
        <w:t>O Suporte Estendido a Hotfix está disponível para os clientes a seguir:</w:t>
      </w:r>
    </w:p>
    <w:p w:rsidR="0007218F" w:rsidRPr="00C50FD1" w:rsidRDefault="0007218F" w:rsidP="003F2A6D">
      <w:pPr>
        <w:spacing w:line="180" w:lineRule="exact"/>
        <w:outlineLvl w:val="2"/>
        <w:rPr>
          <w:lang w:val="pt-BR"/>
        </w:rPr>
      </w:pPr>
    </w:p>
    <w:p w:rsidR="00F30075" w:rsidRPr="00C50FD1" w:rsidRDefault="00F30075" w:rsidP="002C1048">
      <w:pPr>
        <w:numPr>
          <w:ilvl w:val="0"/>
          <w:numId w:val="62"/>
        </w:numPr>
        <w:spacing w:after="60"/>
        <w:ind w:left="1440"/>
        <w:contextualSpacing/>
        <w:jc w:val="both"/>
        <w:rPr>
          <w:lang w:val="pt-BR"/>
        </w:rPr>
      </w:pPr>
      <w:r w:rsidRPr="00C50FD1">
        <w:rPr>
          <w:rFonts w:eastAsia="Calibri"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rsidR="00F30075" w:rsidRPr="00C50FD1" w:rsidRDefault="00F30075" w:rsidP="002C1048">
      <w:pPr>
        <w:numPr>
          <w:ilvl w:val="0"/>
          <w:numId w:val="62"/>
        </w:numPr>
        <w:spacing w:after="60"/>
        <w:ind w:left="1440"/>
        <w:jc w:val="both"/>
        <w:rPr>
          <w:lang w:val="pt-BR"/>
        </w:rPr>
      </w:pPr>
      <w:r w:rsidRPr="00C50FD1">
        <w:rPr>
          <w:rFonts w:cs="Tahoma"/>
          <w:szCs w:val="18"/>
          <w:lang w:val="pt-BR"/>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 Hotfix para sistema operacional de desktop Windows</w:t>
      </w:r>
    </w:p>
    <w:p w:rsidR="00F30075" w:rsidRPr="00C50FD1" w:rsidRDefault="00F30075" w:rsidP="002C1048">
      <w:pPr>
        <w:numPr>
          <w:ilvl w:val="0"/>
          <w:numId w:val="62"/>
        </w:numPr>
        <w:spacing w:after="60"/>
        <w:ind w:left="1440"/>
        <w:jc w:val="both"/>
        <w:rPr>
          <w:lang w:val="pt-BR"/>
        </w:rPr>
      </w:pPr>
      <w:r w:rsidRPr="00C50FD1">
        <w:rPr>
          <w:rFonts w:cs="Tahoma"/>
          <w:szCs w:val="18"/>
          <w:lang w:val="pt-BR"/>
        </w:rPr>
        <w:t>Os clientes com assinaturas ativas do Windows Intune (Por Dispositivo) estão qualificados para o</w:t>
      </w:r>
      <w:r w:rsidR="00A10533" w:rsidRPr="00C50FD1">
        <w:rPr>
          <w:rFonts w:cs="Tahoma"/>
          <w:szCs w:val="18"/>
          <w:lang w:val="pt-BR"/>
        </w:rPr>
        <w:t> </w:t>
      </w:r>
      <w:r w:rsidRPr="00C50FD1">
        <w:rPr>
          <w:rFonts w:cs="Tahoma"/>
          <w:szCs w:val="18"/>
          <w:lang w:val="pt-BR"/>
        </w:rPr>
        <w:t>Suporte Estendido a Hotfix do sistema operacional de desktop Windows</w:t>
      </w:r>
    </w:p>
    <w:p w:rsidR="0007218F" w:rsidRPr="00653421" w:rsidRDefault="007627B7" w:rsidP="002C1048">
      <w:pPr>
        <w:numPr>
          <w:ilvl w:val="0"/>
          <w:numId w:val="62"/>
        </w:numPr>
        <w:spacing w:after="60"/>
        <w:ind w:left="1440"/>
        <w:contextualSpacing/>
      </w:pPr>
      <w:r w:rsidRPr="00C50FD1">
        <w:rPr>
          <w:rFonts w:eastAsia="Calibri" w:cs="Tahoma"/>
          <w:szCs w:val="18"/>
          <w:lang w:val="pt-BR"/>
        </w:rPr>
        <w:t>Os clientes (que não forem do Academic) com Software Assurance em pelo menos um produto de</w:t>
      </w:r>
      <w:r w:rsidR="00A10533" w:rsidRPr="00C50FD1">
        <w:rPr>
          <w:rFonts w:eastAsia="Calibri" w:cs="Tahoma"/>
          <w:szCs w:val="18"/>
          <w:lang w:val="pt-BR"/>
        </w:rPr>
        <w:t> </w:t>
      </w:r>
      <w:r w:rsidRPr="00C50FD1">
        <w:rPr>
          <w:rFonts w:eastAsia="Calibri" w:cs="Tahoma"/>
          <w:szCs w:val="18"/>
          <w:lang w:val="pt-BR"/>
        </w:rPr>
        <w:t>servidor estão qualificados para o Suporte Estendido a Hotfix para produtos de Servidor.</w:t>
      </w:r>
      <w:r w:rsidR="005A52A2" w:rsidRPr="00C50FD1">
        <w:rPr>
          <w:rFonts w:eastAsia="Calibri" w:cs="Tahoma"/>
          <w:szCs w:val="18"/>
          <w:lang w:val="pt-BR"/>
        </w:rPr>
        <w:t xml:space="preserve"> </w:t>
      </w:r>
      <w:r w:rsidRPr="00653421">
        <w:rPr>
          <w:rFonts w:cs="Tahoma"/>
          <w:szCs w:val="18"/>
        </w:rPr>
        <w:t>Os</w:t>
      </w:r>
      <w:r w:rsidR="00A10533" w:rsidRPr="00653421">
        <w:rPr>
          <w:rFonts w:cs="Tahoma"/>
          <w:szCs w:val="18"/>
        </w:rPr>
        <w:t> </w:t>
      </w:r>
      <w:r w:rsidRPr="00653421">
        <w:rPr>
          <w:rFonts w:cs="Tahoma"/>
          <w:szCs w:val="18"/>
        </w:rPr>
        <w:t>produtos de servidor a seguir têm cobertura:</w:t>
      </w:r>
    </w:p>
    <w:p w:rsidR="007627B7" w:rsidRPr="00653421" w:rsidRDefault="007627B7" w:rsidP="002C1048">
      <w:pPr>
        <w:numPr>
          <w:ilvl w:val="2"/>
          <w:numId w:val="62"/>
        </w:numPr>
        <w:spacing w:after="60"/>
        <w:ind w:left="1980"/>
        <w:contextualSpacing/>
      </w:pPr>
      <w:r w:rsidRPr="00653421">
        <w:rPr>
          <w:rFonts w:cs="Tahoma"/>
          <w:iCs/>
          <w:color w:val="000000"/>
          <w:szCs w:val="18"/>
        </w:rPr>
        <w:t>Microsoft Exchange Server, Microsoft SQL Server, System Center 2012 e Windows Server.</w:t>
      </w:r>
    </w:p>
    <w:p w:rsidR="00A10533" w:rsidRPr="00653421" w:rsidRDefault="00A10533" w:rsidP="003F2A6D">
      <w:pPr>
        <w:spacing w:line="180" w:lineRule="exact"/>
        <w:outlineLvl w:val="2"/>
      </w:pPr>
    </w:p>
    <w:p w:rsidR="00023FE7" w:rsidRPr="00C50FD1" w:rsidRDefault="00023FE7">
      <w:pPr>
        <w:rPr>
          <w:lang w:val="pt-BR"/>
        </w:rPr>
      </w:pPr>
      <w:r w:rsidRPr="00C50FD1">
        <w:rPr>
          <w:rFonts w:cs="Tahoma"/>
          <w:szCs w:val="18"/>
          <w:lang w:val="pt-BR"/>
        </w:rPr>
        <w:t>O Suporte Estendido a Hotfix é um benefício para versões de software mais antigas que fizeram a transição de Suporte Base para Suporte Estendido.</w:t>
      </w:r>
      <w:r w:rsidR="005A52A2" w:rsidRPr="00C50FD1">
        <w:rPr>
          <w:rFonts w:cs="Tahoma"/>
          <w:szCs w:val="18"/>
          <w:lang w:val="pt-BR"/>
        </w:rPr>
        <w:t xml:space="preserve"> </w:t>
      </w:r>
      <w:r w:rsidRPr="00C50FD1">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w:t>
      </w:r>
      <w:r w:rsidR="00A10533" w:rsidRPr="00C50FD1">
        <w:rPr>
          <w:rFonts w:cs="Tahoma"/>
          <w:szCs w:val="18"/>
          <w:lang w:val="pt-BR"/>
        </w:rPr>
        <w:t> </w:t>
      </w:r>
      <w:r w:rsidRPr="00C50FD1">
        <w:rPr>
          <w:rFonts w:cs="Tahoma"/>
          <w:szCs w:val="18"/>
          <w:lang w:val="pt-BR"/>
        </w:rPr>
        <w:t>período de 90 dias da transição de um produto para o Suporte Estendido.</w:t>
      </w:r>
      <w:r w:rsidR="005A52A2" w:rsidRPr="00C50FD1">
        <w:rPr>
          <w:rFonts w:cs="Tahoma"/>
          <w:szCs w:val="18"/>
          <w:lang w:val="pt-BR"/>
        </w:rPr>
        <w:t xml:space="preserve"> </w:t>
      </w:r>
    </w:p>
    <w:p w:rsidR="00023FE7" w:rsidRPr="00C50FD1" w:rsidRDefault="00023FE7" w:rsidP="003F2A6D">
      <w:pPr>
        <w:spacing w:line="180" w:lineRule="exact"/>
        <w:outlineLvl w:val="2"/>
        <w:rPr>
          <w:lang w:val="pt-BR"/>
        </w:rPr>
      </w:pPr>
    </w:p>
    <w:p w:rsidR="00023FE7" w:rsidRPr="00C50FD1" w:rsidRDefault="00023FE7">
      <w:pPr>
        <w:rPr>
          <w:lang w:val="pt-BR"/>
        </w:rPr>
      </w:pPr>
      <w:r w:rsidRPr="00C50FD1">
        <w:rPr>
          <w:rStyle w:val="PageNumber"/>
          <w:rFonts w:cs="Tahoma"/>
          <w:szCs w:val="18"/>
          <w:lang w:val="pt-BR"/>
        </w:rPr>
        <w:t>O</w:t>
      </w:r>
      <w:r w:rsidRPr="00C50FD1">
        <w:rPr>
          <w:rFonts w:cs="Tahoma"/>
          <w:szCs w:val="18"/>
          <w:lang w:val="pt-BR"/>
        </w:rPr>
        <w:t>s clientes são responsáveis pelos valores de Hotfixes individuais.</w:t>
      </w:r>
      <w:r w:rsidR="005A52A2" w:rsidRPr="00C50FD1">
        <w:rPr>
          <w:rFonts w:cs="Tahoma"/>
          <w:szCs w:val="18"/>
          <w:lang w:val="pt-BR"/>
        </w:rPr>
        <w:t xml:space="preserve"> </w:t>
      </w:r>
      <w:r w:rsidRPr="00C50FD1">
        <w:rPr>
          <w:rFonts w:cs="Tahoma"/>
          <w:szCs w:val="18"/>
          <w:lang w:val="pt-BR"/>
        </w:rPr>
        <w:t>Um contrato de Suporte Premier ou Essential é</w:t>
      </w:r>
      <w:r w:rsidR="00A10533" w:rsidRPr="00C50FD1">
        <w:rPr>
          <w:rFonts w:cs="Tahoma"/>
          <w:szCs w:val="18"/>
          <w:lang w:val="pt-BR"/>
        </w:rPr>
        <w:t> </w:t>
      </w:r>
      <w:r w:rsidRPr="00C50FD1">
        <w:rPr>
          <w:rFonts w:cs="Tahoma"/>
          <w:szCs w:val="18"/>
          <w:lang w:val="pt-BR"/>
        </w:rPr>
        <w:t>uma pré-requisito para a qualificação.</w:t>
      </w:r>
    </w:p>
    <w:p w:rsidR="000429EF" w:rsidRPr="00C50FD1" w:rsidRDefault="000429EF" w:rsidP="003F2A6D">
      <w:pPr>
        <w:pStyle w:val="Heading3"/>
        <w:spacing w:line="180" w:lineRule="exact"/>
        <w:rPr>
          <w:rFonts w:ascii="Tahoma" w:hAnsi="Tahoma" w:cs="Tahoma"/>
          <w:sz w:val="18"/>
          <w:szCs w:val="18"/>
          <w:lang w:val="pt-BR"/>
        </w:rPr>
      </w:pPr>
    </w:p>
    <w:p w:rsidR="00EA20DF" w:rsidRPr="00C50FD1" w:rsidRDefault="00EA20DF" w:rsidP="00EA20DF">
      <w:pPr>
        <w:rPr>
          <w:lang w:val="pt-BR"/>
        </w:rPr>
      </w:pPr>
    </w:p>
    <w:p w:rsidR="00EA20DF" w:rsidRPr="00C50FD1" w:rsidRDefault="00EA20DF" w:rsidP="00EA20DF">
      <w:pPr>
        <w:rPr>
          <w:lang w:val="pt-BR"/>
        </w:rPr>
      </w:pPr>
    </w:p>
    <w:p w:rsidR="00EA20DF" w:rsidRPr="00C50FD1" w:rsidRDefault="00EA20DF" w:rsidP="00EA20DF">
      <w:pPr>
        <w:rPr>
          <w:lang w:val="pt-BR"/>
        </w:rPr>
      </w:pPr>
    </w:p>
    <w:p w:rsidR="00EA20DF" w:rsidRPr="00C50FD1" w:rsidRDefault="00EA20DF" w:rsidP="00EA20DF">
      <w:pPr>
        <w:rPr>
          <w:lang w:val="pt-BR"/>
        </w:rPr>
      </w:pPr>
    </w:p>
    <w:p w:rsidR="00EA20DF" w:rsidRPr="00C50FD1" w:rsidRDefault="00EA20DF" w:rsidP="00EA20DF">
      <w:pPr>
        <w:rPr>
          <w:lang w:val="pt-BR"/>
        </w:rPr>
      </w:pPr>
    </w:p>
    <w:p w:rsidR="00EA20DF" w:rsidRPr="00C50FD1" w:rsidRDefault="00EA20DF" w:rsidP="00EA20DF">
      <w:pPr>
        <w:rPr>
          <w:lang w:val="pt-BR"/>
        </w:rPr>
      </w:pPr>
    </w:p>
    <w:p w:rsidR="00023FE7" w:rsidRPr="00653421" w:rsidRDefault="00023FE7">
      <w:pPr>
        <w:pStyle w:val="Heading3"/>
      </w:pPr>
      <w:bookmarkStart w:id="962" w:name="_Toc336338244"/>
      <w:bookmarkStart w:id="963" w:name="_Toc353470892"/>
      <w:r w:rsidRPr="00653421">
        <w:rPr>
          <w:rFonts w:ascii="Tahoma" w:hAnsi="Tahoma" w:cs="Tahoma"/>
          <w:sz w:val="24"/>
        </w:rPr>
        <w:lastRenderedPageBreak/>
        <w:t>Microsoft Desktop Optimization Pack para Software Assurance</w:t>
      </w:r>
      <w:bookmarkEnd w:id="962"/>
      <w:bookmarkEnd w:id="963"/>
    </w:p>
    <w:p w:rsidR="00023FE7" w:rsidRPr="00653421" w:rsidRDefault="00023FE7" w:rsidP="003F2A6D">
      <w:pPr>
        <w:spacing w:line="180" w:lineRule="exact"/>
      </w:pPr>
    </w:p>
    <w:p w:rsidR="00F30075" w:rsidRPr="00C50FD1" w:rsidRDefault="00F30075" w:rsidP="00F30075">
      <w:pPr>
        <w:rPr>
          <w:lang w:val="pt-BR"/>
        </w:rPr>
      </w:pPr>
      <w:r w:rsidRPr="00C50FD1">
        <w:rPr>
          <w:rFonts w:eastAsia="MS PGothic" w:cs="Tahoma"/>
          <w:szCs w:val="18"/>
          <w:lang w:val="pt-BR"/>
        </w:rPr>
        <w:t>O Microsoft Desktop Optimization Pack for Software Assurance (MDOP) é uma compra opcional disponível apenas para os clientes que possuem o seguinte:</w:t>
      </w:r>
    </w:p>
    <w:p w:rsidR="00E762F8" w:rsidRPr="00C50FD1" w:rsidRDefault="00E762F8" w:rsidP="003F2A6D">
      <w:pPr>
        <w:spacing w:line="180" w:lineRule="exact"/>
        <w:rPr>
          <w:lang w:val="pt-BR"/>
        </w:rPr>
      </w:pPr>
    </w:p>
    <w:p w:rsidR="00F30075" w:rsidRPr="00C50FD1" w:rsidRDefault="00F30075" w:rsidP="002C1048">
      <w:pPr>
        <w:numPr>
          <w:ilvl w:val="0"/>
          <w:numId w:val="61"/>
        </w:numPr>
        <w:spacing w:after="60" w:line="276" w:lineRule="auto"/>
        <w:ind w:left="1440" w:hanging="274"/>
        <w:rPr>
          <w:lang w:val="pt-BR"/>
        </w:rPr>
      </w:pPr>
      <w:r w:rsidRPr="00C50FD1">
        <w:rPr>
          <w:rFonts w:eastAsia="MS PGothic" w:cs="Tahoma"/>
          <w:szCs w:val="18"/>
          <w:lang w:val="pt-BR"/>
        </w:rPr>
        <w:t>Software Assurance ativo para suas licenças do sistema operacional de desktop Windows</w:t>
      </w:r>
    </w:p>
    <w:p w:rsidR="00F30075" w:rsidRPr="00C50FD1" w:rsidRDefault="00F30075" w:rsidP="002C1048">
      <w:pPr>
        <w:numPr>
          <w:ilvl w:val="0"/>
          <w:numId w:val="61"/>
        </w:numPr>
        <w:spacing w:after="60" w:line="276" w:lineRule="auto"/>
        <w:ind w:left="1440" w:hanging="274"/>
        <w:rPr>
          <w:lang w:val="pt-BR"/>
        </w:rPr>
      </w:pPr>
      <w:r w:rsidRPr="00C50FD1">
        <w:rPr>
          <w:rFonts w:eastAsia="MS PGothic" w:cs="Tahoma"/>
          <w:szCs w:val="18"/>
          <w:lang w:val="pt-BR"/>
        </w:rPr>
        <w:t>Assinaturas ativas do Windows Virtual Desktop Access ou</w:t>
      </w:r>
    </w:p>
    <w:p w:rsidR="00F30075" w:rsidRPr="00C50FD1" w:rsidRDefault="00F30075" w:rsidP="002C1048">
      <w:pPr>
        <w:numPr>
          <w:ilvl w:val="0"/>
          <w:numId w:val="61"/>
        </w:numPr>
        <w:spacing w:after="60" w:line="276" w:lineRule="auto"/>
        <w:ind w:left="1440" w:hanging="274"/>
        <w:rPr>
          <w:lang w:val="pt-BR"/>
        </w:rPr>
      </w:pPr>
      <w:r w:rsidRPr="00C50FD1">
        <w:rPr>
          <w:rFonts w:eastAsia="MS PGothic" w:cs="Tahoma"/>
          <w:szCs w:val="18"/>
          <w:lang w:val="pt-BR"/>
        </w:rPr>
        <w:t xml:space="preserve">Assinaturas ativas do Windows Intune </w:t>
      </w:r>
      <w:r w:rsidRPr="00C50FD1">
        <w:rPr>
          <w:rFonts w:cs="Tahoma"/>
          <w:szCs w:val="18"/>
          <w:lang w:val="pt-BR"/>
        </w:rPr>
        <w:t>(Por Dispositivo) ou</w:t>
      </w:r>
    </w:p>
    <w:p w:rsidR="00421D4A" w:rsidRPr="00C50FD1" w:rsidRDefault="00421D4A" w:rsidP="00737831">
      <w:pPr>
        <w:numPr>
          <w:ilvl w:val="0"/>
          <w:numId w:val="61"/>
        </w:numPr>
        <w:spacing w:after="200" w:line="276" w:lineRule="auto"/>
        <w:ind w:left="1440" w:hanging="270"/>
        <w:rPr>
          <w:lang w:val="pt-BR"/>
        </w:rPr>
      </w:pPr>
      <w:r w:rsidRPr="00C50FD1">
        <w:rPr>
          <w:rFonts w:eastAsia="MS PGothic" w:cs="Tahoma"/>
          <w:color w:val="000000"/>
          <w:szCs w:val="18"/>
          <w:lang w:val="pt-BR"/>
        </w:rPr>
        <w:t xml:space="preserve">Assinaturas ativas para </w:t>
      </w:r>
      <w:r w:rsidRPr="00C50FD1">
        <w:rPr>
          <w:rFonts w:eastAsia="MS PGothic" w:cs="Tahoma"/>
          <w:szCs w:val="18"/>
          <w:lang w:val="pt-BR"/>
        </w:rPr>
        <w:t>Licença de Assinatura do Windows Companion</w:t>
      </w:r>
    </w:p>
    <w:p w:rsidR="00023FE7" w:rsidRPr="00C50FD1" w:rsidRDefault="008C0608" w:rsidP="003F2A6D">
      <w:pPr>
        <w:spacing w:line="180" w:lineRule="exact"/>
        <w:rPr>
          <w:lang w:val="pt-BR"/>
        </w:rPr>
      </w:pPr>
      <w:r w:rsidRPr="00C50FD1">
        <w:rPr>
          <w:rFonts w:eastAsia="MS PGothic" w:cs="Tahoma"/>
          <w:szCs w:val="18"/>
          <w:lang w:val="pt-BR"/>
        </w:rPr>
        <w:t xml:space="preserve"> </w:t>
      </w:r>
    </w:p>
    <w:p w:rsidR="00023FE7" w:rsidRPr="00C50FD1" w:rsidRDefault="00023FE7">
      <w:pPr>
        <w:rPr>
          <w:lang w:val="pt-BR"/>
        </w:rPr>
      </w:pPr>
      <w:r w:rsidRPr="00C50FD1">
        <w:rPr>
          <w:rFonts w:eastAsia="MS PGothic" w:cs="Tahoma"/>
          <w:color w:val="000000"/>
          <w:szCs w:val="18"/>
          <w:lang w:val="pt-BR"/>
        </w:rPr>
        <w:t xml:space="preserve">Para obter mais informações sobre esse produto, consulte as Notas do Produto na seção de pool de sistemas deste documento. </w:t>
      </w:r>
    </w:p>
    <w:p w:rsidR="00023FE7" w:rsidRPr="00C50FD1" w:rsidRDefault="00023FE7" w:rsidP="003F2A6D">
      <w:pPr>
        <w:spacing w:line="180" w:lineRule="exact"/>
        <w:rPr>
          <w:lang w:val="pt-BR"/>
        </w:rPr>
      </w:pPr>
    </w:p>
    <w:p w:rsidR="002D7B73" w:rsidRPr="00C50FD1" w:rsidRDefault="008C0608" w:rsidP="002D7B73">
      <w:pPr>
        <w:rPr>
          <w:lang w:val="pt-BR"/>
        </w:rPr>
      </w:pPr>
      <w:r w:rsidRPr="00C50FD1">
        <w:rPr>
          <w:rFonts w:cs="Tahoma"/>
          <w:b/>
          <w:color w:val="000000"/>
          <w:sz w:val="24"/>
          <w:szCs w:val="18"/>
          <w:lang w:val="pt-BR"/>
        </w:rPr>
        <w:t>Direitos de Virtualização para Desktops Windows Licenciados</w:t>
      </w:r>
    </w:p>
    <w:p w:rsidR="0043735F" w:rsidRPr="00C50FD1" w:rsidRDefault="0043735F" w:rsidP="003F2A6D">
      <w:pPr>
        <w:spacing w:line="180" w:lineRule="exact"/>
        <w:rPr>
          <w:lang w:val="pt-BR"/>
        </w:rPr>
      </w:pPr>
    </w:p>
    <w:p w:rsidR="008C0608" w:rsidRPr="00C50FD1" w:rsidRDefault="008C0608" w:rsidP="008C0608">
      <w:pPr>
        <w:rPr>
          <w:lang w:val="pt-BR"/>
        </w:rPr>
      </w:pPr>
      <w:r w:rsidRPr="00C50FD1">
        <w:rPr>
          <w:rFonts w:cs="Tahoma"/>
          <w:color w:val="000000"/>
          <w:szCs w:val="18"/>
          <w:lang w:val="pt-BR"/>
        </w:rPr>
        <w:t>Os clientes de Licenciamento por Volume possuem um pouco de flexibilidade na maneira como podem implantar o</w:t>
      </w:r>
      <w:r w:rsidR="00A10533" w:rsidRPr="00C50FD1">
        <w:rPr>
          <w:rFonts w:cs="Tahoma"/>
          <w:color w:val="000000"/>
          <w:szCs w:val="18"/>
          <w:lang w:val="pt-BR"/>
        </w:rPr>
        <w:t> </w:t>
      </w:r>
      <w:r w:rsidRPr="00C50FD1">
        <w:rPr>
          <w:rFonts w:cs="Tahoma"/>
          <w:color w:val="000000"/>
          <w:szCs w:val="18"/>
          <w:lang w:val="pt-BR"/>
        </w:rPr>
        <w:t>Windows 8 em suas organizações.</w:t>
      </w:r>
      <w:r w:rsidR="005A52A2" w:rsidRPr="00C50FD1">
        <w:rPr>
          <w:rFonts w:cs="Tahoma"/>
          <w:color w:val="000000"/>
          <w:szCs w:val="18"/>
          <w:lang w:val="pt-BR"/>
        </w:rPr>
        <w:t xml:space="preserve"> </w:t>
      </w:r>
    </w:p>
    <w:p w:rsidR="008C0608" w:rsidRPr="00C50FD1" w:rsidRDefault="008C0608" w:rsidP="008C0608">
      <w:pPr>
        <w:jc w:val="both"/>
        <w:rPr>
          <w:lang w:val="pt-BR"/>
        </w:rPr>
      </w:pPr>
      <w:r w:rsidRPr="00C50FD1">
        <w:rPr>
          <w:rFonts w:cs="Tahoma"/>
          <w:szCs w:val="18"/>
          <w:lang w:val="pt-BR"/>
        </w:rPr>
        <w:t>Os clientes que tiverem um ou ambos dos seguintes produtos podem aproveitar os direitos de uso da virtualização:</w:t>
      </w:r>
    </w:p>
    <w:p w:rsidR="00BF1889" w:rsidRPr="00C50FD1" w:rsidRDefault="00BF1889" w:rsidP="003F2A6D">
      <w:pPr>
        <w:spacing w:line="180" w:lineRule="exact"/>
        <w:rPr>
          <w:lang w:val="pt-BR"/>
        </w:rPr>
      </w:pPr>
    </w:p>
    <w:p w:rsidR="00F30075" w:rsidRPr="00C50FD1" w:rsidRDefault="00F30075" w:rsidP="002C1048">
      <w:pPr>
        <w:numPr>
          <w:ilvl w:val="0"/>
          <w:numId w:val="51"/>
        </w:numPr>
        <w:spacing w:after="60" w:line="276" w:lineRule="auto"/>
        <w:ind w:left="1440"/>
        <w:rPr>
          <w:lang w:val="pt-BR"/>
        </w:rPr>
      </w:pPr>
      <w:r w:rsidRPr="00C50FD1">
        <w:rPr>
          <w:rFonts w:eastAsia="MS PGothic" w:cs="Tahoma"/>
          <w:szCs w:val="18"/>
          <w:lang w:val="pt-BR"/>
        </w:rPr>
        <w:t>Software Assurance ativo para suas licenças do sistema operacional de desktop Windows</w:t>
      </w:r>
    </w:p>
    <w:p w:rsidR="00AC246A" w:rsidRPr="00C50FD1" w:rsidRDefault="00F30075" w:rsidP="002C1048">
      <w:pPr>
        <w:numPr>
          <w:ilvl w:val="0"/>
          <w:numId w:val="51"/>
        </w:numPr>
        <w:spacing w:after="60" w:line="276" w:lineRule="auto"/>
        <w:ind w:left="1440"/>
        <w:jc w:val="both"/>
        <w:rPr>
          <w:lang w:val="pt-BR"/>
        </w:rPr>
      </w:pPr>
      <w:r w:rsidRPr="00C50FD1">
        <w:rPr>
          <w:rFonts w:cs="Tahoma"/>
          <w:szCs w:val="18"/>
          <w:lang w:val="pt-BR"/>
        </w:rPr>
        <w:t>Benefício de Serviços Online fornecidos com compras do Windows Intune (Por Dispositivo)</w:t>
      </w:r>
    </w:p>
    <w:p w:rsidR="00F30075" w:rsidRPr="00C50FD1" w:rsidRDefault="00F30075" w:rsidP="002C1048">
      <w:pPr>
        <w:numPr>
          <w:ilvl w:val="0"/>
          <w:numId w:val="51"/>
        </w:numPr>
        <w:spacing w:after="60" w:line="276" w:lineRule="auto"/>
        <w:ind w:left="1440"/>
        <w:jc w:val="both"/>
        <w:rPr>
          <w:lang w:val="pt-BR"/>
        </w:rPr>
      </w:pPr>
      <w:r w:rsidRPr="00C50FD1">
        <w:rPr>
          <w:rFonts w:cs="Tahoma"/>
          <w:szCs w:val="18"/>
          <w:lang w:val="pt-BR"/>
        </w:rPr>
        <w:t>Assinaturas ativas do Windows Intune (Por Dispositivo)</w:t>
      </w:r>
    </w:p>
    <w:p w:rsidR="00F30075" w:rsidRPr="00C50FD1" w:rsidRDefault="00F30075" w:rsidP="003F2A6D">
      <w:pPr>
        <w:spacing w:line="180" w:lineRule="exact"/>
        <w:rPr>
          <w:lang w:val="pt-BR"/>
        </w:rPr>
      </w:pPr>
    </w:p>
    <w:p w:rsidR="002D7B73" w:rsidRPr="00C50FD1" w:rsidRDefault="002D7B73" w:rsidP="008C0608">
      <w:pPr>
        <w:rPr>
          <w:lang w:val="pt-BR"/>
        </w:rPr>
      </w:pPr>
      <w:r w:rsidRPr="00C50FD1">
        <w:rPr>
          <w:rFonts w:cs="Tahoma"/>
          <w:color w:val="000000"/>
          <w:szCs w:val="18"/>
          <w:lang w:val="pt-BR"/>
        </w:rPr>
        <w:t>Esse direito de uso permite a execução do software em até quatro máquinas virtuais locais.</w:t>
      </w:r>
      <w:r w:rsidR="005A52A2" w:rsidRPr="00C50FD1">
        <w:rPr>
          <w:rFonts w:cs="Tahoma"/>
          <w:color w:val="000000"/>
          <w:szCs w:val="18"/>
          <w:lang w:val="pt-BR"/>
        </w:rPr>
        <w:t xml:space="preserve"> </w:t>
      </w:r>
      <w:r w:rsidRPr="00C50FD1">
        <w:rPr>
          <w:rFonts w:cs="Tahoma"/>
          <w:color w:val="000000"/>
          <w:szCs w:val="18"/>
          <w:lang w:val="pt-BR"/>
        </w:rPr>
        <w:t>Ao passo que o direito</w:t>
      </w:r>
      <w:r w:rsidR="00E41AF2" w:rsidRPr="00C50FD1">
        <w:rPr>
          <w:rFonts w:cs="Tahoma"/>
          <w:color w:val="000000"/>
          <w:szCs w:val="18"/>
          <w:lang w:val="pt-BR"/>
        </w:rPr>
        <w:t> </w:t>
      </w:r>
      <w:r w:rsidRPr="00C50FD1">
        <w:rPr>
          <w:rFonts w:cs="Tahoma"/>
          <w:color w:val="000000"/>
          <w:szCs w:val="18"/>
          <w:lang w:val="pt-BR"/>
        </w:rPr>
        <w:t>do</w:t>
      </w:r>
      <w:r w:rsidR="00E41AF2" w:rsidRPr="00C50FD1">
        <w:rPr>
          <w:rFonts w:cs="Tahoma"/>
          <w:color w:val="000000"/>
          <w:szCs w:val="18"/>
          <w:lang w:val="pt-BR"/>
        </w:rPr>
        <w:t> </w:t>
      </w:r>
      <w:r w:rsidRPr="00C50FD1">
        <w:rPr>
          <w:rFonts w:cs="Tahoma"/>
          <w:color w:val="000000"/>
          <w:szCs w:val="18"/>
          <w:lang w:val="pt-BR"/>
        </w:rPr>
        <w:t>cliente de usar o Windows 8 Enterprise pode ser mantido após o término de sua cobertura do Software Assurance, o</w:t>
      </w:r>
      <w:r w:rsidR="00A10533" w:rsidRPr="00C50FD1">
        <w:rPr>
          <w:rFonts w:cs="Tahoma"/>
          <w:color w:val="000000"/>
          <w:szCs w:val="18"/>
          <w:lang w:val="pt-BR"/>
        </w:rPr>
        <w:t> </w:t>
      </w:r>
      <w:r w:rsidRPr="00C50FD1">
        <w:rPr>
          <w:rFonts w:cs="Tahoma"/>
          <w:color w:val="000000"/>
          <w:szCs w:val="18"/>
          <w:lang w:val="pt-BR"/>
        </w:rPr>
        <w:t>Direito de Uso da Virtualização não pode.</w:t>
      </w:r>
      <w:r w:rsidR="005A52A2" w:rsidRPr="00C50FD1">
        <w:rPr>
          <w:rFonts w:cs="Tahoma"/>
          <w:color w:val="000000"/>
          <w:szCs w:val="18"/>
          <w:lang w:val="pt-BR"/>
        </w:rPr>
        <w:t xml:space="preserve"> </w:t>
      </w:r>
      <w:r w:rsidRPr="00C50FD1">
        <w:rPr>
          <w:rFonts w:cs="Tahoma"/>
          <w:color w:val="000000"/>
          <w:szCs w:val="18"/>
          <w:lang w:val="pt-BR"/>
        </w:rPr>
        <w:t>Para obter mais detalhes sobre direitos de uso, consulte o</w:t>
      </w:r>
      <w:r w:rsidR="00E41AF2" w:rsidRPr="00C50FD1">
        <w:rPr>
          <w:rFonts w:cs="Tahoma"/>
          <w:color w:val="000000"/>
          <w:szCs w:val="18"/>
          <w:lang w:val="pt-BR"/>
        </w:rPr>
        <w:t> </w:t>
      </w:r>
      <w:r w:rsidRPr="00C50FD1">
        <w:rPr>
          <w:rFonts w:cs="Tahoma"/>
          <w:color w:val="000000"/>
          <w:szCs w:val="18"/>
          <w:lang w:val="pt-BR"/>
        </w:rPr>
        <w:t>documento de</w:t>
      </w:r>
      <w:r w:rsidR="00A10533" w:rsidRPr="00C50FD1">
        <w:rPr>
          <w:rFonts w:cs="Tahoma"/>
          <w:color w:val="000000"/>
          <w:szCs w:val="18"/>
          <w:lang w:val="pt-BR"/>
        </w:rPr>
        <w:t> </w:t>
      </w:r>
      <w:r w:rsidRPr="00C50FD1">
        <w:rPr>
          <w:rFonts w:cs="Tahoma"/>
          <w:color w:val="000000"/>
          <w:szCs w:val="18"/>
          <w:lang w:val="pt-BR"/>
        </w:rPr>
        <w:t>Direitos de Uso do Produto.</w:t>
      </w:r>
    </w:p>
    <w:p w:rsidR="00EA20DF" w:rsidRPr="00C50FD1" w:rsidRDefault="00EA20DF" w:rsidP="002D7B73">
      <w:pPr>
        <w:pStyle w:val="Heading3"/>
        <w:rPr>
          <w:rFonts w:ascii="Tahoma" w:hAnsi="Tahoma"/>
          <w:color w:val="000000"/>
          <w:sz w:val="18"/>
          <w:szCs w:val="18"/>
          <w:lang w:val="pt-BR"/>
        </w:rPr>
      </w:pPr>
      <w:bookmarkStart w:id="964" w:name="_Toc257907651"/>
      <w:bookmarkStart w:id="965" w:name="_Toc353470893"/>
      <w:bookmarkStart w:id="966" w:name="_Toc336338245"/>
      <w:bookmarkStart w:id="967" w:name="_Toc233026785"/>
    </w:p>
    <w:p w:rsidR="002D7B73" w:rsidRPr="00C50FD1" w:rsidRDefault="002D7B73" w:rsidP="002D7B73">
      <w:pPr>
        <w:pStyle w:val="Heading3"/>
        <w:rPr>
          <w:lang w:val="pt-BR"/>
        </w:rPr>
      </w:pPr>
      <w:r w:rsidRPr="00C50FD1">
        <w:rPr>
          <w:rFonts w:ascii="Tahoma" w:hAnsi="Tahoma"/>
          <w:color w:val="000000"/>
          <w:sz w:val="24"/>
          <w:lang w:val="pt-BR"/>
        </w:rPr>
        <w:t>Direitos do Windows Virtual Desktop Access (VDA)</w:t>
      </w:r>
      <w:bookmarkEnd w:id="964"/>
      <w:bookmarkEnd w:id="965"/>
      <w:r w:rsidRPr="00C50FD1">
        <w:rPr>
          <w:rFonts w:ascii="Tahoma" w:hAnsi="Tahoma"/>
          <w:color w:val="000000"/>
          <w:sz w:val="24"/>
          <w:lang w:val="pt-BR"/>
        </w:rPr>
        <w:t xml:space="preserve"> </w:t>
      </w:r>
      <w:bookmarkEnd w:id="966"/>
    </w:p>
    <w:p w:rsidR="002D7B73" w:rsidRPr="00C50FD1" w:rsidRDefault="002D7B73" w:rsidP="008C63DD">
      <w:pPr>
        <w:spacing w:line="180" w:lineRule="exact"/>
        <w:rPr>
          <w:lang w:val="pt-BR"/>
        </w:rPr>
      </w:pPr>
    </w:p>
    <w:p w:rsidR="00EC5C9D" w:rsidRPr="00C50FD1" w:rsidRDefault="00EC5C9D" w:rsidP="00EC5C9D">
      <w:pPr>
        <w:rPr>
          <w:lang w:val="pt-BR"/>
        </w:rPr>
      </w:pPr>
      <w:r w:rsidRPr="00C50FD1">
        <w:rPr>
          <w:rFonts w:eastAsia="Calibri" w:cs="Tahoma"/>
          <w:color w:val="000000"/>
          <w:szCs w:val="18"/>
          <w:lang w:val="pt-BR"/>
        </w:rPr>
        <w:t xml:space="preserve">Os direitos do Windows VDA estão disponíveis para os clientes com Software Assurance para sistema operacional Windows Desktop e clientes licenciados para Windows Intune </w:t>
      </w:r>
      <w:r w:rsidRPr="00C50FD1">
        <w:rPr>
          <w:rFonts w:cs="Tahoma"/>
          <w:szCs w:val="18"/>
          <w:lang w:val="pt-BR"/>
        </w:rPr>
        <w:t>(Por Dispositivo)</w:t>
      </w:r>
      <w:r w:rsidRPr="00C50FD1">
        <w:rPr>
          <w:rFonts w:eastAsia="Calibri" w:cs="Tahoma"/>
          <w:color w:val="000000"/>
          <w:szCs w:val="18"/>
          <w:lang w:val="pt-BR"/>
        </w:rPr>
        <w:t>.</w:t>
      </w:r>
      <w:r w:rsidR="005A52A2" w:rsidRPr="00C50FD1">
        <w:rPr>
          <w:rFonts w:eastAsia="Calibri" w:cs="Tahoma"/>
          <w:color w:val="000000"/>
          <w:szCs w:val="18"/>
          <w:lang w:val="pt-BR"/>
        </w:rPr>
        <w:t xml:space="preserve"> </w:t>
      </w:r>
      <w:r w:rsidRPr="00C50FD1">
        <w:rPr>
          <w:rFonts w:eastAsia="Calibri" w:cs="Tahoma"/>
          <w:color w:val="000000"/>
          <w:szCs w:val="18"/>
          <w:lang w:val="pt-BR"/>
        </w:rPr>
        <w:t>Eles também estão disponíveis como</w:t>
      </w:r>
      <w:r w:rsidR="00E41AF2" w:rsidRPr="00C50FD1">
        <w:rPr>
          <w:rFonts w:eastAsia="Calibri" w:cs="Tahoma"/>
          <w:color w:val="000000"/>
          <w:szCs w:val="18"/>
          <w:lang w:val="pt-BR"/>
        </w:rPr>
        <w:t> </w:t>
      </w:r>
      <w:r w:rsidRPr="00C50FD1">
        <w:rPr>
          <w:rFonts w:eastAsia="Calibri" w:cs="Tahoma"/>
          <w:color w:val="000000"/>
          <w:szCs w:val="18"/>
          <w:lang w:val="pt-BR"/>
        </w:rPr>
        <w:t>uma licença de assinatura separada. O Windows VDA beneficia clientes que desejam implantar o Windows usando dispositivos thin client (geralmente pré-instalados com um sistema operacional embutido). A licença de assinatura do VDA fornece aos clientes o direito de executar a versão mais recente do sistema operacional Windows</w:t>
      </w:r>
      <w:r w:rsidR="00E41AF2" w:rsidRPr="00C50FD1">
        <w:rPr>
          <w:rFonts w:eastAsia="Calibri" w:cs="Tahoma"/>
          <w:color w:val="000000"/>
          <w:szCs w:val="18"/>
          <w:lang w:val="pt-BR"/>
        </w:rPr>
        <w:t> </w:t>
      </w:r>
      <w:r w:rsidRPr="00C50FD1">
        <w:rPr>
          <w:rFonts w:eastAsia="Calibri" w:cs="Tahoma"/>
          <w:color w:val="000000"/>
          <w:szCs w:val="18"/>
          <w:lang w:val="pt-BR"/>
        </w:rPr>
        <w:t>Desktop disponibilizada durante o prazo de suas assinaturas.</w:t>
      </w:r>
    </w:p>
    <w:p w:rsidR="00EC5C9D" w:rsidRPr="00C50FD1" w:rsidRDefault="00EC5C9D" w:rsidP="008C63DD">
      <w:pPr>
        <w:spacing w:line="180" w:lineRule="exact"/>
        <w:rPr>
          <w:lang w:val="pt-BR"/>
        </w:rPr>
      </w:pPr>
    </w:p>
    <w:p w:rsidR="00EC5C9D" w:rsidRPr="00C50FD1" w:rsidRDefault="00EC5C9D" w:rsidP="00EC5C9D">
      <w:pPr>
        <w:rPr>
          <w:lang w:val="pt-BR"/>
        </w:rPr>
      </w:pPr>
      <w:r w:rsidRPr="00C50FD1">
        <w:rPr>
          <w:rFonts w:eastAsia="Calibri" w:cs="Tahoma"/>
          <w:color w:val="000000"/>
          <w:szCs w:val="18"/>
          <w:lang w:val="pt-BR"/>
        </w:rPr>
        <w:t>Para obter mais informações sobre VDA, consulte o documento de Direitos de Uso de Produto.</w:t>
      </w:r>
    </w:p>
    <w:bookmarkEnd w:id="967"/>
    <w:p w:rsidR="00E41AF2" w:rsidRPr="00C50FD1" w:rsidRDefault="00E41AF2" w:rsidP="008C63DD">
      <w:pPr>
        <w:spacing w:line="180" w:lineRule="exact"/>
        <w:rPr>
          <w:lang w:val="pt-BR"/>
        </w:rPr>
      </w:pPr>
    </w:p>
    <w:p w:rsidR="00023FE7" w:rsidRPr="00C50FD1" w:rsidRDefault="00023FE7">
      <w:pPr>
        <w:rPr>
          <w:lang w:val="pt-BR"/>
        </w:rPr>
      </w:pPr>
      <w:bookmarkStart w:id="968" w:name="_Toc336338246"/>
      <w:bookmarkStart w:id="969" w:name="_Toc353470894"/>
      <w:r w:rsidRPr="00C50FD1">
        <w:rPr>
          <w:rStyle w:val="Heading3Char"/>
          <w:rFonts w:ascii="Tahoma" w:hAnsi="Tahoma"/>
          <w:sz w:val="24"/>
          <w:lang w:val="pt-BR"/>
        </w:rPr>
        <w:t>Disponibilidade de Licenças Step-up</w:t>
      </w:r>
      <w:bookmarkEnd w:id="968"/>
      <w:bookmarkEnd w:id="969"/>
      <w:r w:rsidRPr="00C50FD1">
        <w:rPr>
          <w:rFonts w:cs="Tahoma"/>
          <w:b/>
          <w:sz w:val="24"/>
          <w:szCs w:val="20"/>
          <w:lang w:val="pt-BR"/>
        </w:rPr>
        <w:t>*</w:t>
      </w:r>
    </w:p>
    <w:p w:rsidR="00023FE7" w:rsidRPr="00C50FD1" w:rsidRDefault="00023FE7" w:rsidP="008C63DD">
      <w:pPr>
        <w:spacing w:line="180" w:lineRule="exact"/>
        <w:rPr>
          <w:lang w:val="pt-BR"/>
        </w:rPr>
      </w:pPr>
    </w:p>
    <w:p w:rsidR="00023FE7" w:rsidRPr="00C50FD1" w:rsidRDefault="00AD6AD6">
      <w:pPr>
        <w:rPr>
          <w:spacing w:val="-2"/>
          <w:lang w:val="pt-BR"/>
        </w:rPr>
      </w:pPr>
      <w:r w:rsidRPr="00C50FD1">
        <w:rPr>
          <w:rFonts w:cs="Tahoma"/>
          <w:spacing w:val="-2"/>
          <w:szCs w:val="18"/>
          <w:lang w:val="pt-BR"/>
        </w:rPr>
        <w:t>Os clientes podem migrar de uma edição de nível inferior para uma edição de nível superior de determinados produtos com uma Licença Step-up.</w:t>
      </w:r>
      <w:r w:rsidR="005A52A2" w:rsidRPr="00C50FD1">
        <w:rPr>
          <w:rFonts w:cs="Tahoma"/>
          <w:spacing w:val="-2"/>
          <w:szCs w:val="18"/>
          <w:lang w:val="pt-BR"/>
        </w:rPr>
        <w:t xml:space="preserve"> </w:t>
      </w:r>
      <w:r w:rsidRPr="00C50FD1">
        <w:rPr>
          <w:rFonts w:cs="Tahoma"/>
          <w:spacing w:val="-2"/>
          <w:szCs w:val="18"/>
          <w:lang w:val="pt-BR"/>
        </w:rPr>
        <w:t xml:space="preserve">Os clientes devem ter uma licença com Software Assurance ativo para o produto qualificado para </w:t>
      </w:r>
      <w:r w:rsidRPr="00C50FD1">
        <w:rPr>
          <w:rFonts w:cs="Tahoma"/>
          <w:color w:val="000000"/>
          <w:spacing w:val="-2"/>
          <w:szCs w:val="18"/>
          <w:lang w:val="pt-BR"/>
        </w:rPr>
        <w:t>adquirir essa Licença Step-up.</w:t>
      </w:r>
      <w:r w:rsidR="005A52A2" w:rsidRPr="00C50FD1">
        <w:rPr>
          <w:rFonts w:cs="Tahoma"/>
          <w:color w:val="000000"/>
          <w:spacing w:val="-2"/>
          <w:szCs w:val="18"/>
          <w:lang w:val="pt-BR"/>
        </w:rPr>
        <w:t xml:space="preserve"> </w:t>
      </w:r>
      <w:r w:rsidRPr="00C50FD1">
        <w:rPr>
          <w:rFonts w:cs="Tahoma"/>
          <w:color w:val="000000"/>
          <w:spacing w:val="-2"/>
          <w:szCs w:val="18"/>
          <w:lang w:val="pt-BR"/>
        </w:rPr>
        <w:t>A Licença Step-up deve ser adquirida, e é válida apenas quando adquirida, sob os mesmos contrato e registro do Programa de Licenciamento por Volume (se houver), sob o qual a</w:t>
      </w:r>
      <w:r w:rsidR="00611A2E" w:rsidRPr="00C50FD1">
        <w:rPr>
          <w:rFonts w:cs="Tahoma"/>
          <w:color w:val="000000"/>
          <w:spacing w:val="-2"/>
          <w:szCs w:val="18"/>
          <w:lang w:val="pt-BR"/>
        </w:rPr>
        <w:t> </w:t>
      </w:r>
      <w:r w:rsidRPr="00C50FD1">
        <w:rPr>
          <w:rFonts w:cs="Tahoma"/>
          <w:color w:val="000000"/>
          <w:spacing w:val="-2"/>
          <w:szCs w:val="18"/>
          <w:lang w:val="pt-BR"/>
        </w:rPr>
        <w:t>cobertura de Software Assurance do produto</w:t>
      </w:r>
      <w:r w:rsidRPr="00C50FD1">
        <w:rPr>
          <w:rFonts w:cs="Tahoma"/>
          <w:spacing w:val="-2"/>
          <w:szCs w:val="18"/>
          <w:lang w:val="pt-BR"/>
        </w:rPr>
        <w:t xml:space="preserve"> qualificado foi originalmente adquirida.</w:t>
      </w:r>
      <w:r w:rsidR="005A52A2" w:rsidRPr="00C50FD1">
        <w:rPr>
          <w:rFonts w:cs="Tahoma"/>
          <w:spacing w:val="-2"/>
          <w:szCs w:val="18"/>
          <w:lang w:val="pt-BR"/>
        </w:rPr>
        <w:t xml:space="preserve"> </w:t>
      </w:r>
      <w:r w:rsidRPr="00C50FD1">
        <w:rPr>
          <w:rFonts w:cs="Tahoma"/>
          <w:spacing w:val="-2"/>
          <w:szCs w:val="18"/>
          <w:lang w:val="pt-BR"/>
        </w:rPr>
        <w:t>O direito de uso de software do cliente sob uma licença Step-up está condicionado à posse e manutenção de uma Licença do produto qualificado.</w:t>
      </w:r>
      <w:r w:rsidR="005A52A2" w:rsidRPr="00C50FD1">
        <w:rPr>
          <w:rFonts w:cs="Tahoma"/>
          <w:spacing w:val="-2"/>
          <w:szCs w:val="18"/>
          <w:lang w:val="pt-BR"/>
        </w:rPr>
        <w:t xml:space="preserve"> </w:t>
      </w:r>
      <w:r w:rsidRPr="00C50FD1">
        <w:rPr>
          <w:rFonts w:cs="Tahoma"/>
          <w:spacing w:val="-2"/>
          <w:szCs w:val="18"/>
          <w:lang w:val="pt-BR"/>
        </w:rPr>
        <w:t>Os clientes não podem transferir a Licença do produto qualificado separadamente da licença Step-up.</w:t>
      </w:r>
      <w:r w:rsidR="005A52A2" w:rsidRPr="00C50FD1">
        <w:rPr>
          <w:rFonts w:cs="Tahoma"/>
          <w:spacing w:val="-2"/>
          <w:szCs w:val="18"/>
          <w:lang w:val="pt-BR"/>
        </w:rPr>
        <w:t xml:space="preserve"> </w:t>
      </w:r>
      <w:r w:rsidRPr="00C50FD1">
        <w:rPr>
          <w:rFonts w:cs="Tahoma"/>
          <w:spacing w:val="-2"/>
          <w:szCs w:val="18"/>
          <w:lang w:val="pt-BR"/>
        </w:rPr>
        <w:t>Os direitos perpétuos do cliente sob a Licença Step-up substituem a licença básica do produto qualificado.</w:t>
      </w:r>
      <w:r w:rsidR="005A52A2" w:rsidRPr="00C50FD1">
        <w:rPr>
          <w:rFonts w:cs="Tahoma"/>
          <w:spacing w:val="-2"/>
          <w:szCs w:val="18"/>
          <w:lang w:val="pt-BR"/>
        </w:rPr>
        <w:t xml:space="preserve"> </w:t>
      </w:r>
      <w:r w:rsidRPr="00C50FD1">
        <w:rPr>
          <w:rFonts w:cs="Tahoma"/>
          <w:spacing w:val="-2"/>
          <w:szCs w:val="18"/>
          <w:lang w:val="pt-BR"/>
        </w:rPr>
        <w:t>Para obter mais detalhes, consulte o Resumo de Licenciamento por Volume da Licença Step-up para Enterprise Edition no site: http://</w:t>
      </w:r>
      <w:hyperlink r:id="rId30" w:history="1">
        <w:r w:rsidRPr="00C50FD1">
          <w:rPr>
            <w:rStyle w:val="Hyperlink"/>
            <w:rFonts w:cs="Tahoma"/>
            <w:spacing w:val="-2"/>
            <w:szCs w:val="18"/>
            <w:lang w:val="pt-BR"/>
          </w:rPr>
          <w:t>www.microsoft.com/licensing</w:t>
        </w:r>
      </w:hyperlink>
      <w:r w:rsidRPr="00C50FD1">
        <w:rPr>
          <w:rFonts w:cs="Tahoma"/>
          <w:spacing w:val="-2"/>
          <w:szCs w:val="18"/>
          <w:lang w:val="pt-BR"/>
        </w:rPr>
        <w:t xml:space="preserve"> </w:t>
      </w:r>
    </w:p>
    <w:p w:rsidR="00023FE7" w:rsidRPr="00C50FD1" w:rsidRDefault="00023FE7" w:rsidP="008C63DD">
      <w:pPr>
        <w:spacing w:line="180" w:lineRule="exact"/>
        <w:rPr>
          <w:lang w:val="pt-BR"/>
        </w:rPr>
      </w:pPr>
    </w:p>
    <w:p w:rsidR="00EA20DF" w:rsidRPr="00C50FD1" w:rsidRDefault="00EA20DF" w:rsidP="008C63DD">
      <w:pPr>
        <w:spacing w:line="180" w:lineRule="exact"/>
        <w:rPr>
          <w:lang w:val="pt-BR"/>
        </w:rPr>
      </w:pPr>
    </w:p>
    <w:p w:rsidR="00EA20DF" w:rsidRPr="00C50FD1" w:rsidRDefault="00EA20DF" w:rsidP="008C63DD">
      <w:pPr>
        <w:spacing w:line="180" w:lineRule="exact"/>
        <w:rPr>
          <w:lang w:val="pt-BR"/>
        </w:rPr>
      </w:pPr>
    </w:p>
    <w:p w:rsidR="00EA20DF" w:rsidRPr="00C50FD1" w:rsidRDefault="00EA20DF" w:rsidP="008C63DD">
      <w:pPr>
        <w:spacing w:line="180" w:lineRule="exact"/>
        <w:rPr>
          <w:lang w:val="pt-BR"/>
        </w:rPr>
      </w:pPr>
    </w:p>
    <w:p w:rsidR="00EA20DF" w:rsidRPr="00C50FD1" w:rsidRDefault="00EA20DF" w:rsidP="008C63DD">
      <w:pPr>
        <w:spacing w:line="180" w:lineRule="exact"/>
        <w:rPr>
          <w:lang w:val="pt-BR"/>
        </w:rPr>
      </w:pPr>
    </w:p>
    <w:p w:rsidR="00EA20DF" w:rsidRPr="00C50FD1" w:rsidRDefault="00EA20DF" w:rsidP="008C63DD">
      <w:pPr>
        <w:spacing w:line="180" w:lineRule="exact"/>
        <w:rPr>
          <w:lang w:val="pt-BR"/>
        </w:rPr>
      </w:pPr>
    </w:p>
    <w:tbl>
      <w:tblPr>
        <w:tblW w:w="9090" w:type="dxa"/>
        <w:tblInd w:w="3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410"/>
        <w:gridCol w:w="4680"/>
      </w:tblGrid>
      <w:tr w:rsidR="003573CD" w:rsidRPr="00653421" w:rsidTr="008C63DD">
        <w:trPr>
          <w:tblHeader/>
        </w:trPr>
        <w:tc>
          <w:tcPr>
            <w:tcW w:w="4410" w:type="dxa"/>
            <w:shd w:val="clear" w:color="auto" w:fill="FABF8F"/>
            <w:tcMar>
              <w:top w:w="0" w:type="dxa"/>
              <w:left w:w="108" w:type="dxa"/>
              <w:bottom w:w="0" w:type="dxa"/>
              <w:right w:w="108" w:type="dxa"/>
            </w:tcMar>
            <w:hideMark/>
          </w:tcPr>
          <w:p w:rsidR="003573CD" w:rsidRPr="00653421" w:rsidRDefault="003573CD" w:rsidP="00554A35">
            <w:pPr>
              <w:jc w:val="center"/>
              <w:rPr>
                <w:rFonts w:eastAsia="Calibri" w:cs="Tahoma"/>
                <w:b/>
                <w:sz w:val="20"/>
                <w:szCs w:val="20"/>
              </w:rPr>
            </w:pPr>
            <w:r w:rsidRPr="00653421">
              <w:rPr>
                <w:rFonts w:cs="Tahoma"/>
                <w:b/>
                <w:sz w:val="20"/>
                <w:szCs w:val="20"/>
              </w:rPr>
              <w:lastRenderedPageBreak/>
              <w:t>Step-up de</w:t>
            </w:r>
          </w:p>
        </w:tc>
        <w:tc>
          <w:tcPr>
            <w:tcW w:w="4680" w:type="dxa"/>
            <w:shd w:val="clear" w:color="auto" w:fill="FABF8F"/>
            <w:tcMar>
              <w:top w:w="0" w:type="dxa"/>
              <w:left w:w="108" w:type="dxa"/>
              <w:bottom w:w="0" w:type="dxa"/>
              <w:right w:w="108" w:type="dxa"/>
            </w:tcMar>
            <w:hideMark/>
          </w:tcPr>
          <w:p w:rsidR="003573CD" w:rsidRPr="00653421" w:rsidRDefault="003573CD" w:rsidP="00554A35">
            <w:pPr>
              <w:jc w:val="center"/>
              <w:rPr>
                <w:rFonts w:eastAsia="Calibri" w:cs="Tahoma"/>
                <w:b/>
                <w:sz w:val="20"/>
                <w:szCs w:val="20"/>
              </w:rPr>
            </w:pPr>
            <w:r w:rsidRPr="00653421">
              <w:rPr>
                <w:rFonts w:cs="Tahoma"/>
                <w:b/>
                <w:sz w:val="20"/>
                <w:szCs w:val="20"/>
              </w:rPr>
              <w:t>Step-up para</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BizTalk</w:t>
            </w:r>
            <w:r w:rsidRPr="00653421">
              <w:rPr>
                <w:rFonts w:cs="Tahoma"/>
                <w:szCs w:val="18"/>
                <w:vertAlign w:val="superscript"/>
              </w:rPr>
              <w:t>®</w:t>
            </w:r>
            <w:r w:rsidRPr="00653421">
              <w:rPr>
                <w:rFonts w:cs="Tahoma"/>
                <w:szCs w:val="18"/>
              </w:rPr>
              <w:t xml:space="preserve"> Server Branch</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BizTalk</w:t>
            </w:r>
            <w:r w:rsidRPr="00653421">
              <w:rPr>
                <w:rFonts w:cs="Tahoma"/>
                <w:szCs w:val="18"/>
                <w:vertAlign w:val="superscript"/>
              </w:rPr>
              <w:t>®</w:t>
            </w:r>
            <w:r w:rsidRPr="00653421">
              <w:rPr>
                <w:rFonts w:cs="Tahoma"/>
                <w:szCs w:val="18"/>
              </w:rPr>
              <w:t xml:space="preserve"> Server Standard</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BizTalk</w:t>
            </w:r>
            <w:r w:rsidRPr="00653421">
              <w:rPr>
                <w:rFonts w:cs="Tahoma"/>
                <w:szCs w:val="18"/>
                <w:vertAlign w:val="superscript"/>
              </w:rPr>
              <w:t>®</w:t>
            </w:r>
            <w:r w:rsidRPr="00653421">
              <w:rPr>
                <w:rFonts w:cs="Tahoma"/>
                <w:szCs w:val="18"/>
              </w:rPr>
              <w:t xml:space="preserve"> Server Branch</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BizTalk</w:t>
            </w:r>
            <w:r w:rsidRPr="00653421">
              <w:rPr>
                <w:rFonts w:cs="Tahoma"/>
                <w:szCs w:val="18"/>
                <w:vertAlign w:val="superscript"/>
              </w:rPr>
              <w:t>®</w:t>
            </w:r>
            <w:r w:rsidRPr="00653421">
              <w:rPr>
                <w:rFonts w:cs="Tahoma"/>
                <w:szCs w:val="18"/>
              </w:rPr>
              <w:t xml:space="preserve"> Server Enterprise</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BizTalk</w:t>
            </w:r>
            <w:r w:rsidRPr="00653421">
              <w:rPr>
                <w:rFonts w:cs="Tahoma"/>
                <w:szCs w:val="18"/>
                <w:vertAlign w:val="superscript"/>
              </w:rPr>
              <w:t>®</w:t>
            </w:r>
            <w:r w:rsidRPr="00653421">
              <w:rPr>
                <w:rFonts w:cs="Tahoma"/>
                <w:szCs w:val="18"/>
              </w:rPr>
              <w:t xml:space="preserve"> Server Standard</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BizTalk</w:t>
            </w:r>
            <w:r w:rsidRPr="00653421">
              <w:rPr>
                <w:rFonts w:cs="Tahoma"/>
                <w:szCs w:val="18"/>
                <w:vertAlign w:val="superscript"/>
              </w:rPr>
              <w:t>®</w:t>
            </w:r>
            <w:r w:rsidRPr="00653421">
              <w:rPr>
                <w:rFonts w:cs="Tahoma"/>
                <w:szCs w:val="18"/>
              </w:rPr>
              <w:t xml:space="preserve"> Server Enterprise</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Commerce Server Standard</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Commerce Server Enterprise</w:t>
            </w:r>
          </w:p>
        </w:tc>
      </w:tr>
      <w:tr w:rsidR="003573CD" w:rsidRPr="00653421" w:rsidTr="008C63DD">
        <w:trPr>
          <w:trHeight w:val="238"/>
        </w:trPr>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Core CAL Suite</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Enterprise CAL Suite</w:t>
            </w:r>
          </w:p>
        </w:tc>
      </w:tr>
      <w:tr w:rsidR="00E87953" w:rsidRPr="00C50FD1" w:rsidTr="008C63DD">
        <w:trPr>
          <w:trHeight w:val="247"/>
        </w:trPr>
        <w:tc>
          <w:tcPr>
            <w:tcW w:w="4410" w:type="dxa"/>
            <w:tcMar>
              <w:top w:w="0" w:type="dxa"/>
              <w:left w:w="108" w:type="dxa"/>
              <w:bottom w:w="0" w:type="dxa"/>
              <w:right w:w="108" w:type="dxa"/>
            </w:tcMar>
          </w:tcPr>
          <w:p w:rsidR="00E87953" w:rsidRPr="00C50FD1" w:rsidRDefault="00E87953" w:rsidP="00734CF4">
            <w:pPr>
              <w:rPr>
                <w:rFonts w:cs="Tahoma"/>
                <w:color w:val="000000"/>
                <w:szCs w:val="18"/>
                <w:lang w:val="pt-BR"/>
              </w:rPr>
            </w:pPr>
            <w:r w:rsidRPr="00C50FD1">
              <w:rPr>
                <w:rFonts w:cs="Tahoma"/>
                <w:color w:val="000000"/>
                <w:szCs w:val="18"/>
                <w:lang w:val="pt-BR"/>
              </w:rPr>
              <w:t>Bridge do Pacote de CALs Principais para Office 365</w:t>
            </w:r>
          </w:p>
        </w:tc>
        <w:tc>
          <w:tcPr>
            <w:tcW w:w="4680" w:type="dxa"/>
            <w:tcMar>
              <w:top w:w="0" w:type="dxa"/>
              <w:left w:w="108" w:type="dxa"/>
              <w:bottom w:w="0" w:type="dxa"/>
              <w:right w:w="108" w:type="dxa"/>
            </w:tcMar>
          </w:tcPr>
          <w:p w:rsidR="00E87953" w:rsidRPr="00C50FD1" w:rsidRDefault="00E87953" w:rsidP="00734CF4">
            <w:pPr>
              <w:rPr>
                <w:rFonts w:cs="Tahoma"/>
                <w:color w:val="000000"/>
                <w:szCs w:val="18"/>
                <w:lang w:val="pt-BR"/>
              </w:rPr>
            </w:pPr>
            <w:r w:rsidRPr="00C50FD1">
              <w:rPr>
                <w:rFonts w:cs="Tahoma"/>
                <w:color w:val="000000"/>
                <w:szCs w:val="18"/>
                <w:lang w:val="pt-BR"/>
              </w:rPr>
              <w:t>Bridge do Pacote de CALs Empresariais para Office 365</w:t>
            </w:r>
          </w:p>
        </w:tc>
      </w:tr>
      <w:tr w:rsidR="00E87953" w:rsidRPr="00C50FD1" w:rsidTr="008C63DD">
        <w:trPr>
          <w:trHeight w:val="247"/>
        </w:trPr>
        <w:tc>
          <w:tcPr>
            <w:tcW w:w="4410" w:type="dxa"/>
            <w:tcMar>
              <w:top w:w="0" w:type="dxa"/>
              <w:left w:w="108" w:type="dxa"/>
              <w:bottom w:w="0" w:type="dxa"/>
              <w:right w:w="108" w:type="dxa"/>
            </w:tcMar>
          </w:tcPr>
          <w:p w:rsidR="00E87953" w:rsidRPr="00C50FD1" w:rsidRDefault="00E87953" w:rsidP="00611A2E">
            <w:pPr>
              <w:rPr>
                <w:rFonts w:cs="Tahoma"/>
                <w:color w:val="000000"/>
                <w:szCs w:val="18"/>
                <w:lang w:val="pt-BR"/>
              </w:rPr>
            </w:pPr>
            <w:r w:rsidRPr="00C50FD1">
              <w:rPr>
                <w:rFonts w:cs="Tahoma"/>
                <w:color w:val="000000"/>
                <w:szCs w:val="18"/>
                <w:lang w:val="pt-BR"/>
              </w:rPr>
              <w:t>Bridge do Pacote de CALs Principais para Windows</w:t>
            </w:r>
            <w:r w:rsidRPr="00C50FD1">
              <w:rPr>
                <w:rFonts w:cs="Tahoma"/>
                <w:color w:val="000000"/>
                <w:szCs w:val="18"/>
                <w:vertAlign w:val="superscript"/>
                <w:lang w:val="pt-BR"/>
              </w:rPr>
              <w:t>®</w:t>
            </w:r>
            <w:r w:rsidR="00611A2E" w:rsidRPr="00C50FD1">
              <w:rPr>
                <w:rFonts w:cs="Tahoma"/>
                <w:color w:val="000000"/>
                <w:szCs w:val="18"/>
                <w:lang w:val="pt-BR"/>
              </w:rPr>
              <w:t> </w:t>
            </w:r>
            <w:r w:rsidRPr="00C50FD1">
              <w:rPr>
                <w:rFonts w:cs="Tahoma"/>
                <w:color w:val="000000"/>
                <w:szCs w:val="18"/>
                <w:lang w:val="pt-BR"/>
              </w:rPr>
              <w:t>Intune</w:t>
            </w:r>
          </w:p>
        </w:tc>
        <w:tc>
          <w:tcPr>
            <w:tcW w:w="4680" w:type="dxa"/>
            <w:tcMar>
              <w:top w:w="0" w:type="dxa"/>
              <w:left w:w="108" w:type="dxa"/>
              <w:bottom w:w="0" w:type="dxa"/>
              <w:right w:w="108" w:type="dxa"/>
            </w:tcMar>
          </w:tcPr>
          <w:p w:rsidR="00E87953" w:rsidRPr="00C50FD1" w:rsidRDefault="00E87953" w:rsidP="007C6582">
            <w:pPr>
              <w:rPr>
                <w:rFonts w:cs="Tahoma"/>
                <w:color w:val="000000"/>
                <w:szCs w:val="18"/>
                <w:lang w:val="pt-BR"/>
              </w:rPr>
            </w:pPr>
            <w:r w:rsidRPr="00C50FD1">
              <w:rPr>
                <w:rFonts w:cs="Tahoma"/>
                <w:color w:val="000000"/>
                <w:szCs w:val="18"/>
                <w:lang w:val="pt-BR"/>
              </w:rPr>
              <w:t>Bridge do Pacote de CALs Empresariais para Windows</w:t>
            </w:r>
            <w:r w:rsidRPr="00C50FD1">
              <w:rPr>
                <w:rFonts w:cs="Tahoma"/>
                <w:color w:val="000000"/>
                <w:szCs w:val="18"/>
                <w:vertAlign w:val="superscript"/>
                <w:lang w:val="pt-BR"/>
              </w:rPr>
              <w:t>®</w:t>
            </w:r>
            <w:r w:rsidRPr="00C50FD1">
              <w:rPr>
                <w:rFonts w:cs="Tahoma"/>
                <w:color w:val="000000"/>
                <w:szCs w:val="18"/>
                <w:lang w:val="pt-BR"/>
              </w:rPr>
              <w:t xml:space="preserve"> Intune</w:t>
            </w:r>
          </w:p>
        </w:tc>
      </w:tr>
      <w:tr w:rsidR="000466E8" w:rsidRPr="00C50FD1" w:rsidTr="008C63DD">
        <w:trPr>
          <w:trHeight w:val="247"/>
        </w:trPr>
        <w:tc>
          <w:tcPr>
            <w:tcW w:w="4410" w:type="dxa"/>
            <w:tcMar>
              <w:top w:w="0" w:type="dxa"/>
              <w:left w:w="108" w:type="dxa"/>
              <w:bottom w:w="0" w:type="dxa"/>
              <w:right w:w="108" w:type="dxa"/>
            </w:tcMar>
          </w:tcPr>
          <w:p w:rsidR="000466E8" w:rsidRPr="00C50FD1" w:rsidRDefault="0054507B" w:rsidP="007C6582">
            <w:pPr>
              <w:rPr>
                <w:rFonts w:cs="Tahoma"/>
                <w:color w:val="000000"/>
                <w:szCs w:val="18"/>
                <w:lang w:val="pt-BR"/>
              </w:rPr>
            </w:pPr>
            <w:r w:rsidRPr="00C50FD1">
              <w:rPr>
                <w:rFonts w:cs="Tahoma"/>
                <w:color w:val="000000"/>
                <w:szCs w:val="18"/>
                <w:lang w:val="pt-BR"/>
              </w:rPr>
              <w:t>Bridge do Pacote de CALs Principais para Office 365 e Windows</w:t>
            </w:r>
            <w:r w:rsidRPr="00C50FD1">
              <w:rPr>
                <w:rFonts w:cs="Tahoma"/>
                <w:color w:val="000000"/>
                <w:szCs w:val="18"/>
                <w:vertAlign w:val="superscript"/>
                <w:lang w:val="pt-BR"/>
              </w:rPr>
              <w:t>®</w:t>
            </w:r>
            <w:r w:rsidRPr="00C50FD1">
              <w:rPr>
                <w:rFonts w:cs="Tahoma"/>
                <w:color w:val="000000"/>
                <w:szCs w:val="18"/>
                <w:lang w:val="pt-BR"/>
              </w:rPr>
              <w:t xml:space="preserve"> Intune</w:t>
            </w:r>
          </w:p>
        </w:tc>
        <w:tc>
          <w:tcPr>
            <w:tcW w:w="4680" w:type="dxa"/>
            <w:tcMar>
              <w:top w:w="0" w:type="dxa"/>
              <w:left w:w="108" w:type="dxa"/>
              <w:bottom w:w="0" w:type="dxa"/>
              <w:right w:w="108" w:type="dxa"/>
            </w:tcMar>
          </w:tcPr>
          <w:p w:rsidR="000466E8" w:rsidRPr="00C50FD1" w:rsidRDefault="00C3058D" w:rsidP="007C6582">
            <w:pPr>
              <w:rPr>
                <w:rFonts w:cs="Tahoma"/>
                <w:color w:val="000000"/>
                <w:szCs w:val="18"/>
                <w:lang w:val="pt-BR"/>
              </w:rPr>
            </w:pPr>
            <w:r w:rsidRPr="00C50FD1">
              <w:rPr>
                <w:rFonts w:eastAsia="Calibri" w:cs="Tahoma"/>
                <w:szCs w:val="18"/>
                <w:lang w:val="pt-BR"/>
              </w:rPr>
              <w:t>Bridge do Pacote de CALs Empresariais para Office 365 e Windows</w:t>
            </w:r>
            <w:r w:rsidRPr="00C50FD1">
              <w:rPr>
                <w:rFonts w:cs="Tahoma"/>
                <w:color w:val="000000"/>
                <w:szCs w:val="18"/>
                <w:vertAlign w:val="superscript"/>
                <w:lang w:val="pt-BR"/>
              </w:rPr>
              <w:t xml:space="preserve">® </w:t>
            </w:r>
            <w:r w:rsidRPr="00C50FD1">
              <w:rPr>
                <w:rFonts w:eastAsia="Calibri" w:cs="Tahoma"/>
                <w:szCs w:val="18"/>
                <w:lang w:val="pt-BR"/>
              </w:rPr>
              <w:t>Intune</w:t>
            </w:r>
          </w:p>
        </w:tc>
      </w:tr>
      <w:tr w:rsidR="004C6855" w:rsidRPr="00C50FD1" w:rsidTr="008C63DD">
        <w:trPr>
          <w:trHeight w:val="247"/>
        </w:trPr>
        <w:tc>
          <w:tcPr>
            <w:tcW w:w="4410" w:type="dxa"/>
            <w:tcMar>
              <w:top w:w="0" w:type="dxa"/>
              <w:left w:w="108" w:type="dxa"/>
              <w:bottom w:w="0" w:type="dxa"/>
              <w:right w:w="108" w:type="dxa"/>
            </w:tcMar>
            <w:hideMark/>
          </w:tcPr>
          <w:p w:rsidR="004C6855" w:rsidRPr="00C50FD1" w:rsidRDefault="004C6855" w:rsidP="00554A35">
            <w:pPr>
              <w:rPr>
                <w:rFonts w:cs="Tahoma"/>
                <w:szCs w:val="18"/>
                <w:lang w:val="fr-FR"/>
              </w:rPr>
            </w:pPr>
            <w:r w:rsidRPr="00C50FD1">
              <w:rPr>
                <w:rFonts w:cs="Tahoma"/>
                <w:color w:val="000000"/>
                <w:szCs w:val="18"/>
                <w:lang w:val="fr-FR"/>
              </w:rPr>
              <w:t>Core Infrastructure Server Suite Standard</w:t>
            </w:r>
          </w:p>
        </w:tc>
        <w:tc>
          <w:tcPr>
            <w:tcW w:w="4680" w:type="dxa"/>
            <w:tcMar>
              <w:top w:w="0" w:type="dxa"/>
              <w:left w:w="108" w:type="dxa"/>
              <w:bottom w:w="0" w:type="dxa"/>
              <w:right w:w="108" w:type="dxa"/>
            </w:tcMar>
            <w:hideMark/>
          </w:tcPr>
          <w:p w:rsidR="004C6855" w:rsidRPr="00C50FD1" w:rsidRDefault="004C6855" w:rsidP="00933674">
            <w:pPr>
              <w:rPr>
                <w:rFonts w:cs="Tahoma"/>
                <w:szCs w:val="18"/>
                <w:lang w:val="fr-FR"/>
              </w:rPr>
            </w:pPr>
            <w:r w:rsidRPr="00C50FD1">
              <w:rPr>
                <w:rFonts w:cs="Tahoma"/>
                <w:color w:val="000000"/>
                <w:szCs w:val="18"/>
                <w:lang w:val="fr-FR"/>
              </w:rPr>
              <w:t>Core Infrastructure Server Suite Datacenter</w:t>
            </w:r>
          </w:p>
        </w:tc>
      </w:tr>
      <w:tr w:rsidR="003573CD" w:rsidRPr="00C50FD1" w:rsidTr="008C63DD">
        <w:tc>
          <w:tcPr>
            <w:tcW w:w="4410" w:type="dxa"/>
            <w:tcMar>
              <w:top w:w="0" w:type="dxa"/>
              <w:left w:w="108" w:type="dxa"/>
              <w:bottom w:w="0" w:type="dxa"/>
              <w:right w:w="108" w:type="dxa"/>
            </w:tcMar>
            <w:hideMark/>
          </w:tcPr>
          <w:p w:rsidR="003573CD" w:rsidRPr="00C50FD1" w:rsidRDefault="003573CD" w:rsidP="00394D2B">
            <w:pPr>
              <w:rPr>
                <w:rFonts w:eastAsia="Calibri" w:cs="Tahoma"/>
                <w:szCs w:val="18"/>
                <w:lang w:val="pt-BR"/>
              </w:rPr>
            </w:pPr>
            <w:r w:rsidRPr="00C50FD1">
              <w:rPr>
                <w:rFonts w:cs="Tahoma"/>
                <w:szCs w:val="18"/>
                <w:lang w:val="pt-BR"/>
              </w:rPr>
              <w:t>Desktop Educacional com Core CAL</w:t>
            </w:r>
          </w:p>
        </w:tc>
        <w:tc>
          <w:tcPr>
            <w:tcW w:w="4680" w:type="dxa"/>
            <w:tcMar>
              <w:top w:w="0" w:type="dxa"/>
              <w:left w:w="108" w:type="dxa"/>
              <w:bottom w:w="0" w:type="dxa"/>
              <w:right w:w="108" w:type="dxa"/>
            </w:tcMar>
            <w:hideMark/>
          </w:tcPr>
          <w:p w:rsidR="003573CD" w:rsidRPr="00C50FD1" w:rsidRDefault="003573CD" w:rsidP="00394D2B">
            <w:pPr>
              <w:rPr>
                <w:rFonts w:eastAsia="Calibri" w:cs="Tahoma"/>
                <w:szCs w:val="18"/>
                <w:lang w:val="pt-BR"/>
              </w:rPr>
            </w:pPr>
            <w:r w:rsidRPr="00C50FD1">
              <w:rPr>
                <w:rFonts w:cs="Tahoma"/>
                <w:szCs w:val="18"/>
                <w:lang w:val="pt-BR"/>
              </w:rPr>
              <w:t>Desktop Educacional com Pacote de CALs Empresariais</w:t>
            </w:r>
          </w:p>
        </w:tc>
      </w:tr>
      <w:tr w:rsidR="003573CD" w:rsidRPr="00C50FD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Desktop School com Core CAL</w:t>
            </w:r>
          </w:p>
        </w:tc>
        <w:tc>
          <w:tcPr>
            <w:tcW w:w="4680" w:type="dxa"/>
            <w:tcMar>
              <w:top w:w="0" w:type="dxa"/>
              <w:left w:w="108" w:type="dxa"/>
              <w:bottom w:w="0" w:type="dxa"/>
              <w:right w:w="108" w:type="dxa"/>
            </w:tcMar>
            <w:hideMark/>
          </w:tcPr>
          <w:p w:rsidR="003573CD" w:rsidRPr="00C50FD1" w:rsidRDefault="00ED0F02" w:rsidP="00554A35">
            <w:pPr>
              <w:rPr>
                <w:rFonts w:eastAsia="Calibri" w:cs="Tahoma"/>
                <w:szCs w:val="18"/>
                <w:lang w:val="pt-BR"/>
              </w:rPr>
            </w:pPr>
            <w:r w:rsidRPr="00C50FD1">
              <w:rPr>
                <w:rFonts w:cs="Tahoma"/>
                <w:szCs w:val="18"/>
                <w:lang w:val="pt-BR"/>
              </w:rPr>
              <w:t>Desktop School com Pacote de CALs Empresariais</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lang w:val="fr-FR"/>
              </w:rPr>
            </w:pPr>
            <w:r w:rsidRPr="00653421">
              <w:rPr>
                <w:rFonts w:cs="Tahoma"/>
                <w:szCs w:val="18"/>
              </w:rPr>
              <w:t>Exchange Server Standard</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Exchange Server Enterprise</w:t>
            </w:r>
          </w:p>
        </w:tc>
      </w:tr>
      <w:tr w:rsidR="004D4D43" w:rsidRPr="00653421" w:rsidTr="008C63DD">
        <w:tc>
          <w:tcPr>
            <w:tcW w:w="4410" w:type="dxa"/>
            <w:tcMar>
              <w:top w:w="0" w:type="dxa"/>
              <w:left w:w="108" w:type="dxa"/>
              <w:bottom w:w="0" w:type="dxa"/>
              <w:right w:w="108" w:type="dxa"/>
            </w:tcMar>
          </w:tcPr>
          <w:p w:rsidR="004D4D43" w:rsidRPr="00653421" w:rsidRDefault="004D4D43" w:rsidP="00AB4C80">
            <w:pPr>
              <w:rPr>
                <w:rFonts w:cs="Tahoma"/>
                <w:szCs w:val="18"/>
              </w:rPr>
            </w:pPr>
            <w:r w:rsidRPr="00653421">
              <w:rPr>
                <w:rFonts w:cs="Tahoma"/>
                <w:szCs w:val="18"/>
              </w:rPr>
              <w:t>Forefront TMG Standard</w:t>
            </w:r>
          </w:p>
        </w:tc>
        <w:tc>
          <w:tcPr>
            <w:tcW w:w="4680" w:type="dxa"/>
            <w:tcMar>
              <w:top w:w="0" w:type="dxa"/>
              <w:left w:w="108" w:type="dxa"/>
              <w:bottom w:w="0" w:type="dxa"/>
              <w:right w:w="108" w:type="dxa"/>
            </w:tcMar>
          </w:tcPr>
          <w:p w:rsidR="004D4D43" w:rsidRPr="00653421" w:rsidRDefault="004D4D43" w:rsidP="00AB4C80">
            <w:pPr>
              <w:rPr>
                <w:rFonts w:cs="Tahoma"/>
                <w:szCs w:val="18"/>
              </w:rPr>
            </w:pPr>
            <w:r w:rsidRPr="00653421">
              <w:rPr>
                <w:rFonts w:cs="Tahoma"/>
                <w:szCs w:val="18"/>
              </w:rPr>
              <w:t>Forefront TMG Enterprise</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Internet Security &amp; Acceleration (ISA) Standard Server</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Internet Security &amp; Acceleration (ISA) Enterprise Server</w:t>
            </w:r>
          </w:p>
        </w:tc>
      </w:tr>
      <w:tr w:rsidR="00781A60" w:rsidRPr="00653421" w:rsidTr="008C63DD">
        <w:tc>
          <w:tcPr>
            <w:tcW w:w="4410" w:type="dxa"/>
            <w:tcMar>
              <w:top w:w="0" w:type="dxa"/>
              <w:left w:w="108" w:type="dxa"/>
              <w:bottom w:w="0" w:type="dxa"/>
              <w:right w:w="108" w:type="dxa"/>
            </w:tcMar>
          </w:tcPr>
          <w:p w:rsidR="00781A60" w:rsidRPr="00653421" w:rsidRDefault="00781A60" w:rsidP="00554A35">
            <w:pPr>
              <w:rPr>
                <w:rFonts w:cs="Tahoma"/>
                <w:szCs w:val="18"/>
              </w:rPr>
            </w:pPr>
            <w:r w:rsidRPr="00653421">
              <w:rPr>
                <w:rFonts w:cs="Tahoma"/>
                <w:szCs w:val="18"/>
              </w:rPr>
              <w:t>Microsoft Dynamics CRM Workgroup Server 2011</w:t>
            </w:r>
          </w:p>
        </w:tc>
        <w:tc>
          <w:tcPr>
            <w:tcW w:w="4680" w:type="dxa"/>
            <w:tcMar>
              <w:top w:w="0" w:type="dxa"/>
              <w:left w:w="108" w:type="dxa"/>
              <w:bottom w:w="0" w:type="dxa"/>
              <w:right w:w="108" w:type="dxa"/>
            </w:tcMar>
          </w:tcPr>
          <w:p w:rsidR="00781A60" w:rsidRPr="00653421" w:rsidRDefault="00781A60" w:rsidP="00554A35">
            <w:pPr>
              <w:rPr>
                <w:rFonts w:cs="Tahoma"/>
                <w:szCs w:val="18"/>
              </w:rPr>
            </w:pPr>
            <w:r w:rsidRPr="00653421">
              <w:rPr>
                <w:rFonts w:cs="Tahoma"/>
                <w:szCs w:val="18"/>
              </w:rPr>
              <w:t>Microsoft Dynamics CRM Server 2011</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 xml:space="preserve">Office Standard </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lang w:val="fr-FR"/>
              </w:rPr>
            </w:pPr>
            <w:r w:rsidRPr="00653421">
              <w:rPr>
                <w:rFonts w:cs="Tahoma"/>
                <w:szCs w:val="18"/>
              </w:rPr>
              <w:t xml:space="preserve">Office Professional Plus </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Desktop Profissional</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Desktop Empresarial</w:t>
            </w:r>
          </w:p>
        </w:tc>
      </w:tr>
      <w:tr w:rsidR="008925CF" w:rsidRPr="00653421" w:rsidTr="008C63DD">
        <w:tc>
          <w:tcPr>
            <w:tcW w:w="4410" w:type="dxa"/>
            <w:tcMar>
              <w:top w:w="0" w:type="dxa"/>
              <w:left w:w="108" w:type="dxa"/>
              <w:bottom w:w="0" w:type="dxa"/>
              <w:right w:w="108" w:type="dxa"/>
            </w:tcMar>
            <w:hideMark/>
          </w:tcPr>
          <w:p w:rsidR="008925CF" w:rsidRPr="00653421" w:rsidRDefault="008925CF" w:rsidP="008925CF">
            <w:pPr>
              <w:rPr>
                <w:rFonts w:cs="Tahoma"/>
                <w:color w:val="000000"/>
                <w:szCs w:val="18"/>
              </w:rPr>
            </w:pPr>
            <w:r w:rsidRPr="00653421">
              <w:rPr>
                <w:rFonts w:cs="Tahoma"/>
                <w:color w:val="000000"/>
                <w:szCs w:val="18"/>
              </w:rPr>
              <w:t>Professional Desktop com Microsoft</w:t>
            </w:r>
            <w:bookmarkStart w:id="970" w:name="_Toc236810936"/>
            <w:r w:rsidRPr="00653421">
              <w:rPr>
                <w:rFonts w:cs="Tahoma"/>
                <w:color w:val="000000"/>
                <w:szCs w:val="18"/>
              </w:rPr>
              <w:t xml:space="preserve"> Desktop Optimization Pack </w:t>
            </w:r>
            <w:bookmarkEnd w:id="970"/>
          </w:p>
        </w:tc>
        <w:tc>
          <w:tcPr>
            <w:tcW w:w="4680" w:type="dxa"/>
            <w:tcMar>
              <w:top w:w="0" w:type="dxa"/>
              <w:left w:w="108" w:type="dxa"/>
              <w:bottom w:w="0" w:type="dxa"/>
              <w:right w:w="108" w:type="dxa"/>
            </w:tcMar>
            <w:hideMark/>
          </w:tcPr>
          <w:p w:rsidR="008925CF" w:rsidRPr="00653421" w:rsidRDefault="008925CF" w:rsidP="00554A35">
            <w:pPr>
              <w:rPr>
                <w:rFonts w:cs="Tahoma"/>
                <w:color w:val="000000"/>
                <w:szCs w:val="18"/>
              </w:rPr>
            </w:pPr>
            <w:r w:rsidRPr="00653421">
              <w:rPr>
                <w:rFonts w:cs="Tahoma"/>
                <w:color w:val="000000"/>
                <w:szCs w:val="18"/>
              </w:rPr>
              <w:t>Desktop Empresarial com Microsoft Desktop Optimization Pack</w:t>
            </w:r>
          </w:p>
        </w:tc>
      </w:tr>
      <w:tr w:rsidR="009F254F" w:rsidRPr="00653421" w:rsidTr="008C63DD">
        <w:tc>
          <w:tcPr>
            <w:tcW w:w="4410" w:type="dxa"/>
            <w:tcMar>
              <w:top w:w="0" w:type="dxa"/>
              <w:left w:w="108" w:type="dxa"/>
              <w:bottom w:w="0" w:type="dxa"/>
              <w:right w:w="108" w:type="dxa"/>
            </w:tcMar>
            <w:hideMark/>
          </w:tcPr>
          <w:p w:rsidR="009F254F" w:rsidRPr="00653421" w:rsidRDefault="009F254F" w:rsidP="00CA4488">
            <w:pPr>
              <w:rPr>
                <w:rFonts w:eastAsia="Calibri" w:cs="Tahoma"/>
                <w:color w:val="000000"/>
                <w:szCs w:val="18"/>
              </w:rPr>
            </w:pPr>
            <w:r w:rsidRPr="00653421">
              <w:rPr>
                <w:rFonts w:cs="Tahoma"/>
                <w:color w:val="000000"/>
                <w:szCs w:val="18"/>
              </w:rPr>
              <w:t xml:space="preserve">Project Standard </w:t>
            </w:r>
          </w:p>
        </w:tc>
        <w:tc>
          <w:tcPr>
            <w:tcW w:w="4680" w:type="dxa"/>
            <w:tcMar>
              <w:top w:w="0" w:type="dxa"/>
              <w:left w:w="108" w:type="dxa"/>
              <w:bottom w:w="0" w:type="dxa"/>
              <w:right w:w="108" w:type="dxa"/>
            </w:tcMar>
            <w:hideMark/>
          </w:tcPr>
          <w:p w:rsidR="009F254F" w:rsidRPr="00653421" w:rsidRDefault="009F254F" w:rsidP="00CA4488">
            <w:pPr>
              <w:rPr>
                <w:rFonts w:eastAsia="Calibri" w:cs="Tahoma"/>
                <w:color w:val="000000"/>
                <w:szCs w:val="18"/>
              </w:rPr>
            </w:pPr>
            <w:r w:rsidRPr="00653421">
              <w:rPr>
                <w:rFonts w:cs="Tahoma"/>
                <w:color w:val="000000"/>
                <w:szCs w:val="18"/>
              </w:rPr>
              <w:t xml:space="preserve">Project Professional </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color w:val="000000"/>
                <w:szCs w:val="18"/>
              </w:rPr>
            </w:pPr>
            <w:r w:rsidRPr="00653421">
              <w:rPr>
                <w:rFonts w:cs="Tahoma"/>
                <w:color w:val="000000"/>
                <w:szCs w:val="18"/>
              </w:rPr>
              <w:t>SQL Server™ Standard Core</w:t>
            </w:r>
          </w:p>
        </w:tc>
        <w:tc>
          <w:tcPr>
            <w:tcW w:w="4680" w:type="dxa"/>
            <w:tcMar>
              <w:top w:w="0" w:type="dxa"/>
              <w:left w:w="108" w:type="dxa"/>
              <w:bottom w:w="0" w:type="dxa"/>
              <w:right w:w="108" w:type="dxa"/>
            </w:tcMar>
            <w:hideMark/>
          </w:tcPr>
          <w:p w:rsidR="003573CD" w:rsidRPr="00653421" w:rsidRDefault="003573CD" w:rsidP="00554A35">
            <w:pPr>
              <w:rPr>
                <w:rFonts w:eastAsia="Calibri" w:cs="Tahoma"/>
                <w:color w:val="000000"/>
                <w:szCs w:val="18"/>
              </w:rPr>
            </w:pPr>
            <w:r w:rsidRPr="00653421">
              <w:rPr>
                <w:rFonts w:cs="Tahoma"/>
                <w:color w:val="000000"/>
                <w:szCs w:val="18"/>
              </w:rPr>
              <w:t>SQL Server™ Enterprise Core</w:t>
            </w:r>
          </w:p>
        </w:tc>
      </w:tr>
      <w:tr w:rsidR="00270F92" w:rsidRPr="00653421" w:rsidTr="008C63DD">
        <w:tc>
          <w:tcPr>
            <w:tcW w:w="4410" w:type="dxa"/>
            <w:tcMar>
              <w:top w:w="0" w:type="dxa"/>
              <w:left w:w="108" w:type="dxa"/>
              <w:bottom w:w="0" w:type="dxa"/>
              <w:right w:w="108" w:type="dxa"/>
            </w:tcMar>
            <w:hideMark/>
          </w:tcPr>
          <w:p w:rsidR="00270F92" w:rsidRPr="00653421" w:rsidRDefault="00270F92" w:rsidP="00270F92">
            <w:pPr>
              <w:rPr>
                <w:rFonts w:eastAsia="Calibri" w:cs="Tahoma"/>
                <w:szCs w:val="18"/>
              </w:rPr>
            </w:pPr>
            <w:r w:rsidRPr="00653421">
              <w:rPr>
                <w:rFonts w:cs="Tahoma"/>
                <w:szCs w:val="18"/>
              </w:rPr>
              <w:t xml:space="preserve">SQL Server ™ </w:t>
            </w:r>
            <w:r w:rsidRPr="00653421">
              <w:rPr>
                <w:rFonts w:cs="Tahoma"/>
                <w:color w:val="000000"/>
                <w:szCs w:val="18"/>
              </w:rPr>
              <w:t>Standard</w:t>
            </w:r>
          </w:p>
        </w:tc>
        <w:tc>
          <w:tcPr>
            <w:tcW w:w="4680" w:type="dxa"/>
            <w:tcMar>
              <w:top w:w="0" w:type="dxa"/>
              <w:left w:w="108" w:type="dxa"/>
              <w:bottom w:w="0" w:type="dxa"/>
              <w:right w:w="108" w:type="dxa"/>
            </w:tcMar>
            <w:hideMark/>
          </w:tcPr>
          <w:p w:rsidR="00270F92" w:rsidRPr="00653421" w:rsidRDefault="00270F92" w:rsidP="00BB516F">
            <w:pPr>
              <w:rPr>
                <w:rFonts w:eastAsia="Calibri" w:cs="Tahoma"/>
                <w:szCs w:val="18"/>
              </w:rPr>
            </w:pPr>
            <w:r w:rsidRPr="00653421">
              <w:rPr>
                <w:rFonts w:cs="Tahoma"/>
                <w:szCs w:val="18"/>
              </w:rPr>
              <w:t>SQL Server™ Business Intelligence</w:t>
            </w:r>
          </w:p>
        </w:tc>
      </w:tr>
      <w:tr w:rsidR="003573CD" w:rsidRPr="00653421" w:rsidTr="008C63DD">
        <w:tc>
          <w:tcPr>
            <w:tcW w:w="4410" w:type="dxa"/>
            <w:tcMar>
              <w:top w:w="0" w:type="dxa"/>
              <w:left w:w="108" w:type="dxa"/>
              <w:bottom w:w="0" w:type="dxa"/>
              <w:right w:w="108" w:type="dxa"/>
            </w:tcMar>
            <w:hideMark/>
          </w:tcPr>
          <w:p w:rsidR="003573CD" w:rsidRPr="00653421" w:rsidRDefault="00D04131" w:rsidP="00554A35">
            <w:pPr>
              <w:rPr>
                <w:rFonts w:eastAsia="Calibri" w:cs="Tahoma"/>
                <w:szCs w:val="18"/>
              </w:rPr>
            </w:pPr>
            <w:r w:rsidRPr="00653421">
              <w:rPr>
                <w:rFonts w:cs="Tahoma"/>
                <w:szCs w:val="18"/>
              </w:rPr>
              <w:t>System Center 2012 Standard</w:t>
            </w:r>
          </w:p>
        </w:tc>
        <w:tc>
          <w:tcPr>
            <w:tcW w:w="4680" w:type="dxa"/>
            <w:tcMar>
              <w:top w:w="0" w:type="dxa"/>
              <w:left w:w="108" w:type="dxa"/>
              <w:bottom w:w="0" w:type="dxa"/>
              <w:right w:w="108" w:type="dxa"/>
            </w:tcMar>
            <w:hideMark/>
          </w:tcPr>
          <w:p w:rsidR="003573CD" w:rsidRPr="00653421" w:rsidRDefault="00D04131" w:rsidP="00554A35">
            <w:pPr>
              <w:rPr>
                <w:rFonts w:eastAsia="Calibri" w:cs="Tahoma"/>
                <w:szCs w:val="18"/>
              </w:rPr>
            </w:pPr>
            <w:r w:rsidRPr="00653421">
              <w:rPr>
                <w:rFonts w:cs="Tahoma"/>
                <w:szCs w:val="18"/>
              </w:rPr>
              <w:t>System Center 2012 Datacenter</w:t>
            </w:r>
          </w:p>
        </w:tc>
      </w:tr>
      <w:tr w:rsidR="009F254F" w:rsidRPr="00653421" w:rsidTr="008C63DD">
        <w:tc>
          <w:tcPr>
            <w:tcW w:w="4410" w:type="dxa"/>
            <w:tcMar>
              <w:top w:w="0" w:type="dxa"/>
              <w:left w:w="108" w:type="dxa"/>
              <w:bottom w:w="0" w:type="dxa"/>
              <w:right w:w="108" w:type="dxa"/>
            </w:tcMar>
            <w:hideMark/>
          </w:tcPr>
          <w:p w:rsidR="009F254F" w:rsidRPr="00653421" w:rsidRDefault="009F254F" w:rsidP="00CA4488">
            <w:pPr>
              <w:rPr>
                <w:rFonts w:eastAsia="Calibri" w:cs="Tahoma"/>
                <w:color w:val="000000"/>
                <w:szCs w:val="18"/>
              </w:rPr>
            </w:pPr>
            <w:r w:rsidRPr="00653421">
              <w:rPr>
                <w:rFonts w:cs="Tahoma"/>
                <w:color w:val="000000"/>
                <w:szCs w:val="18"/>
              </w:rPr>
              <w:t>Visio</w:t>
            </w:r>
            <w:r w:rsidRPr="00653421">
              <w:rPr>
                <w:rFonts w:cs="Tahoma"/>
                <w:color w:val="000000"/>
                <w:szCs w:val="18"/>
                <w:vertAlign w:val="superscript"/>
              </w:rPr>
              <w:t>®</w:t>
            </w:r>
            <w:r w:rsidRPr="00653421">
              <w:rPr>
                <w:rFonts w:cs="Tahoma"/>
                <w:color w:val="000000"/>
                <w:szCs w:val="18"/>
              </w:rPr>
              <w:t xml:space="preserve"> Standard</w:t>
            </w:r>
          </w:p>
        </w:tc>
        <w:tc>
          <w:tcPr>
            <w:tcW w:w="4680" w:type="dxa"/>
            <w:tcMar>
              <w:top w:w="0" w:type="dxa"/>
              <w:left w:w="108" w:type="dxa"/>
              <w:bottom w:w="0" w:type="dxa"/>
              <w:right w:w="108" w:type="dxa"/>
            </w:tcMar>
            <w:hideMark/>
          </w:tcPr>
          <w:p w:rsidR="009F254F" w:rsidRPr="00653421" w:rsidRDefault="009F254F" w:rsidP="00CA4488">
            <w:pPr>
              <w:rPr>
                <w:rFonts w:eastAsia="Calibri" w:cs="Tahoma"/>
                <w:color w:val="000000"/>
                <w:szCs w:val="18"/>
              </w:rPr>
            </w:pPr>
            <w:r w:rsidRPr="00653421">
              <w:rPr>
                <w:rFonts w:cs="Tahoma"/>
                <w:color w:val="000000"/>
                <w:szCs w:val="18"/>
              </w:rPr>
              <w:t>Visio</w:t>
            </w:r>
            <w:r w:rsidRPr="00653421">
              <w:rPr>
                <w:rFonts w:cs="Tahoma"/>
                <w:color w:val="000000"/>
                <w:szCs w:val="18"/>
                <w:vertAlign w:val="superscript"/>
              </w:rPr>
              <w:t>®</w:t>
            </w:r>
            <w:r w:rsidRPr="00653421">
              <w:rPr>
                <w:rFonts w:cs="Tahoma"/>
                <w:color w:val="000000"/>
                <w:szCs w:val="18"/>
              </w:rPr>
              <w:t xml:space="preserve"> Professional</w:t>
            </w:r>
          </w:p>
        </w:tc>
      </w:tr>
      <w:tr w:rsidR="009F254F" w:rsidRPr="00C50FD1" w:rsidTr="008C63DD">
        <w:tc>
          <w:tcPr>
            <w:tcW w:w="4410" w:type="dxa"/>
            <w:tcMar>
              <w:top w:w="0" w:type="dxa"/>
              <w:left w:w="108" w:type="dxa"/>
              <w:bottom w:w="0" w:type="dxa"/>
              <w:right w:w="108" w:type="dxa"/>
            </w:tcMar>
            <w:hideMark/>
          </w:tcPr>
          <w:p w:rsidR="009F254F" w:rsidRPr="00C50FD1" w:rsidRDefault="009F254F" w:rsidP="00CA4488">
            <w:pPr>
              <w:rPr>
                <w:rFonts w:eastAsia="Calibri" w:cs="Tahoma"/>
                <w:color w:val="000000"/>
                <w:szCs w:val="18"/>
                <w:lang w:val="pt-BR"/>
              </w:rPr>
            </w:pPr>
            <w:r w:rsidRPr="00C50FD1">
              <w:rPr>
                <w:rFonts w:cs="Tahoma"/>
                <w:color w:val="000000"/>
                <w:szCs w:val="18"/>
                <w:lang w:val="pt-BR"/>
              </w:rPr>
              <w:t>Visual Studio Professional com MSDN</w:t>
            </w:r>
          </w:p>
        </w:tc>
        <w:tc>
          <w:tcPr>
            <w:tcW w:w="4680" w:type="dxa"/>
            <w:tcMar>
              <w:top w:w="0" w:type="dxa"/>
              <w:left w:w="108" w:type="dxa"/>
              <w:bottom w:w="0" w:type="dxa"/>
              <w:right w:w="108" w:type="dxa"/>
            </w:tcMar>
            <w:hideMark/>
          </w:tcPr>
          <w:p w:rsidR="009F254F" w:rsidRPr="00C50FD1" w:rsidRDefault="009F254F" w:rsidP="00CA4488">
            <w:pPr>
              <w:rPr>
                <w:rFonts w:eastAsia="Calibri" w:cs="Tahoma"/>
                <w:color w:val="000000"/>
                <w:szCs w:val="18"/>
                <w:lang w:val="pt-BR"/>
              </w:rPr>
            </w:pPr>
            <w:r w:rsidRPr="00C50FD1">
              <w:rPr>
                <w:rFonts w:cs="Tahoma"/>
                <w:color w:val="000000"/>
                <w:szCs w:val="18"/>
                <w:lang w:val="pt-BR"/>
              </w:rPr>
              <w:t>Visual Studio Premium com MSDN</w:t>
            </w:r>
          </w:p>
        </w:tc>
      </w:tr>
      <w:tr w:rsidR="009F254F" w:rsidRPr="00C50FD1" w:rsidTr="008C63DD">
        <w:tc>
          <w:tcPr>
            <w:tcW w:w="4410" w:type="dxa"/>
            <w:tcMar>
              <w:top w:w="0" w:type="dxa"/>
              <w:left w:w="108" w:type="dxa"/>
              <w:bottom w:w="0" w:type="dxa"/>
              <w:right w:w="108" w:type="dxa"/>
            </w:tcMar>
            <w:hideMark/>
          </w:tcPr>
          <w:p w:rsidR="009F254F" w:rsidRPr="00C50FD1" w:rsidRDefault="009F254F" w:rsidP="00CA4488">
            <w:pPr>
              <w:rPr>
                <w:rFonts w:eastAsia="Calibri" w:cs="Tahoma"/>
                <w:szCs w:val="18"/>
                <w:lang w:val="pt-BR"/>
              </w:rPr>
            </w:pPr>
            <w:r w:rsidRPr="00C50FD1">
              <w:rPr>
                <w:rFonts w:cs="Tahoma"/>
                <w:szCs w:val="18"/>
                <w:lang w:val="pt-BR"/>
              </w:rPr>
              <w:t>Visual Studio Premium com MSDN</w:t>
            </w:r>
          </w:p>
        </w:tc>
        <w:tc>
          <w:tcPr>
            <w:tcW w:w="4680" w:type="dxa"/>
            <w:tcMar>
              <w:top w:w="0" w:type="dxa"/>
              <w:left w:w="108" w:type="dxa"/>
              <w:bottom w:w="0" w:type="dxa"/>
              <w:right w:w="108" w:type="dxa"/>
            </w:tcMar>
            <w:hideMark/>
          </w:tcPr>
          <w:p w:rsidR="009F254F" w:rsidRPr="00C50FD1" w:rsidRDefault="009F254F" w:rsidP="00CA4488">
            <w:pPr>
              <w:rPr>
                <w:rFonts w:eastAsia="Calibri" w:cs="Tahoma"/>
                <w:szCs w:val="18"/>
                <w:lang w:val="pt-BR"/>
              </w:rPr>
            </w:pPr>
            <w:r w:rsidRPr="00C50FD1">
              <w:rPr>
                <w:rFonts w:cs="Tahoma"/>
                <w:szCs w:val="18"/>
                <w:lang w:val="pt-BR"/>
              </w:rPr>
              <w:t>Visual Studio Ultimate com MSDN</w:t>
            </w:r>
          </w:p>
        </w:tc>
      </w:tr>
      <w:tr w:rsidR="009F254F" w:rsidRPr="00C50FD1" w:rsidTr="008C63DD">
        <w:tc>
          <w:tcPr>
            <w:tcW w:w="4410" w:type="dxa"/>
            <w:tcMar>
              <w:top w:w="0" w:type="dxa"/>
              <w:left w:w="108" w:type="dxa"/>
              <w:bottom w:w="0" w:type="dxa"/>
              <w:right w:w="108" w:type="dxa"/>
            </w:tcMar>
            <w:hideMark/>
          </w:tcPr>
          <w:p w:rsidR="009F254F" w:rsidRPr="00653421" w:rsidRDefault="009F254F" w:rsidP="00CA4488">
            <w:pPr>
              <w:rPr>
                <w:rFonts w:eastAsia="Calibri" w:cs="Tahoma"/>
                <w:szCs w:val="18"/>
              </w:rPr>
            </w:pPr>
            <w:r w:rsidRPr="00653421">
              <w:rPr>
                <w:rFonts w:cs="Tahoma"/>
                <w:szCs w:val="18"/>
              </w:rPr>
              <w:t>Visual Studio Test Professional com MSDN</w:t>
            </w:r>
          </w:p>
        </w:tc>
        <w:tc>
          <w:tcPr>
            <w:tcW w:w="4680" w:type="dxa"/>
            <w:tcMar>
              <w:top w:w="0" w:type="dxa"/>
              <w:left w:w="108" w:type="dxa"/>
              <w:bottom w:w="0" w:type="dxa"/>
              <w:right w:w="108" w:type="dxa"/>
            </w:tcMar>
            <w:hideMark/>
          </w:tcPr>
          <w:p w:rsidR="009F254F" w:rsidRPr="00C50FD1" w:rsidRDefault="009F254F" w:rsidP="007E710C">
            <w:pPr>
              <w:rPr>
                <w:rFonts w:eastAsia="Calibri" w:cs="Tahoma"/>
                <w:szCs w:val="18"/>
                <w:lang w:val="pt-BR"/>
              </w:rPr>
            </w:pPr>
            <w:r w:rsidRPr="00C50FD1">
              <w:rPr>
                <w:rFonts w:cs="Tahoma"/>
                <w:szCs w:val="18"/>
                <w:lang w:val="pt-BR"/>
              </w:rPr>
              <w:t>Visual Studio Premium com MSDN</w:t>
            </w:r>
          </w:p>
        </w:tc>
      </w:tr>
      <w:tr w:rsidR="003573CD" w:rsidRPr="00653421" w:rsidTr="008C63DD">
        <w:tc>
          <w:tcPr>
            <w:tcW w:w="441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Windows</w:t>
            </w:r>
            <w:r w:rsidRPr="00653421">
              <w:rPr>
                <w:rFonts w:cs="Tahoma"/>
                <w:szCs w:val="18"/>
                <w:vertAlign w:val="superscript"/>
              </w:rPr>
              <w:t>®</w:t>
            </w:r>
            <w:r w:rsidRPr="00653421">
              <w:rPr>
                <w:rFonts w:cs="Tahoma"/>
                <w:szCs w:val="18"/>
              </w:rPr>
              <w:t xml:space="preserve"> Server™ Standard</w:t>
            </w:r>
          </w:p>
        </w:tc>
        <w:tc>
          <w:tcPr>
            <w:tcW w:w="4680" w:type="dxa"/>
            <w:tcMar>
              <w:top w:w="0" w:type="dxa"/>
              <w:left w:w="108" w:type="dxa"/>
              <w:bottom w:w="0" w:type="dxa"/>
              <w:right w:w="108" w:type="dxa"/>
            </w:tcMar>
            <w:hideMark/>
          </w:tcPr>
          <w:p w:rsidR="003573CD" w:rsidRPr="00653421" w:rsidRDefault="003573CD" w:rsidP="00554A35">
            <w:pPr>
              <w:rPr>
                <w:rFonts w:eastAsia="Calibri" w:cs="Tahoma"/>
                <w:szCs w:val="18"/>
              </w:rPr>
            </w:pPr>
            <w:r w:rsidRPr="00653421">
              <w:rPr>
                <w:rFonts w:cs="Tahoma"/>
                <w:szCs w:val="18"/>
              </w:rPr>
              <w:t>Windows</w:t>
            </w:r>
            <w:r w:rsidRPr="00653421">
              <w:rPr>
                <w:rFonts w:cs="Tahoma"/>
                <w:szCs w:val="18"/>
                <w:vertAlign w:val="superscript"/>
              </w:rPr>
              <w:t>®</w:t>
            </w:r>
            <w:r w:rsidRPr="00653421">
              <w:rPr>
                <w:rFonts w:cs="Tahoma"/>
                <w:szCs w:val="18"/>
              </w:rPr>
              <w:t xml:space="preserve"> Server™ Datacenter</w:t>
            </w:r>
          </w:p>
        </w:tc>
      </w:tr>
    </w:tbl>
    <w:p w:rsidR="003573CD" w:rsidRPr="00C50FD1" w:rsidRDefault="003573CD" w:rsidP="003573CD">
      <w:pPr>
        <w:pStyle w:val="AppendixBodyText"/>
        <w:ind w:left="1710" w:hanging="1260"/>
        <w:rPr>
          <w:lang w:val="pt-BR"/>
        </w:rPr>
      </w:pPr>
      <w:r w:rsidRPr="00C50FD1">
        <w:rPr>
          <w:rFonts w:ascii="Tahoma" w:hAnsi="Tahoma" w:cs="Tahoma"/>
          <w:b/>
          <w:i/>
          <w:sz w:val="16"/>
          <w:szCs w:val="16"/>
          <w:lang w:val="pt-BR"/>
        </w:rPr>
        <w:t>*</w:t>
      </w:r>
      <w:r w:rsidR="00611A2E" w:rsidRPr="00C50FD1">
        <w:rPr>
          <w:rFonts w:ascii="Tahoma" w:hAnsi="Tahoma" w:cs="Tahoma"/>
          <w:b/>
          <w:i/>
          <w:sz w:val="16"/>
          <w:szCs w:val="16"/>
          <w:lang w:val="pt-BR"/>
        </w:rPr>
        <w:t xml:space="preserve"> </w:t>
      </w:r>
      <w:r w:rsidRPr="00C50FD1">
        <w:rPr>
          <w:rFonts w:ascii="Tahoma" w:hAnsi="Tahoma" w:cs="Tahoma"/>
          <w:b/>
          <w:i/>
          <w:sz w:val="16"/>
          <w:szCs w:val="16"/>
          <w:lang w:val="pt-BR"/>
        </w:rPr>
        <w:t>Observação:</w:t>
      </w:r>
      <w:r w:rsidRPr="00C50FD1">
        <w:rPr>
          <w:rFonts w:ascii="Tahoma" w:hAnsi="Tahoma" w:cs="Tahoma"/>
          <w:i/>
          <w:sz w:val="16"/>
          <w:szCs w:val="16"/>
          <w:lang w:val="pt-BR"/>
        </w:rPr>
        <w:t xml:space="preserve"> a lista de produtos para os quais as Licenças Step-up estão disponíveis está sujeita a alteração.</w:t>
      </w:r>
    </w:p>
    <w:p w:rsidR="003573CD" w:rsidRPr="00C50FD1" w:rsidRDefault="003573CD">
      <w:pPr>
        <w:rPr>
          <w:lang w:val="pt-BR"/>
        </w:rPr>
      </w:pPr>
    </w:p>
    <w:p w:rsidR="00023FE7" w:rsidRPr="00C50FD1" w:rsidRDefault="00023FE7">
      <w:pPr>
        <w:pStyle w:val="AppendixBodyText"/>
        <w:ind w:left="1710" w:hanging="1260"/>
        <w:rPr>
          <w:lang w:val="pt-BR"/>
        </w:rPr>
      </w:pPr>
      <w:r w:rsidRPr="00C50FD1">
        <w:rPr>
          <w:rFonts w:ascii="Tahoma" w:hAnsi="Tahoma" w:cs="Tahoma"/>
          <w:b/>
          <w:i/>
          <w:lang w:val="pt-BR"/>
        </w:rPr>
        <w:t xml:space="preserve"> </w:t>
      </w:r>
    </w:p>
    <w:p w:rsidR="00023FE7" w:rsidRPr="00653421" w:rsidRDefault="00CA395A" w:rsidP="0095190D">
      <w:pPr>
        <w:pStyle w:val="Heading1"/>
        <w:rPr>
          <w:sz w:val="36"/>
          <w:szCs w:val="36"/>
          <w:lang w:val="x-none" w:eastAsia="x-none"/>
        </w:rPr>
      </w:pPr>
      <w:r w:rsidRPr="00C50FD1">
        <w:rPr>
          <w:lang w:val="pt-BR"/>
        </w:rPr>
        <w:br w:type="page"/>
      </w:r>
      <w:bookmarkStart w:id="971" w:name="_Toc317591256"/>
      <w:bookmarkStart w:id="972" w:name="_Toc336338247"/>
      <w:bookmarkStart w:id="973" w:name="_Toc353470895"/>
      <w:r w:rsidRPr="00653421">
        <w:rPr>
          <w:sz w:val="36"/>
          <w:szCs w:val="36"/>
          <w:lang w:val="x-none" w:eastAsia="x-none"/>
        </w:rPr>
        <w:lastRenderedPageBreak/>
        <w:t>SEÇÃO 8</w:t>
      </w:r>
      <w:r w:rsidR="004C16CF" w:rsidRPr="00653421">
        <w:rPr>
          <w:sz w:val="36"/>
          <w:szCs w:val="36"/>
          <w:lang w:val="x-none" w:eastAsia="x-none"/>
        </w:rPr>
        <w:t xml:space="preserve"> – </w:t>
      </w:r>
      <w:r w:rsidRPr="00653421">
        <w:rPr>
          <w:sz w:val="36"/>
          <w:szCs w:val="36"/>
          <w:lang w:val="x-none" w:eastAsia="x-none"/>
        </w:rPr>
        <w:t>ServiÇOS</w:t>
      </w:r>
      <w:bookmarkEnd w:id="971"/>
      <w:bookmarkEnd w:id="972"/>
      <w:bookmarkEnd w:id="973"/>
    </w:p>
    <w:p w:rsidR="00023FE7" w:rsidRPr="00C50FD1" w:rsidRDefault="00023FE7">
      <w:pPr>
        <w:rPr>
          <w:lang w:val="pt-BR"/>
        </w:rPr>
      </w:pPr>
    </w:p>
    <w:p w:rsidR="00DD7F8E" w:rsidRPr="00C50FD1" w:rsidRDefault="00DD7F8E" w:rsidP="00607FE8">
      <w:pPr>
        <w:jc w:val="both"/>
        <w:rPr>
          <w:lang w:val="pt-BR"/>
        </w:rPr>
      </w:pPr>
      <w:r w:rsidRPr="00C50FD1">
        <w:rPr>
          <w:rFonts w:eastAsia="Times New Roman" w:cs="Tahoma"/>
          <w:szCs w:val="20"/>
          <w:lang w:val="pt-BR"/>
        </w:rPr>
        <w:t>O direito de uso do cliente sobre quaisquer Serviços comprados desta Lista de Produtos é regido (1) pelo contrato de</w:t>
      </w:r>
      <w:r w:rsidR="0067470F" w:rsidRPr="00C50FD1">
        <w:rPr>
          <w:rFonts w:eastAsia="Times New Roman" w:cs="Tahoma"/>
          <w:szCs w:val="20"/>
          <w:lang w:val="pt-BR"/>
        </w:rPr>
        <w:t> </w:t>
      </w:r>
      <w:r w:rsidRPr="00C50FD1">
        <w:rPr>
          <w:rFonts w:eastAsia="Times New Roman" w:cs="Tahoma"/>
          <w:szCs w:val="20"/>
          <w:lang w:val="pt-BR"/>
        </w:rPr>
        <w:t>licenciamento por volume do cliente e (2) por qualquer outro contrato de Serviços Microsoft de nível master que o</w:t>
      </w:r>
      <w:r w:rsidR="0067470F" w:rsidRPr="00C50FD1">
        <w:rPr>
          <w:rFonts w:eastAsia="Times New Roman" w:cs="Tahoma"/>
          <w:szCs w:val="20"/>
          <w:lang w:val="pt-BR"/>
        </w:rPr>
        <w:t> </w:t>
      </w:r>
      <w:r w:rsidRPr="00C50FD1">
        <w:rPr>
          <w:rFonts w:eastAsia="Times New Roman" w:cs="Tahoma"/>
          <w:szCs w:val="20"/>
          <w:lang w:val="pt-BR"/>
        </w:rPr>
        <w:t>cliente possa ter em vigor no momento da compra. Em caso de conflito, prevalecerá o contrato de Serviços mais recente.</w:t>
      </w:r>
      <w:r w:rsidR="005A52A2" w:rsidRPr="00C50FD1">
        <w:rPr>
          <w:rFonts w:eastAsia="Times New Roman" w:cs="Tahoma"/>
          <w:szCs w:val="20"/>
          <w:lang w:val="pt-BR"/>
        </w:rPr>
        <w:t xml:space="preserve"> </w:t>
      </w:r>
      <w:r w:rsidRPr="00C50FD1">
        <w:rPr>
          <w:rFonts w:cs="Tahoma"/>
          <w:color w:val="000000"/>
          <w:szCs w:val="18"/>
          <w:lang w:val="pt-BR"/>
        </w:rPr>
        <w:t>Se o contrato de licença por volume ou os termos dos Serviços de nível master do cliente não contiverem a</w:t>
      </w:r>
      <w:r w:rsidR="0067470F" w:rsidRPr="00C50FD1">
        <w:rPr>
          <w:rFonts w:cs="Tahoma"/>
          <w:color w:val="000000"/>
          <w:szCs w:val="18"/>
          <w:lang w:val="pt-BR"/>
        </w:rPr>
        <w:t> </w:t>
      </w:r>
      <w:r w:rsidRPr="00C50FD1">
        <w:rPr>
          <w:rFonts w:cs="Tahoma"/>
          <w:color w:val="000000"/>
          <w:szCs w:val="18"/>
          <w:lang w:val="pt-BR"/>
        </w:rPr>
        <w:t>Propriedade dos Serviços e a linguagem da Licença, o Uso, a propriedade e os direitos de licença estabelecidos nos Termos e Condições de Serviços Adicionais a seguir serão aplicáveis.</w:t>
      </w:r>
      <w:r w:rsidR="005A52A2" w:rsidRPr="00C50FD1">
        <w:rPr>
          <w:rFonts w:cs="Tahoma"/>
          <w:color w:val="000000"/>
          <w:szCs w:val="18"/>
          <w:lang w:val="pt-BR"/>
        </w:rPr>
        <w:t xml:space="preserve"> </w:t>
      </w:r>
      <w:r w:rsidRPr="00C50FD1">
        <w:rPr>
          <w:rFonts w:eastAsia="Times New Roman" w:cs="Tahoma"/>
          <w:szCs w:val="20"/>
          <w:lang w:val="pt-BR"/>
        </w:rPr>
        <w:t>Se o cliente não tiver um contrato de Serviços de nível master com a Microsoft, todos os Termos e Condições de Serviços Adicionais a seguir serão aplicados.</w:t>
      </w:r>
    </w:p>
    <w:p w:rsidR="00DD7F8E" w:rsidRPr="00C50FD1" w:rsidRDefault="00DD7F8E" w:rsidP="00607FE8">
      <w:pPr>
        <w:jc w:val="both"/>
        <w:rPr>
          <w:lang w:val="pt-BR"/>
        </w:rPr>
      </w:pPr>
    </w:p>
    <w:p w:rsidR="00DD7F8E" w:rsidRPr="00C50FD1" w:rsidRDefault="00DD7F8E" w:rsidP="00607FE8">
      <w:pPr>
        <w:spacing w:after="75"/>
        <w:rPr>
          <w:lang w:val="pt-BR"/>
        </w:rPr>
      </w:pPr>
      <w:r w:rsidRPr="00C50FD1">
        <w:rPr>
          <w:rFonts w:eastAsia="Times New Roman" w:cs="Tahoma"/>
          <w:szCs w:val="20"/>
          <w:lang w:val="pt-BR"/>
        </w:rPr>
        <w:t>Uma descrição detalhada de todos os Serviços dos quais os clientes podem adquirir o direito é fornecida na seção a</w:t>
      </w:r>
      <w:r w:rsidR="0067470F" w:rsidRPr="00C50FD1">
        <w:rPr>
          <w:rFonts w:eastAsia="Times New Roman" w:cs="Tahoma"/>
          <w:szCs w:val="20"/>
          <w:lang w:val="pt-BR"/>
        </w:rPr>
        <w:t> </w:t>
      </w:r>
      <w:r w:rsidRPr="00C50FD1">
        <w:rPr>
          <w:rFonts w:eastAsia="Times New Roman" w:cs="Tahoma"/>
          <w:szCs w:val="20"/>
          <w:lang w:val="pt-BR"/>
        </w:rPr>
        <w:t xml:space="preserve">seguir. </w:t>
      </w:r>
    </w:p>
    <w:p w:rsidR="00DD7F8E" w:rsidRPr="00C50FD1" w:rsidRDefault="00DD7F8E" w:rsidP="00607FE8">
      <w:pPr>
        <w:spacing w:after="75"/>
        <w:rPr>
          <w:lang w:val="pt-BR"/>
        </w:rPr>
      </w:pPr>
      <w:r w:rsidRPr="00C50FD1">
        <w:rPr>
          <w:rFonts w:eastAsia="Times New Roman" w:cs="Tahoma"/>
          <w:szCs w:val="20"/>
          <w:lang w:val="pt-BR"/>
        </w:rPr>
        <w:t>A disponibilidade das ofertas a seguir varia por região e Programa de Licenciamento por Volume. Algumas ofertas poderão não estar disponíveis para clientes do Governo com determinadas exceções em uma base experimental. Os</w:t>
      </w:r>
      <w:r w:rsidR="0067470F" w:rsidRPr="00C50FD1">
        <w:rPr>
          <w:rFonts w:eastAsia="Times New Roman" w:cs="Tahoma"/>
          <w:szCs w:val="20"/>
          <w:lang w:val="pt-BR"/>
        </w:rPr>
        <w:t> </w:t>
      </w:r>
      <w:r w:rsidRPr="00C50FD1">
        <w:rPr>
          <w:rFonts w:eastAsia="Times New Roman" w:cs="Tahoma"/>
          <w:szCs w:val="20"/>
          <w:lang w:val="pt-BR"/>
        </w:rPr>
        <w:t>clientes devem entrar em contato com o revendedor ou o Gerente de Conta Microsoft para obter informações sobre a disponibilidade regional de uma oferta específica.</w:t>
      </w:r>
    </w:p>
    <w:p w:rsidR="00F42FB8" w:rsidRPr="00C50FD1" w:rsidRDefault="00F42FB8" w:rsidP="00DD7F8E">
      <w:pPr>
        <w:rPr>
          <w:lang w:val="pt-BR"/>
        </w:rPr>
      </w:pPr>
    </w:p>
    <w:p w:rsidR="00DD7F8E" w:rsidRPr="00C50FD1" w:rsidRDefault="00DD7F8E" w:rsidP="00DD7F8E">
      <w:pPr>
        <w:rPr>
          <w:lang w:val="pt-BR"/>
        </w:rPr>
      </w:pPr>
      <w:r w:rsidRPr="00C50FD1">
        <w:rPr>
          <w:b/>
          <w:sz w:val="24"/>
          <w:szCs w:val="24"/>
          <w:lang w:val="pt-BR"/>
        </w:rPr>
        <w:t>Ofertas de Suporte do Microsoft Premier</w:t>
      </w:r>
    </w:p>
    <w:p w:rsidR="00DB2D1E" w:rsidRPr="00C50FD1" w:rsidRDefault="00DB2D1E" w:rsidP="00DC0853">
      <w:pPr>
        <w:rPr>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653421" w:rsidTr="002A6416">
        <w:tc>
          <w:tcPr>
            <w:tcW w:w="3168" w:type="dxa"/>
            <w:shd w:val="clear" w:color="auto" w:fill="FABF8F"/>
            <w:vAlign w:val="center"/>
          </w:tcPr>
          <w:p w:rsidR="00DB2D1E" w:rsidRPr="00653421" w:rsidRDefault="00DB2D1E" w:rsidP="00DE73D4">
            <w:pPr>
              <w:jc w:val="center"/>
              <w:rPr>
                <w:rFonts w:cs="Tahoma"/>
                <w:color w:val="000000"/>
                <w:szCs w:val="18"/>
              </w:rPr>
            </w:pPr>
            <w:r w:rsidRPr="00653421">
              <w:rPr>
                <w:rFonts w:cs="Tahoma"/>
                <w:b/>
                <w:bCs/>
                <w:color w:val="000000"/>
                <w:sz w:val="20"/>
                <w:szCs w:val="18"/>
              </w:rPr>
              <w:t xml:space="preserve">Área </w:t>
            </w:r>
            <w:r w:rsidRPr="00653421">
              <w:rPr>
                <w:rFonts w:cs="Tahoma"/>
                <w:b/>
                <w:bCs/>
                <w:color w:val="000000"/>
                <w:sz w:val="20"/>
                <w:szCs w:val="18"/>
                <w:vertAlign w:val="superscript"/>
              </w:rPr>
              <w:t>1</w:t>
            </w:r>
          </w:p>
        </w:tc>
        <w:tc>
          <w:tcPr>
            <w:tcW w:w="1580" w:type="dxa"/>
            <w:shd w:val="clear" w:color="auto" w:fill="FABF8F"/>
            <w:vAlign w:val="center"/>
          </w:tcPr>
          <w:p w:rsidR="00DB2D1E" w:rsidRPr="00653421" w:rsidRDefault="00DB2D1E" w:rsidP="00DE73D4">
            <w:pPr>
              <w:jc w:val="center"/>
              <w:rPr>
                <w:rFonts w:cs="Tahoma"/>
                <w:color w:val="000000"/>
                <w:sz w:val="20"/>
                <w:szCs w:val="20"/>
              </w:rPr>
            </w:pPr>
            <w:r w:rsidRPr="00653421">
              <w:rPr>
                <w:rFonts w:cs="Tahoma"/>
                <w:b/>
                <w:bCs/>
                <w:color w:val="000000"/>
                <w:sz w:val="20"/>
                <w:szCs w:val="20"/>
              </w:rPr>
              <w:t>Premier Core</w:t>
            </w:r>
          </w:p>
        </w:tc>
        <w:tc>
          <w:tcPr>
            <w:tcW w:w="1444" w:type="dxa"/>
            <w:shd w:val="clear" w:color="auto" w:fill="FABF8F"/>
          </w:tcPr>
          <w:p w:rsidR="00DB2D1E" w:rsidRPr="00653421" w:rsidRDefault="00DB2D1E" w:rsidP="00DE73D4">
            <w:pPr>
              <w:jc w:val="center"/>
              <w:rPr>
                <w:rFonts w:cs="Tahoma"/>
                <w:b/>
                <w:bCs/>
                <w:color w:val="000000"/>
                <w:sz w:val="20"/>
                <w:szCs w:val="18"/>
              </w:rPr>
            </w:pPr>
            <w:r w:rsidRPr="00653421">
              <w:rPr>
                <w:rFonts w:cs="Tahoma"/>
                <w:b/>
                <w:bCs/>
                <w:color w:val="000000"/>
                <w:sz w:val="20"/>
                <w:szCs w:val="18"/>
              </w:rPr>
              <w:t>Premier Foundation</w:t>
            </w:r>
          </w:p>
        </w:tc>
        <w:tc>
          <w:tcPr>
            <w:tcW w:w="1687" w:type="dxa"/>
            <w:shd w:val="clear" w:color="auto" w:fill="FABF8F"/>
            <w:vAlign w:val="center"/>
          </w:tcPr>
          <w:p w:rsidR="00DB2D1E" w:rsidRPr="00653421" w:rsidRDefault="00DB2D1E" w:rsidP="00DE73D4">
            <w:pPr>
              <w:jc w:val="center"/>
              <w:rPr>
                <w:rFonts w:cs="Tahoma"/>
                <w:color w:val="000000"/>
                <w:szCs w:val="18"/>
              </w:rPr>
            </w:pPr>
            <w:r w:rsidRPr="00653421">
              <w:rPr>
                <w:rFonts w:cs="Tahoma"/>
                <w:b/>
                <w:bCs/>
                <w:color w:val="000000"/>
                <w:sz w:val="20"/>
                <w:szCs w:val="18"/>
              </w:rPr>
              <w:t>Premier Standard</w:t>
            </w:r>
          </w:p>
        </w:tc>
        <w:tc>
          <w:tcPr>
            <w:tcW w:w="1589" w:type="dxa"/>
            <w:shd w:val="clear" w:color="auto" w:fill="FABF8F"/>
            <w:vAlign w:val="center"/>
          </w:tcPr>
          <w:p w:rsidR="00DB2D1E" w:rsidRPr="00653421" w:rsidRDefault="00DB2D1E" w:rsidP="00DE73D4">
            <w:pPr>
              <w:jc w:val="center"/>
              <w:rPr>
                <w:rFonts w:cs="Tahoma"/>
                <w:color w:val="000000"/>
                <w:szCs w:val="18"/>
              </w:rPr>
            </w:pPr>
            <w:r w:rsidRPr="00653421">
              <w:rPr>
                <w:rFonts w:cs="Tahoma"/>
                <w:b/>
                <w:bCs/>
                <w:color w:val="000000"/>
                <w:sz w:val="20"/>
                <w:szCs w:val="18"/>
              </w:rPr>
              <w:t>Premier Plus</w:t>
            </w:r>
          </w:p>
        </w:tc>
      </w:tr>
      <w:tr w:rsidR="00DB2D1E" w:rsidRPr="00653421" w:rsidTr="002A6416">
        <w:tc>
          <w:tcPr>
            <w:tcW w:w="3168" w:type="dxa"/>
            <w:vAlign w:val="center"/>
          </w:tcPr>
          <w:p w:rsidR="00DB2D1E" w:rsidRPr="00C50FD1" w:rsidRDefault="00DB2D1E" w:rsidP="00DE73D4">
            <w:pPr>
              <w:rPr>
                <w:rFonts w:cs="Tahoma"/>
                <w:color w:val="000000"/>
                <w:szCs w:val="18"/>
                <w:lang w:val="pt-BR"/>
              </w:rPr>
            </w:pPr>
            <w:r w:rsidRPr="00C50FD1">
              <w:rPr>
                <w:rFonts w:cs="Tahoma"/>
                <w:color w:val="000000"/>
                <w:szCs w:val="18"/>
                <w:lang w:val="pt-BR"/>
              </w:rPr>
              <w:t xml:space="preserve">Gerenciamento de Conta de Suporte </w:t>
            </w:r>
          </w:p>
        </w:tc>
        <w:tc>
          <w:tcPr>
            <w:tcW w:w="1580"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444"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687"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c>
          <w:tcPr>
            <w:tcW w:w="1589"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r>
      <w:tr w:rsidR="00DB2D1E" w:rsidRPr="00653421" w:rsidTr="002A6416">
        <w:tc>
          <w:tcPr>
            <w:tcW w:w="3168" w:type="dxa"/>
            <w:vAlign w:val="center"/>
          </w:tcPr>
          <w:p w:rsidR="00DB2D1E" w:rsidRPr="00C50FD1" w:rsidRDefault="00DB2D1E" w:rsidP="0067470F">
            <w:pPr>
              <w:rPr>
                <w:rFonts w:cs="Tahoma"/>
                <w:color w:val="000000"/>
                <w:szCs w:val="18"/>
                <w:lang w:val="pt-BR"/>
              </w:rPr>
            </w:pPr>
            <w:r w:rsidRPr="00C50FD1">
              <w:rPr>
                <w:rFonts w:cs="Tahoma"/>
                <w:color w:val="000000"/>
                <w:szCs w:val="18"/>
                <w:lang w:val="pt-BR"/>
              </w:rPr>
              <w:t>Criação de Perfil e Relatório de</w:t>
            </w:r>
            <w:r w:rsidR="0067470F" w:rsidRPr="00C50FD1">
              <w:rPr>
                <w:rFonts w:cs="Tahoma"/>
                <w:color w:val="000000"/>
                <w:szCs w:val="18"/>
                <w:lang w:val="pt-BR"/>
              </w:rPr>
              <w:t> </w:t>
            </w:r>
            <w:r w:rsidRPr="00C50FD1">
              <w:rPr>
                <w:rFonts w:cs="Tahoma"/>
                <w:color w:val="000000"/>
                <w:szCs w:val="18"/>
                <w:lang w:val="pt-BR"/>
              </w:rPr>
              <w:t>Conta</w:t>
            </w:r>
          </w:p>
        </w:tc>
        <w:tc>
          <w:tcPr>
            <w:tcW w:w="1580" w:type="dxa"/>
            <w:vAlign w:val="center"/>
          </w:tcPr>
          <w:p w:rsidR="00DB2D1E" w:rsidRPr="00653421" w:rsidRDefault="00DB2D1E" w:rsidP="00DE73D4">
            <w:pPr>
              <w:jc w:val="center"/>
              <w:rPr>
                <w:rFonts w:cs="Tahoma"/>
                <w:color w:val="000000"/>
                <w:szCs w:val="18"/>
              </w:rPr>
            </w:pPr>
            <w:r w:rsidRPr="00653421">
              <w:rPr>
                <w:rFonts w:cs="Tahoma"/>
                <w:color w:val="000000"/>
                <w:szCs w:val="18"/>
              </w:rPr>
              <w:t>Mensal</w:t>
            </w:r>
          </w:p>
        </w:tc>
        <w:tc>
          <w:tcPr>
            <w:tcW w:w="1444" w:type="dxa"/>
            <w:vAlign w:val="center"/>
          </w:tcPr>
          <w:p w:rsidR="00DB2D1E" w:rsidRPr="00653421" w:rsidRDefault="00DB2D1E" w:rsidP="00DE73D4">
            <w:pPr>
              <w:jc w:val="center"/>
              <w:rPr>
                <w:rFonts w:cs="Tahoma"/>
                <w:color w:val="000000"/>
                <w:szCs w:val="18"/>
              </w:rPr>
            </w:pPr>
            <w:r w:rsidRPr="00653421">
              <w:rPr>
                <w:rFonts w:cs="Tahoma"/>
                <w:color w:val="000000"/>
                <w:szCs w:val="18"/>
              </w:rPr>
              <w:t>Mensal</w:t>
            </w:r>
          </w:p>
        </w:tc>
        <w:tc>
          <w:tcPr>
            <w:tcW w:w="1687" w:type="dxa"/>
            <w:vAlign w:val="center"/>
          </w:tcPr>
          <w:p w:rsidR="00DB2D1E" w:rsidRPr="00653421" w:rsidRDefault="00DB2D1E" w:rsidP="00DE73D4">
            <w:pPr>
              <w:jc w:val="center"/>
              <w:rPr>
                <w:rFonts w:cs="Tahoma"/>
                <w:color w:val="000000"/>
                <w:szCs w:val="18"/>
              </w:rPr>
            </w:pPr>
            <w:r w:rsidRPr="00653421">
              <w:rPr>
                <w:rFonts w:cs="Tahoma"/>
                <w:color w:val="000000"/>
                <w:szCs w:val="18"/>
              </w:rPr>
              <w:t>Mensal</w:t>
            </w:r>
          </w:p>
        </w:tc>
        <w:tc>
          <w:tcPr>
            <w:tcW w:w="1589" w:type="dxa"/>
            <w:vAlign w:val="center"/>
          </w:tcPr>
          <w:p w:rsidR="00DB2D1E" w:rsidRPr="00653421" w:rsidRDefault="00DB2D1E" w:rsidP="00DE73D4">
            <w:pPr>
              <w:jc w:val="center"/>
              <w:rPr>
                <w:rFonts w:cs="Tahoma"/>
                <w:color w:val="000000"/>
                <w:szCs w:val="18"/>
              </w:rPr>
            </w:pPr>
            <w:r w:rsidRPr="00653421">
              <w:rPr>
                <w:rFonts w:cs="Tahoma"/>
                <w:color w:val="000000"/>
                <w:szCs w:val="18"/>
              </w:rPr>
              <w:t>Mensal</w:t>
            </w:r>
          </w:p>
        </w:tc>
      </w:tr>
      <w:tr w:rsidR="00DB2D1E" w:rsidRPr="00653421" w:rsidTr="002A6416">
        <w:tc>
          <w:tcPr>
            <w:tcW w:w="3168" w:type="dxa"/>
            <w:vAlign w:val="center"/>
          </w:tcPr>
          <w:p w:rsidR="00DB2D1E" w:rsidRPr="00C50FD1" w:rsidRDefault="00DB2D1E" w:rsidP="00DE73D4">
            <w:pPr>
              <w:rPr>
                <w:rFonts w:cs="Tahoma"/>
                <w:color w:val="000000"/>
                <w:szCs w:val="18"/>
                <w:lang w:val="pt-BR"/>
              </w:rPr>
            </w:pPr>
            <w:r w:rsidRPr="00C50FD1">
              <w:rPr>
                <w:rFonts w:cs="Tahoma"/>
                <w:color w:val="000000"/>
                <w:szCs w:val="18"/>
                <w:lang w:val="pt-BR"/>
              </w:rPr>
              <w:t>Assistência de Suporte (horas alocadas anualmente)</w:t>
            </w:r>
          </w:p>
        </w:tc>
        <w:tc>
          <w:tcPr>
            <w:tcW w:w="1580" w:type="dxa"/>
            <w:vAlign w:val="center"/>
          </w:tcPr>
          <w:p w:rsidR="00DB2D1E" w:rsidRPr="00653421" w:rsidRDefault="00DB2D1E" w:rsidP="00DE73D4">
            <w:pPr>
              <w:jc w:val="center"/>
              <w:rPr>
                <w:rFonts w:cs="Tahoma"/>
                <w:color w:val="000000"/>
                <w:szCs w:val="18"/>
              </w:rPr>
            </w:pPr>
            <w:r w:rsidRPr="00653421">
              <w:rPr>
                <w:rFonts w:cs="Tahoma"/>
                <w:color w:val="000000"/>
                <w:szCs w:val="18"/>
              </w:rPr>
              <w:t>Até 10 horas</w:t>
            </w:r>
          </w:p>
        </w:tc>
        <w:tc>
          <w:tcPr>
            <w:tcW w:w="1444" w:type="dxa"/>
          </w:tcPr>
          <w:p w:rsidR="00DB2D1E" w:rsidRPr="00C50FD1" w:rsidRDefault="00DB2D1E" w:rsidP="00DE73D4">
            <w:pPr>
              <w:jc w:val="center"/>
              <w:rPr>
                <w:rFonts w:cs="Tahoma"/>
                <w:color w:val="000000"/>
                <w:szCs w:val="18"/>
                <w:lang w:val="pt-BR"/>
              </w:rPr>
            </w:pPr>
            <w:r w:rsidRPr="00C50FD1">
              <w:rPr>
                <w:rFonts w:cs="Tahoma"/>
                <w:color w:val="000000"/>
                <w:szCs w:val="18"/>
                <w:lang w:val="pt-BR"/>
              </w:rPr>
              <w:t>Até 10 horas</w:t>
            </w:r>
            <w:r w:rsidRPr="00C50FD1">
              <w:rPr>
                <w:rFonts w:cs="Tahoma"/>
                <w:color w:val="000000"/>
                <w:szCs w:val="18"/>
                <w:lang w:val="pt-BR"/>
              </w:rPr>
              <w:br/>
              <w:t>+ 1 Verificação de Integridade</w:t>
            </w:r>
            <w:r w:rsidRPr="00C50FD1">
              <w:rPr>
                <w:rFonts w:cs="Tahoma"/>
                <w:color w:val="000000"/>
                <w:szCs w:val="18"/>
                <w:lang w:val="pt-BR"/>
              </w:rPr>
              <w:br/>
              <w:t>+ 1 Workshop</w:t>
            </w:r>
          </w:p>
        </w:tc>
        <w:tc>
          <w:tcPr>
            <w:tcW w:w="1687" w:type="dxa"/>
            <w:vAlign w:val="center"/>
          </w:tcPr>
          <w:p w:rsidR="00DB2D1E" w:rsidRPr="00653421" w:rsidRDefault="00DB2D1E" w:rsidP="00DE73D4">
            <w:pPr>
              <w:jc w:val="center"/>
              <w:rPr>
                <w:rFonts w:cs="Tahoma"/>
                <w:color w:val="000000"/>
                <w:szCs w:val="18"/>
              </w:rPr>
            </w:pPr>
            <w:r w:rsidRPr="00653421">
              <w:rPr>
                <w:rFonts w:cs="Tahoma"/>
                <w:color w:val="000000"/>
                <w:szCs w:val="18"/>
              </w:rPr>
              <w:t>Até 120 horas</w:t>
            </w:r>
          </w:p>
        </w:tc>
        <w:tc>
          <w:tcPr>
            <w:tcW w:w="1589" w:type="dxa"/>
            <w:vAlign w:val="center"/>
          </w:tcPr>
          <w:p w:rsidR="00DB2D1E" w:rsidRPr="00653421" w:rsidRDefault="00DB2D1E" w:rsidP="00DE73D4">
            <w:pPr>
              <w:jc w:val="center"/>
              <w:rPr>
                <w:rFonts w:cs="Tahoma"/>
                <w:color w:val="000000"/>
                <w:szCs w:val="18"/>
              </w:rPr>
            </w:pPr>
            <w:r w:rsidRPr="00653421">
              <w:rPr>
                <w:rFonts w:cs="Tahoma"/>
                <w:color w:val="000000"/>
                <w:szCs w:val="18"/>
              </w:rPr>
              <w:t>Até 160 Horas</w:t>
            </w:r>
          </w:p>
        </w:tc>
      </w:tr>
      <w:tr w:rsidR="00DB2D1E" w:rsidRPr="00653421" w:rsidTr="002A6416">
        <w:tc>
          <w:tcPr>
            <w:tcW w:w="3168" w:type="dxa"/>
            <w:vAlign w:val="center"/>
          </w:tcPr>
          <w:p w:rsidR="00DB2D1E" w:rsidRPr="00C50FD1" w:rsidRDefault="00DB2D1E" w:rsidP="00DE73D4">
            <w:pPr>
              <w:rPr>
                <w:rFonts w:cs="Tahoma"/>
                <w:color w:val="000000"/>
                <w:szCs w:val="18"/>
                <w:lang w:val="pt-BR"/>
              </w:rPr>
            </w:pPr>
            <w:r w:rsidRPr="00C50FD1">
              <w:rPr>
                <w:rFonts w:cs="Tahoma"/>
                <w:color w:val="000000"/>
                <w:szCs w:val="18"/>
                <w:lang w:val="pt-BR"/>
              </w:rPr>
              <w:t>Suporte para Resolução de Problemas - PRS (alocado anualmente)</w:t>
            </w:r>
          </w:p>
        </w:tc>
        <w:tc>
          <w:tcPr>
            <w:tcW w:w="1580" w:type="dxa"/>
            <w:vAlign w:val="center"/>
          </w:tcPr>
          <w:p w:rsidR="00DB2D1E" w:rsidRPr="00653421" w:rsidRDefault="00DB2D1E" w:rsidP="00DE73D4">
            <w:pPr>
              <w:jc w:val="center"/>
              <w:rPr>
                <w:rFonts w:cs="Tahoma"/>
                <w:color w:val="000000"/>
                <w:szCs w:val="18"/>
              </w:rPr>
            </w:pPr>
            <w:r w:rsidRPr="00653421">
              <w:rPr>
                <w:rFonts w:cs="Tahoma"/>
                <w:color w:val="000000"/>
                <w:szCs w:val="18"/>
              </w:rPr>
              <w:t>Até 40 horas</w:t>
            </w:r>
          </w:p>
        </w:tc>
        <w:tc>
          <w:tcPr>
            <w:tcW w:w="1444" w:type="dxa"/>
          </w:tcPr>
          <w:p w:rsidR="00DB2D1E" w:rsidRPr="00653421" w:rsidRDefault="00DB2D1E" w:rsidP="00DE73D4">
            <w:pPr>
              <w:spacing w:before="120"/>
              <w:jc w:val="center"/>
              <w:rPr>
                <w:rFonts w:cs="Tahoma"/>
                <w:color w:val="000000"/>
                <w:szCs w:val="18"/>
              </w:rPr>
            </w:pPr>
            <w:r w:rsidRPr="00653421">
              <w:rPr>
                <w:rFonts w:cs="Tahoma"/>
                <w:color w:val="000000"/>
                <w:szCs w:val="18"/>
              </w:rPr>
              <w:t>Até 30 horas</w:t>
            </w:r>
          </w:p>
        </w:tc>
        <w:tc>
          <w:tcPr>
            <w:tcW w:w="1687" w:type="dxa"/>
            <w:vAlign w:val="center"/>
          </w:tcPr>
          <w:p w:rsidR="00DB2D1E" w:rsidRPr="00653421" w:rsidRDefault="00DB2D1E" w:rsidP="00DE73D4">
            <w:pPr>
              <w:jc w:val="center"/>
              <w:rPr>
                <w:rFonts w:cs="Tahoma"/>
                <w:color w:val="000000"/>
                <w:szCs w:val="18"/>
              </w:rPr>
            </w:pPr>
            <w:r w:rsidRPr="00653421">
              <w:rPr>
                <w:rFonts w:cs="Tahoma"/>
                <w:color w:val="000000"/>
                <w:szCs w:val="18"/>
              </w:rPr>
              <w:t>Até 80 horas</w:t>
            </w:r>
          </w:p>
        </w:tc>
        <w:tc>
          <w:tcPr>
            <w:tcW w:w="1589" w:type="dxa"/>
            <w:vAlign w:val="center"/>
          </w:tcPr>
          <w:p w:rsidR="00DB2D1E" w:rsidRPr="00653421" w:rsidRDefault="00DB2D1E" w:rsidP="00DE73D4">
            <w:pPr>
              <w:jc w:val="center"/>
              <w:rPr>
                <w:rFonts w:cs="Tahoma"/>
                <w:color w:val="000000"/>
                <w:szCs w:val="18"/>
              </w:rPr>
            </w:pPr>
            <w:r w:rsidRPr="00653421">
              <w:rPr>
                <w:rFonts w:cs="Tahoma"/>
                <w:color w:val="000000"/>
                <w:szCs w:val="18"/>
              </w:rPr>
              <w:t>Até 140 Horas</w:t>
            </w:r>
          </w:p>
        </w:tc>
      </w:tr>
      <w:tr w:rsidR="00DB2D1E" w:rsidRPr="00653421" w:rsidTr="002A6416">
        <w:tc>
          <w:tcPr>
            <w:tcW w:w="3168" w:type="dxa"/>
            <w:vAlign w:val="center"/>
          </w:tcPr>
          <w:p w:rsidR="00DB2D1E" w:rsidRPr="00C50FD1" w:rsidRDefault="00DB2D1E" w:rsidP="0067470F">
            <w:pPr>
              <w:rPr>
                <w:rFonts w:cs="Tahoma"/>
                <w:color w:val="000000"/>
                <w:szCs w:val="18"/>
                <w:lang w:val="pt-BR"/>
              </w:rPr>
            </w:pPr>
            <w:r w:rsidRPr="00C50FD1">
              <w:rPr>
                <w:rFonts w:cs="Tahoma"/>
                <w:color w:val="000000"/>
                <w:szCs w:val="18"/>
                <w:lang w:val="pt-BR"/>
              </w:rPr>
              <w:t>Gerenciamento de Escalonamento de</w:t>
            </w:r>
            <w:r w:rsidR="0067470F" w:rsidRPr="00C50FD1">
              <w:rPr>
                <w:rFonts w:cs="Tahoma"/>
                <w:color w:val="000000"/>
                <w:szCs w:val="18"/>
                <w:lang w:val="pt-BR"/>
              </w:rPr>
              <w:t> </w:t>
            </w:r>
            <w:r w:rsidRPr="00C50FD1">
              <w:rPr>
                <w:rFonts w:cs="Tahoma"/>
                <w:color w:val="000000"/>
                <w:szCs w:val="18"/>
                <w:lang w:val="pt-BR"/>
              </w:rPr>
              <w:t>Situação Crítica 24x7 (Severidade</w:t>
            </w:r>
            <w:r w:rsidR="0067470F" w:rsidRPr="00C50FD1">
              <w:rPr>
                <w:rFonts w:cs="Tahoma"/>
                <w:color w:val="000000"/>
                <w:szCs w:val="18"/>
                <w:lang w:val="pt-BR"/>
              </w:rPr>
              <w:t> </w:t>
            </w:r>
            <w:r w:rsidRPr="00C50FD1">
              <w:rPr>
                <w:rFonts w:cs="Tahoma"/>
                <w:color w:val="000000"/>
                <w:szCs w:val="18"/>
                <w:lang w:val="pt-BR"/>
              </w:rPr>
              <w:t>Nível 1)</w:t>
            </w:r>
          </w:p>
        </w:tc>
        <w:tc>
          <w:tcPr>
            <w:tcW w:w="1580"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444"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687"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c>
          <w:tcPr>
            <w:tcW w:w="1589"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r>
      <w:tr w:rsidR="00DB2D1E" w:rsidRPr="00653421" w:rsidTr="002A6416">
        <w:tc>
          <w:tcPr>
            <w:tcW w:w="3168" w:type="dxa"/>
            <w:vAlign w:val="center"/>
          </w:tcPr>
          <w:p w:rsidR="00DB2D1E" w:rsidRPr="00653421" w:rsidRDefault="00DB2D1E" w:rsidP="00DE73D4">
            <w:pPr>
              <w:rPr>
                <w:rFonts w:cs="Tahoma"/>
                <w:color w:val="000000"/>
                <w:szCs w:val="18"/>
              </w:rPr>
            </w:pPr>
            <w:r w:rsidRPr="00653421">
              <w:rPr>
                <w:rFonts w:cs="Tahoma"/>
                <w:color w:val="000000"/>
                <w:szCs w:val="18"/>
              </w:rPr>
              <w:t>Suporte Rápido no Local</w:t>
            </w:r>
          </w:p>
        </w:tc>
        <w:tc>
          <w:tcPr>
            <w:tcW w:w="1580"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444"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687"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c>
          <w:tcPr>
            <w:tcW w:w="1589"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r>
      <w:tr w:rsidR="00DB2D1E" w:rsidRPr="00653421" w:rsidTr="002A6416">
        <w:tc>
          <w:tcPr>
            <w:tcW w:w="3168" w:type="dxa"/>
            <w:vAlign w:val="center"/>
          </w:tcPr>
          <w:p w:rsidR="00DB2D1E" w:rsidRPr="00C50FD1" w:rsidRDefault="00DB2D1E" w:rsidP="00DE73D4">
            <w:pPr>
              <w:rPr>
                <w:rFonts w:cs="Tahoma"/>
                <w:color w:val="000000"/>
                <w:szCs w:val="18"/>
                <w:lang w:val="pt-BR"/>
              </w:rPr>
            </w:pPr>
            <w:r w:rsidRPr="00C50FD1">
              <w:rPr>
                <w:rFonts w:cs="Tahoma"/>
                <w:color w:val="000000"/>
                <w:szCs w:val="18"/>
                <w:lang w:val="pt-BR"/>
              </w:rPr>
              <w:t>Serviços de Informações Pró-ativos</w:t>
            </w:r>
          </w:p>
        </w:tc>
        <w:tc>
          <w:tcPr>
            <w:tcW w:w="1580"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444"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687"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c>
          <w:tcPr>
            <w:tcW w:w="1589"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r>
      <w:tr w:rsidR="00DB2D1E" w:rsidRPr="00653421" w:rsidTr="002A6416">
        <w:tc>
          <w:tcPr>
            <w:tcW w:w="3168" w:type="dxa"/>
            <w:vAlign w:val="center"/>
          </w:tcPr>
          <w:p w:rsidR="00DB2D1E" w:rsidRPr="00653421" w:rsidRDefault="00DB2D1E" w:rsidP="00DE73D4">
            <w:pPr>
              <w:rPr>
                <w:rFonts w:cs="Tahoma"/>
                <w:color w:val="000000"/>
                <w:szCs w:val="18"/>
              </w:rPr>
            </w:pPr>
            <w:r w:rsidRPr="00653421">
              <w:rPr>
                <w:rFonts w:cs="Tahoma"/>
                <w:color w:val="000000"/>
                <w:szCs w:val="18"/>
              </w:rPr>
              <w:t>Microsoft Premier Online</w:t>
            </w:r>
          </w:p>
        </w:tc>
        <w:tc>
          <w:tcPr>
            <w:tcW w:w="1580"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444" w:type="dxa"/>
            <w:vAlign w:val="center"/>
          </w:tcPr>
          <w:p w:rsidR="00DB2D1E" w:rsidRPr="00653421" w:rsidRDefault="00DB2D1E" w:rsidP="00DE73D4">
            <w:pPr>
              <w:jc w:val="center"/>
              <w:rPr>
                <w:rFonts w:cs="Tahoma"/>
                <w:color w:val="000000"/>
                <w:szCs w:val="18"/>
              </w:rPr>
            </w:pPr>
            <w:r w:rsidRPr="00653421">
              <w:rPr>
                <w:rFonts w:ascii="MS UI Gothic" w:eastAsia="MS UI Gothic" w:hAnsi="MS UI Gothic" w:cs="MS UI Gothic"/>
                <w:color w:val="000000"/>
                <w:szCs w:val="18"/>
              </w:rPr>
              <w:t>✓</w:t>
            </w:r>
          </w:p>
        </w:tc>
        <w:tc>
          <w:tcPr>
            <w:tcW w:w="1687"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c>
          <w:tcPr>
            <w:tcW w:w="1589" w:type="dxa"/>
            <w:vAlign w:val="center"/>
          </w:tcPr>
          <w:p w:rsidR="00DB2D1E" w:rsidRPr="00653421" w:rsidRDefault="00DB2D1E" w:rsidP="00DE73D4">
            <w:pPr>
              <w:jc w:val="center"/>
              <w:rPr>
                <w:rFonts w:cs="Tahoma"/>
                <w:color w:val="000000"/>
                <w:szCs w:val="18"/>
              </w:rPr>
            </w:pPr>
            <w:r w:rsidRPr="00653421">
              <w:rPr>
                <w:rFonts w:cs="Tahoma"/>
                <w:color w:val="000000"/>
                <w:szCs w:val="18"/>
              </w:rPr>
              <w:t>√</w:t>
            </w:r>
          </w:p>
        </w:tc>
      </w:tr>
      <w:tr w:rsidR="00DB2D1E" w:rsidRPr="00653421" w:rsidTr="002A6416">
        <w:tc>
          <w:tcPr>
            <w:tcW w:w="3168" w:type="dxa"/>
            <w:vAlign w:val="center"/>
          </w:tcPr>
          <w:p w:rsidR="00DB2D1E" w:rsidRPr="00653421" w:rsidRDefault="00DB2D1E" w:rsidP="00DE73D4">
            <w:pPr>
              <w:rPr>
                <w:rFonts w:cs="Tahoma"/>
                <w:color w:val="000000"/>
                <w:szCs w:val="18"/>
              </w:rPr>
            </w:pPr>
            <w:r w:rsidRPr="00653421">
              <w:rPr>
                <w:rFonts w:cs="Tahoma"/>
                <w:color w:val="000000"/>
                <w:szCs w:val="18"/>
              </w:rPr>
              <w:t xml:space="preserve">Horas Complementares </w:t>
            </w:r>
          </w:p>
        </w:tc>
        <w:tc>
          <w:tcPr>
            <w:tcW w:w="1580" w:type="dxa"/>
            <w:vAlign w:val="center"/>
          </w:tcPr>
          <w:p w:rsidR="00DB2D1E" w:rsidRPr="00653421" w:rsidRDefault="00DB2D1E" w:rsidP="00DE73D4">
            <w:pPr>
              <w:jc w:val="center"/>
              <w:rPr>
                <w:rFonts w:cs="Tahoma"/>
                <w:color w:val="000000"/>
                <w:szCs w:val="18"/>
              </w:rPr>
            </w:pPr>
            <w:r w:rsidRPr="00653421">
              <w:rPr>
                <w:rFonts w:cs="Tahoma"/>
                <w:color w:val="000000"/>
                <w:szCs w:val="18"/>
              </w:rPr>
              <w:t>Pacotes de 20</w:t>
            </w:r>
          </w:p>
        </w:tc>
        <w:tc>
          <w:tcPr>
            <w:tcW w:w="1444" w:type="dxa"/>
            <w:vAlign w:val="center"/>
          </w:tcPr>
          <w:p w:rsidR="00DB2D1E" w:rsidRPr="00653421" w:rsidRDefault="00DB2D1E" w:rsidP="00DE73D4">
            <w:pPr>
              <w:jc w:val="center"/>
              <w:rPr>
                <w:rFonts w:cs="Tahoma"/>
                <w:color w:val="000000"/>
                <w:szCs w:val="18"/>
              </w:rPr>
            </w:pPr>
            <w:r w:rsidRPr="00653421">
              <w:rPr>
                <w:rFonts w:cs="Tahoma"/>
                <w:color w:val="000000"/>
                <w:szCs w:val="18"/>
              </w:rPr>
              <w:t>Pacotes de 20</w:t>
            </w:r>
          </w:p>
        </w:tc>
        <w:tc>
          <w:tcPr>
            <w:tcW w:w="1687" w:type="dxa"/>
            <w:vAlign w:val="center"/>
          </w:tcPr>
          <w:p w:rsidR="00DB2D1E" w:rsidRPr="00653421" w:rsidRDefault="00DB2D1E" w:rsidP="00DE73D4">
            <w:pPr>
              <w:jc w:val="center"/>
              <w:rPr>
                <w:rFonts w:cs="Tahoma"/>
                <w:color w:val="000000"/>
                <w:szCs w:val="18"/>
              </w:rPr>
            </w:pPr>
            <w:r w:rsidRPr="00653421">
              <w:rPr>
                <w:rFonts w:cs="Tahoma"/>
                <w:color w:val="000000"/>
                <w:szCs w:val="18"/>
              </w:rPr>
              <w:t>Pacotes de 20</w:t>
            </w:r>
          </w:p>
        </w:tc>
        <w:tc>
          <w:tcPr>
            <w:tcW w:w="1589" w:type="dxa"/>
            <w:vAlign w:val="center"/>
          </w:tcPr>
          <w:p w:rsidR="00DB2D1E" w:rsidRPr="00653421" w:rsidRDefault="00DB2D1E" w:rsidP="00DE73D4">
            <w:pPr>
              <w:jc w:val="center"/>
              <w:rPr>
                <w:rFonts w:cs="Tahoma"/>
                <w:color w:val="000000"/>
                <w:szCs w:val="18"/>
              </w:rPr>
            </w:pPr>
            <w:r w:rsidRPr="00653421">
              <w:rPr>
                <w:rFonts w:cs="Tahoma"/>
                <w:color w:val="000000"/>
                <w:szCs w:val="18"/>
              </w:rPr>
              <w:t>Pacotes de 20</w:t>
            </w:r>
          </w:p>
        </w:tc>
      </w:tr>
    </w:tbl>
    <w:p w:rsidR="00DB2D1E" w:rsidRPr="00C50FD1" w:rsidRDefault="00DB2D1E" w:rsidP="00DB2D1E">
      <w:pPr>
        <w:pStyle w:val="tableclose"/>
        <w:tabs>
          <w:tab w:val="left" w:pos="810"/>
        </w:tabs>
        <w:ind w:left="810" w:hanging="720"/>
        <w:rPr>
          <w:lang w:val="pt-BR"/>
        </w:rPr>
      </w:pPr>
      <w:r w:rsidRPr="00C50FD1">
        <w:rPr>
          <w:rFonts w:ascii="Tahoma" w:hAnsi="Tahoma" w:cs="Tahoma"/>
          <w:i/>
          <w:color w:val="000000"/>
          <w:sz w:val="16"/>
          <w:szCs w:val="16"/>
          <w:vertAlign w:val="superscript"/>
          <w:lang w:val="pt-BR"/>
        </w:rPr>
        <w:t xml:space="preserve"> 1</w:t>
      </w:r>
      <w:r w:rsidRPr="00C50FD1">
        <w:rPr>
          <w:rFonts w:ascii="Tahoma" w:hAnsi="Tahoma" w:cs="Tahoma"/>
          <w:i/>
          <w:color w:val="000000"/>
          <w:sz w:val="16"/>
          <w:szCs w:val="16"/>
          <w:lang w:val="pt-BR"/>
        </w:rPr>
        <w:t xml:space="preserve"> O Horário Comercial é definido localmente.</w:t>
      </w:r>
    </w:p>
    <w:p w:rsidR="00DB2D1E" w:rsidRPr="00C50FD1" w:rsidRDefault="00DB2D1E" w:rsidP="00F42FB8">
      <w:pPr>
        <w:pStyle w:val="BodyText2"/>
        <w:spacing w:after="0" w:line="240" w:lineRule="auto"/>
        <w:rPr>
          <w:lang w:val="pt-BR"/>
        </w:rPr>
      </w:pPr>
    </w:p>
    <w:p w:rsidR="00DB2D1E" w:rsidRPr="00C50FD1" w:rsidRDefault="00DB2D1E" w:rsidP="00CA52FE">
      <w:pPr>
        <w:pStyle w:val="BodyText2"/>
        <w:spacing w:after="0" w:line="240" w:lineRule="auto"/>
        <w:rPr>
          <w:lang w:val="pt-BR"/>
        </w:rPr>
      </w:pPr>
      <w:r w:rsidRPr="00C50FD1">
        <w:rPr>
          <w:rFonts w:ascii="Tahoma" w:hAnsi="Tahoma" w:cs="Tahoma"/>
          <w:b/>
          <w:bCs/>
          <w:color w:val="000000"/>
          <w:sz w:val="18"/>
          <w:szCs w:val="18"/>
          <w:lang w:val="pt-BR"/>
        </w:rPr>
        <w:t>O Gerenciamento de Conta de Suporte</w:t>
      </w:r>
      <w:r w:rsidRPr="00C50FD1">
        <w:rPr>
          <w:rFonts w:ascii="Tahoma" w:hAnsi="Tahoma" w:cs="Tahoma"/>
          <w:color w:val="000000"/>
          <w:sz w:val="18"/>
          <w:szCs w:val="18"/>
          <w:lang w:val="pt-BR"/>
        </w:rPr>
        <w:t xml:space="preserve"> ajuda a criar e manter os relacionamentos com a equipe de gerenciamento e de fornecimento de serviços do cliente, além de ajudar os clientes a organizar cada elemento de</w:t>
      </w:r>
      <w:r w:rsidR="0067470F" w:rsidRPr="00C50FD1">
        <w:rPr>
          <w:rFonts w:ascii="Tahoma" w:hAnsi="Tahoma" w:cs="Tahoma"/>
          <w:color w:val="000000"/>
          <w:sz w:val="18"/>
          <w:szCs w:val="18"/>
          <w:lang w:val="pt-BR"/>
        </w:rPr>
        <w:t> </w:t>
      </w:r>
      <w:r w:rsidRPr="00C50FD1">
        <w:rPr>
          <w:rFonts w:ascii="Tahoma" w:hAnsi="Tahoma" w:cs="Tahoma"/>
          <w:color w:val="000000"/>
          <w:sz w:val="18"/>
          <w:szCs w:val="18"/>
          <w:lang w:val="pt-BR"/>
        </w:rPr>
        <w:t xml:space="preserve">seus planos de serviços a fim de atender às necessidades comerciais. </w:t>
      </w:r>
    </w:p>
    <w:p w:rsidR="00CA52FE" w:rsidRPr="00C50FD1" w:rsidRDefault="00CA52FE" w:rsidP="00CA52FE">
      <w:pPr>
        <w:pStyle w:val="BodyText2"/>
        <w:spacing w:after="0" w:line="240" w:lineRule="auto"/>
        <w:rPr>
          <w:lang w:val="pt-BR"/>
        </w:rPr>
      </w:pPr>
    </w:p>
    <w:p w:rsidR="00DB2D1E" w:rsidRPr="00C50FD1" w:rsidRDefault="00DB2D1E" w:rsidP="00CA52FE">
      <w:pPr>
        <w:jc w:val="both"/>
        <w:rPr>
          <w:lang w:val="pt-BR"/>
        </w:rPr>
      </w:pPr>
      <w:r w:rsidRPr="00C50FD1">
        <w:rPr>
          <w:rFonts w:cs="Tahoma"/>
          <w:b/>
          <w:bCs/>
          <w:color w:val="000000"/>
          <w:szCs w:val="18"/>
          <w:lang w:val="pt-BR"/>
        </w:rPr>
        <w:t xml:space="preserve">A Assistência de Suporte </w:t>
      </w:r>
      <w:r w:rsidRPr="00C50FD1">
        <w:rPr>
          <w:rFonts w:cs="Tahoma"/>
          <w:color w:val="000000"/>
          <w:szCs w:val="18"/>
          <w:lang w:val="pt-BR"/>
        </w:rPr>
        <w:t>fornece avisos e orientações a curto prazo (com base nos recursos da Microsoft disponíveis) sobre problemas não abordados pelo Suporte para Resolução de Problemas, incluindo assistência a</w:t>
      </w:r>
      <w:r w:rsidR="0067470F" w:rsidRPr="00C50FD1">
        <w:rPr>
          <w:rFonts w:cs="Tahoma"/>
          <w:color w:val="000000"/>
          <w:szCs w:val="18"/>
          <w:lang w:val="pt-BR"/>
        </w:rPr>
        <w:t> </w:t>
      </w:r>
      <w:r w:rsidRPr="00C50FD1">
        <w:rPr>
          <w:rFonts w:cs="Tahoma"/>
          <w:color w:val="000000"/>
          <w:szCs w:val="18"/>
          <w:lang w:val="pt-BR"/>
        </w:rPr>
        <w:t>questões relacionadas a design, desenvolvimento e implantação.</w:t>
      </w:r>
    </w:p>
    <w:p w:rsidR="00CA52FE" w:rsidRPr="00C50FD1" w:rsidRDefault="00CA52FE" w:rsidP="00CA52FE">
      <w:pPr>
        <w:jc w:val="both"/>
        <w:rPr>
          <w:lang w:val="pt-BR"/>
        </w:rPr>
      </w:pPr>
    </w:p>
    <w:p w:rsidR="00676723" w:rsidRPr="00C50FD1" w:rsidRDefault="00DB2D1E" w:rsidP="00CA52FE">
      <w:pPr>
        <w:rPr>
          <w:lang w:val="pt-BR"/>
        </w:rPr>
      </w:pPr>
      <w:r w:rsidRPr="00C50FD1">
        <w:rPr>
          <w:rFonts w:cs="Tahoma"/>
          <w:b/>
          <w:bCs/>
          <w:color w:val="000000"/>
          <w:szCs w:val="18"/>
          <w:lang w:val="pt-BR"/>
        </w:rPr>
        <w:t xml:space="preserve">O Suporte para Resolução de Problemas </w:t>
      </w:r>
      <w:r w:rsidRPr="00C50FD1">
        <w:rPr>
          <w:rFonts w:cs="Tahoma"/>
          <w:color w:val="000000"/>
          <w:szCs w:val="18"/>
          <w:lang w:val="pt-BR"/>
        </w:rPr>
        <w:t>fornece assistência para problemas com sintomas específicos encontrados durante o uso de produtos da Microsoft, quando há uma probabilidade razoável de que o problema</w:t>
      </w:r>
      <w:r w:rsidR="0067470F" w:rsidRPr="00C50FD1">
        <w:rPr>
          <w:rFonts w:cs="Tahoma"/>
          <w:color w:val="000000"/>
          <w:szCs w:val="18"/>
          <w:lang w:val="pt-BR"/>
        </w:rPr>
        <w:t> </w:t>
      </w:r>
      <w:r w:rsidRPr="00C50FD1">
        <w:rPr>
          <w:rFonts w:cs="Tahoma"/>
          <w:color w:val="000000"/>
          <w:szCs w:val="18"/>
          <w:lang w:val="pt-BR"/>
        </w:rPr>
        <w:t>tenha sido causado por produtos da Microsoft.</w:t>
      </w:r>
    </w:p>
    <w:p w:rsidR="00676723" w:rsidRPr="00C50FD1" w:rsidRDefault="00676723">
      <w:pPr>
        <w:rPr>
          <w:lang w:val="pt-BR"/>
        </w:rPr>
      </w:pPr>
      <w:r w:rsidRPr="00C50FD1">
        <w:rPr>
          <w:rFonts w:cs="Tahoma"/>
          <w:color w:val="000000"/>
          <w:szCs w:val="18"/>
          <w:lang w:val="pt-BR"/>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653421"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653421" w:rsidRDefault="001C1727" w:rsidP="00DE73D4">
            <w:pPr>
              <w:pStyle w:val="tableclose"/>
              <w:spacing w:line="276" w:lineRule="auto"/>
              <w:rPr>
                <w:rFonts w:ascii="Tahoma" w:hAnsi="Tahoma" w:cs="Tahoma"/>
                <w:b/>
                <w:color w:val="000000"/>
              </w:rPr>
            </w:pPr>
            <w:r w:rsidRPr="00C50FD1">
              <w:rPr>
                <w:rFonts w:cs="Tahoma"/>
                <w:color w:val="000000"/>
                <w:sz w:val="6"/>
                <w:lang w:val="pt-BR"/>
              </w:rPr>
              <w:lastRenderedPageBreak/>
              <w:br w:type="page"/>
            </w:r>
            <w:r w:rsidRPr="00653421">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53421" w:rsidRDefault="00DB2D1E" w:rsidP="00DE73D4">
            <w:pPr>
              <w:pStyle w:val="tableclose"/>
              <w:spacing w:line="276" w:lineRule="auto"/>
              <w:rPr>
                <w:rFonts w:ascii="Tahoma" w:hAnsi="Tahoma" w:cs="Tahoma"/>
                <w:b/>
                <w:color w:val="000000"/>
              </w:rPr>
            </w:pPr>
            <w:r w:rsidRPr="00653421">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53421" w:rsidRDefault="00DB2D1E" w:rsidP="00DE73D4">
            <w:pPr>
              <w:pStyle w:val="tableclose"/>
              <w:spacing w:line="276" w:lineRule="auto"/>
              <w:rPr>
                <w:rFonts w:ascii="Tahoma" w:hAnsi="Tahoma" w:cs="Tahoma"/>
                <w:b/>
                <w:color w:val="000000"/>
              </w:rPr>
            </w:pPr>
            <w:r w:rsidRPr="00653421">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53421" w:rsidRDefault="00DB2D1E" w:rsidP="00A0149A">
            <w:pPr>
              <w:pStyle w:val="tableclose"/>
              <w:spacing w:line="276" w:lineRule="auto"/>
              <w:rPr>
                <w:rFonts w:ascii="Tahoma" w:hAnsi="Tahoma" w:cs="Tahoma"/>
                <w:b/>
                <w:color w:val="000000"/>
              </w:rPr>
            </w:pPr>
            <w:r w:rsidRPr="00653421">
              <w:rPr>
                <w:rFonts w:ascii="Tahoma" w:hAnsi="Tahoma" w:cs="Tahoma"/>
                <w:b/>
                <w:color w:val="000000"/>
              </w:rPr>
              <w:t>Resposta Esperada do</w:t>
            </w:r>
            <w:r w:rsidR="00A0149A" w:rsidRPr="00653421">
              <w:rPr>
                <w:rFonts w:ascii="Tahoma" w:hAnsi="Tahoma" w:cs="Tahoma"/>
                <w:b/>
                <w:color w:val="000000"/>
              </w:rPr>
              <w:t> </w:t>
            </w:r>
            <w:r w:rsidRPr="00653421">
              <w:rPr>
                <w:rFonts w:ascii="Tahoma" w:hAnsi="Tahoma" w:cs="Tahoma"/>
                <w:b/>
                <w:color w:val="000000"/>
              </w:rPr>
              <w:t>Cliente</w:t>
            </w:r>
          </w:p>
        </w:tc>
      </w:tr>
      <w:tr w:rsidR="00DB2D1E" w:rsidRPr="00C50FD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53421" w:rsidRDefault="00DB2D1E" w:rsidP="00DE73D4">
            <w:pPr>
              <w:pStyle w:val="tableclose"/>
              <w:spacing w:line="276" w:lineRule="auto"/>
              <w:rPr>
                <w:rFonts w:ascii="Tahoma" w:hAnsi="Tahoma" w:cs="Tahoma"/>
                <w:color w:val="000000"/>
                <w:sz w:val="18"/>
                <w:szCs w:val="18"/>
              </w:rPr>
            </w:pPr>
            <w:r w:rsidRPr="00653421">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53421" w:rsidRDefault="00DB2D1E" w:rsidP="002C1048">
            <w:pPr>
              <w:pStyle w:val="ListBullet3"/>
              <w:numPr>
                <w:ilvl w:val="0"/>
                <w:numId w:val="78"/>
              </w:numPr>
              <w:spacing w:line="276" w:lineRule="auto"/>
            </w:pPr>
            <w:r w:rsidRPr="00653421">
              <w:rPr>
                <w:rFonts w:ascii="Tahoma" w:hAnsi="Tahoma" w:cs="Tahoma"/>
                <w:color w:val="000000"/>
                <w:sz w:val="18"/>
                <w:szCs w:val="18"/>
              </w:rPr>
              <w:t xml:space="preserve">Impacto catastrófico nos negócios: </w:t>
            </w:r>
          </w:p>
          <w:p w:rsidR="00DB2D1E" w:rsidRPr="00C50FD1" w:rsidRDefault="00DB2D1E" w:rsidP="002C1048">
            <w:pPr>
              <w:pStyle w:val="ListBullet3"/>
              <w:numPr>
                <w:ilvl w:val="0"/>
                <w:numId w:val="78"/>
              </w:numPr>
              <w:spacing w:line="276" w:lineRule="auto"/>
              <w:rPr>
                <w:lang w:val="pt-BR"/>
              </w:rPr>
            </w:pPr>
            <w:r w:rsidRPr="00C50FD1">
              <w:rPr>
                <w:rFonts w:ascii="Tahoma" w:hAnsi="Tahoma" w:cs="Tahoma"/>
                <w:color w:val="000000"/>
                <w:sz w:val="18"/>
                <w:szCs w:val="18"/>
                <w:lang w:val="pt-BR"/>
              </w:rPr>
              <w:t>Perda total de um processo comercial essencial (crítico) e</w:t>
            </w:r>
            <w:r w:rsidR="00A0149A" w:rsidRPr="00C50FD1">
              <w:rPr>
                <w:rFonts w:ascii="Tahoma" w:hAnsi="Tahoma" w:cs="Tahoma"/>
                <w:color w:val="000000"/>
                <w:sz w:val="18"/>
                <w:szCs w:val="18"/>
                <w:lang w:val="pt-BR"/>
              </w:rPr>
              <w:t> </w:t>
            </w:r>
            <w:r w:rsidRPr="00C50FD1">
              <w:rPr>
                <w:rFonts w:ascii="Tahoma" w:hAnsi="Tahoma" w:cs="Tahoma"/>
                <w:color w:val="000000"/>
                <w:sz w:val="18"/>
                <w:szCs w:val="18"/>
                <w:lang w:val="pt-BR"/>
              </w:rPr>
              <w:t>não</w:t>
            </w:r>
            <w:r w:rsidR="00A0149A" w:rsidRPr="00C50FD1">
              <w:rPr>
                <w:rFonts w:ascii="Tahoma" w:hAnsi="Tahoma" w:cs="Tahoma"/>
                <w:color w:val="000000"/>
                <w:sz w:val="18"/>
                <w:szCs w:val="18"/>
                <w:lang w:val="pt-BR"/>
              </w:rPr>
              <w:t> </w:t>
            </w:r>
            <w:r w:rsidRPr="00C50FD1">
              <w:rPr>
                <w:rFonts w:ascii="Tahoma" w:hAnsi="Tahoma" w:cs="Tahoma"/>
                <w:color w:val="000000"/>
                <w:sz w:val="18"/>
                <w:szCs w:val="18"/>
                <w:lang w:val="pt-BR"/>
              </w:rPr>
              <w:t>é possível dar continuidade ao trabalho de maneira razoável</w:t>
            </w:r>
          </w:p>
          <w:p w:rsidR="00DB2D1E" w:rsidRPr="00653421" w:rsidRDefault="00DB2D1E" w:rsidP="002C1048">
            <w:pPr>
              <w:pStyle w:val="ListBullet3"/>
              <w:numPr>
                <w:ilvl w:val="0"/>
                <w:numId w:val="78"/>
              </w:numPr>
              <w:spacing w:line="276" w:lineRule="auto"/>
              <w:rPr>
                <w:rFonts w:ascii="Tahoma" w:hAnsi="Tahoma" w:cs="Tahoma"/>
                <w:color w:val="000000"/>
                <w:sz w:val="18"/>
                <w:szCs w:val="18"/>
              </w:rPr>
            </w:pPr>
            <w:r w:rsidRPr="00653421">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C50FD1" w:rsidRDefault="00DB2D1E" w:rsidP="002C1048">
            <w:pPr>
              <w:pStyle w:val="ListBullet3"/>
              <w:numPr>
                <w:ilvl w:val="0"/>
                <w:numId w:val="79"/>
              </w:numPr>
              <w:spacing w:line="276" w:lineRule="auto"/>
              <w:rPr>
                <w:lang w:val="pt-BR"/>
              </w:rPr>
            </w:pPr>
            <w:r w:rsidRPr="00C50FD1">
              <w:rPr>
                <w:rFonts w:ascii="Tahoma" w:hAnsi="Tahoma" w:cs="Tahoma"/>
                <w:color w:val="000000"/>
                <w:sz w:val="18"/>
                <w:szCs w:val="18"/>
                <w:lang w:val="pt-BR"/>
              </w:rPr>
              <w:t>Resposta à 1</w:t>
            </w:r>
            <w:r w:rsidRPr="00C50FD1">
              <w:rPr>
                <w:rFonts w:ascii="Tahoma" w:hAnsi="Tahoma" w:cs="Tahoma"/>
                <w:color w:val="000000"/>
                <w:sz w:val="18"/>
                <w:szCs w:val="18"/>
                <w:vertAlign w:val="superscript"/>
                <w:lang w:val="pt-BR"/>
              </w:rPr>
              <w:t>ª</w:t>
            </w:r>
            <w:r w:rsidRPr="00C50FD1">
              <w:rPr>
                <w:rFonts w:ascii="Tahoma" w:hAnsi="Tahoma" w:cs="Tahoma"/>
                <w:color w:val="000000"/>
                <w:sz w:val="18"/>
                <w:szCs w:val="18"/>
                <w:lang w:val="pt-BR"/>
              </w:rPr>
              <w:t xml:space="preserve"> chamada em 1 hora ou menos</w:t>
            </w:r>
          </w:p>
          <w:p w:rsidR="00DB2D1E" w:rsidRPr="00C50FD1" w:rsidRDefault="00DB2D1E" w:rsidP="002C1048">
            <w:pPr>
              <w:pStyle w:val="ListBullet3"/>
              <w:numPr>
                <w:ilvl w:val="0"/>
                <w:numId w:val="79"/>
              </w:numPr>
              <w:spacing w:line="276" w:lineRule="auto"/>
              <w:rPr>
                <w:lang w:val="pt-BR"/>
              </w:rPr>
            </w:pPr>
            <w:r w:rsidRPr="00C50FD1">
              <w:rPr>
                <w:rFonts w:ascii="Tahoma" w:hAnsi="Tahoma" w:cs="Tahoma"/>
                <w:color w:val="000000"/>
                <w:sz w:val="18"/>
                <w:szCs w:val="18"/>
                <w:lang w:val="pt-BR"/>
              </w:rPr>
              <w:t>Nossos Recursos serão encaminhados para o local do cliente o mais rápido possível</w:t>
            </w:r>
          </w:p>
          <w:p w:rsidR="00DB2D1E" w:rsidRPr="00653421" w:rsidRDefault="00DB2D1E" w:rsidP="002C1048">
            <w:pPr>
              <w:pStyle w:val="ListBullet3"/>
              <w:numPr>
                <w:ilvl w:val="0"/>
                <w:numId w:val="79"/>
              </w:numPr>
              <w:spacing w:line="276" w:lineRule="auto"/>
            </w:pPr>
            <w:r w:rsidRPr="00653421">
              <w:rPr>
                <w:rFonts w:ascii="Tahoma" w:hAnsi="Tahoma" w:cs="Tahoma"/>
                <w:color w:val="000000"/>
                <w:sz w:val="18"/>
                <w:szCs w:val="18"/>
              </w:rPr>
              <w:t>Esforço contínuo 24x7</w:t>
            </w:r>
          </w:p>
          <w:p w:rsidR="00DB2D1E" w:rsidRPr="00C50FD1" w:rsidRDefault="00DB2D1E" w:rsidP="002C1048">
            <w:pPr>
              <w:pStyle w:val="ListBullet3"/>
              <w:numPr>
                <w:ilvl w:val="0"/>
                <w:numId w:val="79"/>
              </w:numPr>
              <w:spacing w:line="276" w:lineRule="auto"/>
              <w:rPr>
                <w:lang w:val="pt-BR"/>
              </w:rPr>
            </w:pPr>
            <w:r w:rsidRPr="00C50FD1">
              <w:rPr>
                <w:rFonts w:ascii="Tahoma" w:hAnsi="Tahoma" w:cs="Tahoma"/>
                <w:color w:val="000000"/>
                <w:sz w:val="18"/>
                <w:szCs w:val="18"/>
                <w:lang w:val="pt-BR"/>
              </w:rPr>
              <w:t>Escalonamento rápido na Microsoft para equipes do Produto</w:t>
            </w:r>
          </w:p>
          <w:p w:rsidR="00DB2D1E" w:rsidRPr="00C50FD1" w:rsidRDefault="00DB2D1E" w:rsidP="002C1048">
            <w:pPr>
              <w:pStyle w:val="ListBullet3"/>
              <w:numPr>
                <w:ilvl w:val="0"/>
                <w:numId w:val="79"/>
              </w:numPr>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50FD1" w:rsidRDefault="00DB2D1E" w:rsidP="002C1048">
            <w:pPr>
              <w:pStyle w:val="ListBullet3"/>
              <w:numPr>
                <w:ilvl w:val="0"/>
                <w:numId w:val="80"/>
              </w:numPr>
              <w:spacing w:line="276" w:lineRule="auto"/>
              <w:rPr>
                <w:lang w:val="pt-BR"/>
              </w:rPr>
            </w:pPr>
            <w:r w:rsidRPr="00C50FD1">
              <w:rPr>
                <w:rFonts w:ascii="Tahoma" w:hAnsi="Tahoma" w:cs="Tahoma"/>
                <w:color w:val="000000"/>
                <w:sz w:val="18"/>
                <w:szCs w:val="18"/>
                <w:lang w:val="pt-BR"/>
              </w:rPr>
              <w:t>Notificação aos Executivos Sêniores do</w:t>
            </w:r>
            <w:r w:rsidR="00A0149A" w:rsidRPr="00C50FD1">
              <w:rPr>
                <w:rFonts w:ascii="Tahoma" w:hAnsi="Tahoma" w:cs="Tahoma"/>
                <w:color w:val="000000"/>
                <w:sz w:val="18"/>
                <w:szCs w:val="18"/>
                <w:lang w:val="pt-BR"/>
              </w:rPr>
              <w:t> </w:t>
            </w:r>
            <w:r w:rsidRPr="00C50FD1">
              <w:rPr>
                <w:rFonts w:ascii="Tahoma" w:hAnsi="Tahoma" w:cs="Tahoma"/>
                <w:color w:val="000000"/>
                <w:sz w:val="18"/>
                <w:szCs w:val="18"/>
                <w:lang w:val="pt-BR"/>
              </w:rPr>
              <w:t xml:space="preserve">cliente </w:t>
            </w:r>
          </w:p>
          <w:p w:rsidR="00DB2D1E" w:rsidRPr="00C50FD1" w:rsidRDefault="00DB2D1E" w:rsidP="002C1048">
            <w:pPr>
              <w:pStyle w:val="ListBullet3"/>
              <w:numPr>
                <w:ilvl w:val="0"/>
                <w:numId w:val="80"/>
              </w:numPr>
              <w:spacing w:line="276" w:lineRule="auto"/>
              <w:rPr>
                <w:lang w:val="pt-BR"/>
              </w:rPr>
            </w:pPr>
            <w:r w:rsidRPr="00C50FD1">
              <w:rPr>
                <w:rFonts w:ascii="Tahoma" w:hAnsi="Tahoma" w:cs="Tahoma"/>
                <w:color w:val="000000"/>
                <w:sz w:val="18"/>
                <w:szCs w:val="18"/>
                <w:lang w:val="pt-BR"/>
              </w:rPr>
              <w:t>Alocação de recursos adequados para manter os esforços contínuos em uma base 24x7</w:t>
            </w:r>
            <w:r w:rsidRPr="00C50FD1">
              <w:rPr>
                <w:rFonts w:ascii="Tahoma" w:hAnsi="Tahoma" w:cs="Tahoma"/>
                <w:color w:val="000000"/>
                <w:sz w:val="18"/>
                <w:szCs w:val="18"/>
                <w:vertAlign w:val="superscript"/>
                <w:lang w:val="pt-BR"/>
              </w:rPr>
              <w:t>2</w:t>
            </w:r>
          </w:p>
          <w:p w:rsidR="00DB2D1E" w:rsidRPr="00C50FD1" w:rsidRDefault="00DB2D1E" w:rsidP="002C1048">
            <w:pPr>
              <w:pStyle w:val="ListBullet3"/>
              <w:numPr>
                <w:ilvl w:val="0"/>
                <w:numId w:val="80"/>
              </w:numPr>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Acesso e resposta rápidos da autoridade de controle de alterações</w:t>
            </w:r>
          </w:p>
        </w:tc>
      </w:tr>
      <w:tr w:rsidR="00DB2D1E" w:rsidRPr="0065342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50FD1" w:rsidRDefault="00DB2D1E" w:rsidP="00DE73D4">
            <w:pPr>
              <w:pStyle w:val="tableclose"/>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53421" w:rsidRDefault="00DB2D1E" w:rsidP="002C1048">
            <w:pPr>
              <w:pStyle w:val="ListBullet3"/>
              <w:numPr>
                <w:ilvl w:val="0"/>
                <w:numId w:val="78"/>
              </w:numPr>
              <w:spacing w:line="276" w:lineRule="auto"/>
            </w:pPr>
            <w:r w:rsidRPr="00653421">
              <w:rPr>
                <w:rFonts w:ascii="Tahoma" w:hAnsi="Tahoma" w:cs="Tahoma"/>
                <w:color w:val="000000"/>
                <w:sz w:val="18"/>
                <w:szCs w:val="18"/>
              </w:rPr>
              <w:t xml:space="preserve">Impacto crítico nos negócios: </w:t>
            </w:r>
          </w:p>
          <w:p w:rsidR="00DB2D1E" w:rsidRPr="00C50FD1" w:rsidRDefault="00DB2D1E" w:rsidP="002C1048">
            <w:pPr>
              <w:pStyle w:val="ListBullet3"/>
              <w:numPr>
                <w:ilvl w:val="0"/>
                <w:numId w:val="78"/>
              </w:numPr>
              <w:spacing w:line="276" w:lineRule="auto"/>
              <w:rPr>
                <w:lang w:val="pt-BR"/>
              </w:rPr>
            </w:pPr>
            <w:r w:rsidRPr="00C50FD1">
              <w:rPr>
                <w:rFonts w:ascii="Tahoma" w:hAnsi="Tahoma" w:cs="Tahoma"/>
                <w:color w:val="000000"/>
                <w:sz w:val="18"/>
                <w:szCs w:val="18"/>
                <w:lang w:val="pt-BR"/>
              </w:rPr>
              <w:t>Perda ou degradação significativa dos serviços</w:t>
            </w:r>
          </w:p>
          <w:p w:rsidR="00DB2D1E" w:rsidRPr="00C50FD1" w:rsidRDefault="00DB2D1E" w:rsidP="002C1048">
            <w:pPr>
              <w:pStyle w:val="ListBullet3"/>
              <w:numPr>
                <w:ilvl w:val="0"/>
                <w:numId w:val="78"/>
              </w:numPr>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C50FD1" w:rsidRDefault="00DB2D1E" w:rsidP="002C1048">
            <w:pPr>
              <w:pStyle w:val="ListBullet3"/>
              <w:numPr>
                <w:ilvl w:val="0"/>
                <w:numId w:val="79"/>
              </w:numPr>
              <w:spacing w:line="276" w:lineRule="auto"/>
              <w:rPr>
                <w:lang w:val="pt-BR"/>
              </w:rPr>
            </w:pPr>
            <w:r w:rsidRPr="00C50FD1">
              <w:rPr>
                <w:rFonts w:ascii="Tahoma" w:hAnsi="Tahoma" w:cs="Tahoma"/>
                <w:color w:val="000000"/>
                <w:sz w:val="18"/>
                <w:szCs w:val="18"/>
                <w:lang w:val="pt-BR"/>
              </w:rPr>
              <w:t>Resposta à 1</w:t>
            </w:r>
            <w:r w:rsidRPr="00C50FD1">
              <w:rPr>
                <w:rFonts w:ascii="Tahoma" w:hAnsi="Tahoma" w:cs="Tahoma"/>
                <w:color w:val="000000"/>
                <w:sz w:val="18"/>
                <w:szCs w:val="18"/>
                <w:vertAlign w:val="superscript"/>
                <w:lang w:val="pt-BR"/>
              </w:rPr>
              <w:t>ª</w:t>
            </w:r>
            <w:r w:rsidRPr="00C50FD1">
              <w:rPr>
                <w:rFonts w:ascii="Tahoma" w:hAnsi="Tahoma" w:cs="Tahoma"/>
                <w:color w:val="000000"/>
                <w:sz w:val="18"/>
                <w:szCs w:val="18"/>
                <w:lang w:val="pt-BR"/>
              </w:rPr>
              <w:t xml:space="preserve"> chamada em 1 hora ou menos</w:t>
            </w:r>
          </w:p>
          <w:p w:rsidR="00DB2D1E" w:rsidRPr="00C50FD1" w:rsidRDefault="00DB2D1E" w:rsidP="002C1048">
            <w:pPr>
              <w:pStyle w:val="ListBullet3"/>
              <w:numPr>
                <w:ilvl w:val="0"/>
                <w:numId w:val="79"/>
              </w:numPr>
              <w:spacing w:line="276" w:lineRule="auto"/>
              <w:rPr>
                <w:lang w:val="pt-BR"/>
              </w:rPr>
            </w:pPr>
            <w:r w:rsidRPr="00C50FD1">
              <w:rPr>
                <w:rFonts w:ascii="Tahoma" w:hAnsi="Tahoma" w:cs="Tahoma"/>
                <w:color w:val="000000"/>
                <w:sz w:val="18"/>
                <w:szCs w:val="18"/>
                <w:lang w:val="pt-BR"/>
              </w:rPr>
              <w:t>Nossos Recursos serão encaminhados ao local do</w:t>
            </w:r>
            <w:r w:rsidR="00A0149A" w:rsidRPr="00C50FD1">
              <w:rPr>
                <w:rFonts w:ascii="Tahoma" w:hAnsi="Tahoma" w:cs="Tahoma"/>
                <w:color w:val="000000"/>
                <w:sz w:val="18"/>
                <w:szCs w:val="18"/>
                <w:lang w:val="pt-BR"/>
              </w:rPr>
              <w:t> </w:t>
            </w:r>
            <w:r w:rsidRPr="00C50FD1">
              <w:rPr>
                <w:rFonts w:ascii="Tahoma" w:hAnsi="Tahoma" w:cs="Tahoma"/>
                <w:color w:val="000000"/>
                <w:sz w:val="18"/>
                <w:szCs w:val="18"/>
                <w:lang w:val="pt-BR"/>
              </w:rPr>
              <w:t>cliente conforme a</w:t>
            </w:r>
            <w:r w:rsidR="00A0149A" w:rsidRPr="00C50FD1">
              <w:rPr>
                <w:rFonts w:ascii="Tahoma" w:hAnsi="Tahoma" w:cs="Tahoma"/>
                <w:color w:val="000000"/>
                <w:sz w:val="18"/>
                <w:szCs w:val="18"/>
                <w:lang w:val="pt-BR"/>
              </w:rPr>
              <w:t> </w:t>
            </w:r>
            <w:r w:rsidRPr="00C50FD1">
              <w:rPr>
                <w:rFonts w:ascii="Tahoma" w:hAnsi="Tahoma" w:cs="Tahoma"/>
                <w:color w:val="000000"/>
                <w:sz w:val="18"/>
                <w:szCs w:val="18"/>
                <w:lang w:val="pt-BR"/>
              </w:rPr>
              <w:t>necessidade</w:t>
            </w:r>
          </w:p>
          <w:p w:rsidR="00DB2D1E" w:rsidRPr="00653421" w:rsidRDefault="00DB2D1E" w:rsidP="002C1048">
            <w:pPr>
              <w:pStyle w:val="ListBullet3"/>
              <w:numPr>
                <w:ilvl w:val="0"/>
                <w:numId w:val="79"/>
              </w:numPr>
              <w:spacing w:line="276" w:lineRule="auto"/>
            </w:pPr>
            <w:r w:rsidRPr="00653421">
              <w:rPr>
                <w:rFonts w:ascii="Tahoma" w:hAnsi="Tahoma" w:cs="Tahoma"/>
                <w:color w:val="000000"/>
                <w:sz w:val="18"/>
                <w:szCs w:val="18"/>
              </w:rPr>
              <w:t>Esforço contínuo 24x7</w:t>
            </w:r>
          </w:p>
          <w:p w:rsidR="00DB2D1E" w:rsidRPr="00C50FD1" w:rsidRDefault="00DB2D1E" w:rsidP="002C1048">
            <w:pPr>
              <w:pStyle w:val="ListBullet3"/>
              <w:numPr>
                <w:ilvl w:val="0"/>
                <w:numId w:val="79"/>
              </w:numPr>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50FD1" w:rsidRDefault="00DB2D1E" w:rsidP="002C1048">
            <w:pPr>
              <w:pStyle w:val="ListBullet3"/>
              <w:numPr>
                <w:ilvl w:val="0"/>
                <w:numId w:val="80"/>
              </w:numPr>
              <w:spacing w:line="276" w:lineRule="auto"/>
              <w:rPr>
                <w:lang w:val="pt-BR"/>
              </w:rPr>
            </w:pPr>
            <w:r w:rsidRPr="00C50FD1">
              <w:rPr>
                <w:rFonts w:ascii="Tahoma" w:hAnsi="Tahoma" w:cs="Tahoma"/>
                <w:color w:val="000000"/>
                <w:sz w:val="18"/>
                <w:szCs w:val="18"/>
                <w:lang w:val="pt-BR"/>
              </w:rPr>
              <w:t>Alocação de recursos adequados para manter os esforços contínuos em uma base 24x7</w:t>
            </w:r>
            <w:r w:rsidRPr="00C50FD1">
              <w:rPr>
                <w:rFonts w:ascii="Tahoma" w:hAnsi="Tahoma" w:cs="Tahoma"/>
                <w:color w:val="000000"/>
                <w:sz w:val="18"/>
                <w:szCs w:val="18"/>
                <w:vertAlign w:val="superscript"/>
                <w:lang w:val="pt-BR"/>
              </w:rPr>
              <w:t>2</w:t>
            </w:r>
          </w:p>
          <w:p w:rsidR="00DB2D1E" w:rsidRPr="00C50FD1" w:rsidRDefault="00DB2D1E" w:rsidP="002C1048">
            <w:pPr>
              <w:pStyle w:val="ListBullet3"/>
              <w:numPr>
                <w:ilvl w:val="0"/>
                <w:numId w:val="80"/>
              </w:numPr>
              <w:spacing w:line="276" w:lineRule="auto"/>
              <w:rPr>
                <w:lang w:val="pt-BR"/>
              </w:rPr>
            </w:pPr>
            <w:r w:rsidRPr="00C50FD1">
              <w:rPr>
                <w:rFonts w:ascii="Tahoma" w:hAnsi="Tahoma" w:cs="Tahoma"/>
                <w:color w:val="000000"/>
                <w:sz w:val="18"/>
                <w:szCs w:val="18"/>
                <w:lang w:val="pt-BR"/>
              </w:rPr>
              <w:t>Acesso e resposta rápidos da autoridade de controle de alterações</w:t>
            </w:r>
          </w:p>
          <w:p w:rsidR="00DB2D1E" w:rsidRPr="00653421" w:rsidRDefault="00DB2D1E" w:rsidP="002C1048">
            <w:pPr>
              <w:pStyle w:val="ListBullet3"/>
              <w:numPr>
                <w:ilvl w:val="0"/>
                <w:numId w:val="80"/>
              </w:numPr>
              <w:spacing w:line="276" w:lineRule="auto"/>
              <w:rPr>
                <w:rFonts w:ascii="Tahoma" w:hAnsi="Tahoma" w:cs="Tahoma"/>
                <w:color w:val="000000"/>
                <w:sz w:val="18"/>
                <w:szCs w:val="18"/>
              </w:rPr>
            </w:pPr>
            <w:r w:rsidRPr="00653421">
              <w:rPr>
                <w:rFonts w:ascii="Tahoma" w:hAnsi="Tahoma" w:cs="Tahoma"/>
                <w:color w:val="000000"/>
                <w:sz w:val="18"/>
                <w:szCs w:val="18"/>
              </w:rPr>
              <w:t>Notificação à gerência</w:t>
            </w:r>
          </w:p>
        </w:tc>
      </w:tr>
      <w:tr w:rsidR="00DB2D1E" w:rsidRPr="00C50FD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50FD1" w:rsidRDefault="00DB2D1E" w:rsidP="00DE73D4">
            <w:pPr>
              <w:pStyle w:val="tableclose"/>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B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53421" w:rsidRDefault="00DB2D1E" w:rsidP="002C1048">
            <w:pPr>
              <w:pStyle w:val="ListBullet3"/>
              <w:numPr>
                <w:ilvl w:val="0"/>
                <w:numId w:val="78"/>
              </w:numPr>
              <w:spacing w:line="276" w:lineRule="auto"/>
            </w:pPr>
            <w:r w:rsidRPr="00653421">
              <w:rPr>
                <w:rFonts w:ascii="Tahoma" w:hAnsi="Tahoma" w:cs="Tahoma"/>
                <w:color w:val="000000"/>
                <w:sz w:val="18"/>
                <w:szCs w:val="18"/>
              </w:rPr>
              <w:t xml:space="preserve">Impacto moderado nos negócios: </w:t>
            </w:r>
          </w:p>
          <w:p w:rsidR="00DB2D1E" w:rsidRPr="00C50FD1" w:rsidRDefault="00DB2D1E" w:rsidP="002C1048">
            <w:pPr>
              <w:pStyle w:val="ListBullet3"/>
              <w:numPr>
                <w:ilvl w:val="0"/>
                <w:numId w:val="78"/>
              </w:numPr>
              <w:spacing w:line="276" w:lineRule="auto"/>
              <w:rPr>
                <w:lang w:val="pt-BR"/>
              </w:rPr>
            </w:pPr>
            <w:r w:rsidRPr="00C50FD1">
              <w:rPr>
                <w:rFonts w:ascii="Tahoma" w:hAnsi="Tahoma" w:cs="Tahoma"/>
                <w:color w:val="000000"/>
                <w:sz w:val="18"/>
                <w:szCs w:val="18"/>
                <w:lang w:val="pt-BR"/>
              </w:rPr>
              <w:t>Perda ou degradação moderada dos serviços, mas o trabalho pode razoavelmente continuar de maneira prejudicada</w:t>
            </w:r>
          </w:p>
          <w:p w:rsidR="00DB2D1E" w:rsidRPr="00C50FD1" w:rsidRDefault="00DB2D1E" w:rsidP="002C1048">
            <w:pPr>
              <w:pStyle w:val="ListBullet3"/>
              <w:numPr>
                <w:ilvl w:val="0"/>
                <w:numId w:val="78"/>
              </w:numPr>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Necessita de atenção dentro de 2 Horas Comerciais</w:t>
            </w:r>
            <w:r w:rsidRPr="00C50FD1">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C50FD1" w:rsidRDefault="00DB2D1E" w:rsidP="002C1048">
            <w:pPr>
              <w:pStyle w:val="ListBullet3"/>
              <w:numPr>
                <w:ilvl w:val="0"/>
                <w:numId w:val="79"/>
              </w:numPr>
              <w:spacing w:line="276" w:lineRule="auto"/>
              <w:rPr>
                <w:lang w:val="pt-BR"/>
              </w:rPr>
            </w:pPr>
            <w:r w:rsidRPr="00C50FD1">
              <w:rPr>
                <w:rFonts w:ascii="Tahoma" w:hAnsi="Tahoma" w:cs="Tahoma"/>
                <w:color w:val="000000"/>
                <w:sz w:val="18"/>
                <w:szCs w:val="18"/>
                <w:lang w:val="pt-BR"/>
              </w:rPr>
              <w:t>Resposta à 1</w:t>
            </w:r>
            <w:r w:rsidRPr="00C50FD1">
              <w:rPr>
                <w:rFonts w:ascii="Tahoma" w:hAnsi="Tahoma" w:cs="Tahoma"/>
                <w:color w:val="000000"/>
                <w:sz w:val="18"/>
                <w:szCs w:val="18"/>
                <w:vertAlign w:val="superscript"/>
                <w:lang w:val="pt-BR"/>
              </w:rPr>
              <w:t>ª</w:t>
            </w:r>
            <w:r w:rsidRPr="00C50FD1">
              <w:rPr>
                <w:rFonts w:ascii="Tahoma" w:hAnsi="Tahoma" w:cs="Tahoma"/>
                <w:color w:val="000000"/>
                <w:sz w:val="18"/>
                <w:szCs w:val="18"/>
                <w:lang w:val="pt-BR"/>
              </w:rPr>
              <w:t xml:space="preserve"> chamada em</w:t>
            </w:r>
            <w:r w:rsidR="00A0149A" w:rsidRPr="00C50FD1">
              <w:rPr>
                <w:rFonts w:ascii="Tahoma" w:hAnsi="Tahoma" w:cs="Tahoma"/>
                <w:color w:val="000000"/>
                <w:sz w:val="18"/>
                <w:szCs w:val="18"/>
                <w:lang w:val="pt-BR"/>
              </w:rPr>
              <w:t> </w:t>
            </w:r>
            <w:r w:rsidRPr="00C50FD1">
              <w:rPr>
                <w:rFonts w:ascii="Tahoma" w:hAnsi="Tahoma" w:cs="Tahoma"/>
                <w:color w:val="000000"/>
                <w:sz w:val="18"/>
                <w:szCs w:val="18"/>
                <w:lang w:val="pt-BR"/>
              </w:rPr>
              <w:t>2 horas ou menos</w:t>
            </w:r>
          </w:p>
          <w:p w:rsidR="00DB2D1E" w:rsidRPr="00C50FD1" w:rsidRDefault="00DB2D1E" w:rsidP="002C1048">
            <w:pPr>
              <w:pStyle w:val="ListBullet3"/>
              <w:numPr>
                <w:ilvl w:val="0"/>
                <w:numId w:val="79"/>
              </w:numPr>
              <w:spacing w:line="276" w:lineRule="auto"/>
              <w:rPr>
                <w:lang w:val="pt-BR"/>
              </w:rPr>
            </w:pPr>
            <w:r w:rsidRPr="00C50FD1">
              <w:rPr>
                <w:rFonts w:ascii="Tahoma" w:hAnsi="Tahoma" w:cs="Tahoma"/>
                <w:color w:val="000000"/>
                <w:sz w:val="18"/>
                <w:szCs w:val="18"/>
                <w:lang w:val="pt-BR"/>
              </w:rPr>
              <w:t>Esforço apenas durante o</w:t>
            </w:r>
            <w:r w:rsidR="00A0149A" w:rsidRPr="00C50FD1">
              <w:rPr>
                <w:rFonts w:ascii="Tahoma" w:hAnsi="Tahoma" w:cs="Tahoma"/>
                <w:color w:val="000000"/>
                <w:sz w:val="18"/>
                <w:szCs w:val="18"/>
                <w:lang w:val="pt-BR"/>
              </w:rPr>
              <w:t> </w:t>
            </w:r>
            <w:r w:rsidRPr="00C50FD1">
              <w:rPr>
                <w:rFonts w:ascii="Tahoma" w:hAnsi="Tahoma" w:cs="Tahoma"/>
                <w:color w:val="000000"/>
                <w:sz w:val="18"/>
                <w:szCs w:val="18"/>
                <w:lang w:val="pt-BR"/>
              </w:rPr>
              <w:t>Horário Comercial</w:t>
            </w:r>
            <w:r w:rsidRPr="00C50FD1">
              <w:rPr>
                <w:rFonts w:ascii="Tahoma" w:hAnsi="Tahoma" w:cs="Tahoma"/>
                <w:color w:val="000000"/>
                <w:sz w:val="18"/>
                <w:szCs w:val="18"/>
                <w:vertAlign w:val="superscript"/>
                <w:lang w:val="pt-BR"/>
              </w:rPr>
              <w:t>1</w:t>
            </w:r>
            <w:r w:rsidRPr="00C50FD1">
              <w:rPr>
                <w:rFonts w:ascii="Tahoma" w:hAnsi="Tahoma" w:cs="Tahoma"/>
                <w:color w:val="000000"/>
                <w:sz w:val="18"/>
                <w:szCs w:val="18"/>
                <w:lang w:val="pt-BR"/>
              </w:rPr>
              <w:t xml:space="preserve"> </w:t>
            </w:r>
          </w:p>
          <w:p w:rsidR="00DB2D1E" w:rsidRPr="00C50FD1"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50FD1" w:rsidRDefault="00DB2D1E" w:rsidP="002C1048">
            <w:pPr>
              <w:pStyle w:val="ListBullet3"/>
              <w:numPr>
                <w:ilvl w:val="0"/>
                <w:numId w:val="80"/>
              </w:numPr>
              <w:spacing w:line="276" w:lineRule="auto"/>
              <w:rPr>
                <w:lang w:val="pt-BR"/>
              </w:rPr>
            </w:pPr>
            <w:r w:rsidRPr="00C50FD1">
              <w:rPr>
                <w:rFonts w:ascii="Tahoma" w:hAnsi="Tahoma" w:cs="Tahoma"/>
                <w:color w:val="000000"/>
                <w:sz w:val="18"/>
                <w:szCs w:val="18"/>
                <w:lang w:val="pt-BR"/>
              </w:rPr>
              <w:t>Alocação de recursos adequados para manter esforços contínuos no Horário Comercial</w:t>
            </w:r>
            <w:r w:rsidRPr="00C50FD1">
              <w:rPr>
                <w:rFonts w:ascii="Tahoma" w:hAnsi="Tahoma" w:cs="Tahoma"/>
                <w:color w:val="000000"/>
                <w:sz w:val="18"/>
                <w:szCs w:val="18"/>
                <w:vertAlign w:val="superscript"/>
                <w:lang w:val="pt-BR"/>
              </w:rPr>
              <w:t>1</w:t>
            </w:r>
            <w:r w:rsidRPr="00C50FD1">
              <w:rPr>
                <w:rFonts w:ascii="Tahoma" w:hAnsi="Tahoma" w:cs="Tahoma"/>
                <w:color w:val="000000"/>
                <w:sz w:val="18"/>
                <w:szCs w:val="18"/>
                <w:lang w:val="pt-BR"/>
              </w:rPr>
              <w:t xml:space="preserve"> </w:t>
            </w:r>
          </w:p>
          <w:p w:rsidR="00DB2D1E" w:rsidRPr="00C50FD1" w:rsidRDefault="00DB2D1E" w:rsidP="002C1048">
            <w:pPr>
              <w:pStyle w:val="ListBullet3"/>
              <w:numPr>
                <w:ilvl w:val="0"/>
                <w:numId w:val="80"/>
              </w:numPr>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Acesso e resposta da autoridade de controle de alterações dentro de 4 Horas Comerciais</w:t>
            </w:r>
            <w:r w:rsidRPr="00C50FD1">
              <w:rPr>
                <w:rFonts w:ascii="Tahoma" w:hAnsi="Tahoma" w:cs="Tahoma"/>
                <w:color w:val="000000"/>
                <w:sz w:val="18"/>
                <w:szCs w:val="18"/>
                <w:vertAlign w:val="superscript"/>
                <w:lang w:val="pt-BR"/>
              </w:rPr>
              <w:t>1</w:t>
            </w:r>
          </w:p>
        </w:tc>
      </w:tr>
      <w:tr w:rsidR="00DB2D1E" w:rsidRPr="0065342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50FD1" w:rsidRDefault="00DB2D1E" w:rsidP="00DE73D4">
            <w:pPr>
              <w:pStyle w:val="tableclose"/>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C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53421" w:rsidRDefault="00DB2D1E" w:rsidP="002C1048">
            <w:pPr>
              <w:pStyle w:val="ListBullet3"/>
              <w:numPr>
                <w:ilvl w:val="0"/>
                <w:numId w:val="78"/>
              </w:numPr>
              <w:spacing w:line="276" w:lineRule="auto"/>
            </w:pPr>
            <w:r w:rsidRPr="00653421">
              <w:rPr>
                <w:rFonts w:ascii="Tahoma" w:hAnsi="Tahoma" w:cs="Tahoma"/>
                <w:color w:val="000000"/>
                <w:sz w:val="18"/>
                <w:szCs w:val="18"/>
              </w:rPr>
              <w:t xml:space="preserve">Impacto mínimo nos negócios: </w:t>
            </w:r>
          </w:p>
          <w:p w:rsidR="00DB2D1E" w:rsidRPr="00C50FD1" w:rsidRDefault="00DB2D1E" w:rsidP="002C1048">
            <w:pPr>
              <w:pStyle w:val="ListBullet3"/>
              <w:numPr>
                <w:ilvl w:val="0"/>
                <w:numId w:val="78"/>
              </w:numPr>
              <w:spacing w:line="276" w:lineRule="auto"/>
              <w:rPr>
                <w:lang w:val="pt-BR"/>
              </w:rPr>
            </w:pPr>
            <w:r w:rsidRPr="00C50FD1">
              <w:rPr>
                <w:rFonts w:ascii="Tahoma" w:hAnsi="Tahoma" w:cs="Tahoma"/>
                <w:color w:val="000000"/>
                <w:sz w:val="18"/>
                <w:szCs w:val="18"/>
                <w:lang w:val="pt-BR"/>
              </w:rPr>
              <w:t>Funcionamento de forma substancial, com poucos ou nenhum impedimento dos serviços</w:t>
            </w:r>
          </w:p>
          <w:p w:rsidR="00DB2D1E" w:rsidRPr="00C50FD1" w:rsidRDefault="00DB2D1E" w:rsidP="002C1048">
            <w:pPr>
              <w:pStyle w:val="ListBullet3"/>
              <w:numPr>
                <w:ilvl w:val="0"/>
                <w:numId w:val="78"/>
              </w:numPr>
              <w:spacing w:line="276" w:lineRule="auto"/>
              <w:rPr>
                <w:rFonts w:ascii="Tahoma" w:hAnsi="Tahoma" w:cs="Tahoma"/>
                <w:color w:val="000000"/>
                <w:sz w:val="18"/>
                <w:szCs w:val="18"/>
                <w:lang w:val="pt-BR"/>
              </w:rPr>
            </w:pPr>
            <w:r w:rsidRPr="00C50FD1">
              <w:rPr>
                <w:rFonts w:ascii="Tahoma" w:hAnsi="Tahoma" w:cs="Tahoma"/>
                <w:color w:val="000000"/>
                <w:sz w:val="18"/>
                <w:szCs w:val="18"/>
                <w:lang w:val="pt-BR"/>
              </w:rPr>
              <w:t>Necessita de atenção dentro de 4 Horas Comerciais</w:t>
            </w:r>
            <w:r w:rsidRPr="00C50FD1">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C50FD1" w:rsidRDefault="00DB2D1E" w:rsidP="002C1048">
            <w:pPr>
              <w:pStyle w:val="ListBullet3"/>
              <w:numPr>
                <w:ilvl w:val="0"/>
                <w:numId w:val="79"/>
              </w:numPr>
              <w:spacing w:line="276" w:lineRule="auto"/>
              <w:rPr>
                <w:lang w:val="pt-BR"/>
              </w:rPr>
            </w:pPr>
            <w:r w:rsidRPr="00C50FD1">
              <w:rPr>
                <w:rFonts w:ascii="Tahoma" w:hAnsi="Tahoma" w:cs="Tahoma"/>
                <w:color w:val="000000"/>
                <w:sz w:val="18"/>
                <w:szCs w:val="18"/>
                <w:lang w:val="pt-BR"/>
              </w:rPr>
              <w:t>Resposta à 1</w:t>
            </w:r>
            <w:r w:rsidRPr="00C50FD1">
              <w:rPr>
                <w:rFonts w:ascii="Tahoma" w:hAnsi="Tahoma" w:cs="Tahoma"/>
                <w:color w:val="000000"/>
                <w:sz w:val="18"/>
                <w:szCs w:val="18"/>
                <w:vertAlign w:val="superscript"/>
                <w:lang w:val="pt-BR"/>
              </w:rPr>
              <w:t>ª</w:t>
            </w:r>
            <w:r w:rsidRPr="00C50FD1">
              <w:rPr>
                <w:rFonts w:ascii="Tahoma" w:hAnsi="Tahoma" w:cs="Tahoma"/>
                <w:color w:val="000000"/>
                <w:sz w:val="18"/>
                <w:szCs w:val="18"/>
                <w:lang w:val="pt-BR"/>
              </w:rPr>
              <w:t xml:space="preserve"> chamada em 4 horas ou menos</w:t>
            </w:r>
          </w:p>
          <w:p w:rsidR="00DB2D1E" w:rsidRPr="00C50FD1" w:rsidRDefault="00DB2D1E" w:rsidP="002C1048">
            <w:pPr>
              <w:pStyle w:val="ListBullet3"/>
              <w:numPr>
                <w:ilvl w:val="0"/>
                <w:numId w:val="79"/>
              </w:numPr>
              <w:spacing w:line="276" w:lineRule="auto"/>
              <w:rPr>
                <w:lang w:val="pt-BR"/>
              </w:rPr>
            </w:pPr>
            <w:r w:rsidRPr="00C50FD1">
              <w:rPr>
                <w:rFonts w:ascii="Tahoma" w:hAnsi="Tahoma" w:cs="Tahoma"/>
                <w:color w:val="000000"/>
                <w:sz w:val="18"/>
                <w:szCs w:val="18"/>
                <w:lang w:val="pt-BR"/>
              </w:rPr>
              <w:t>Esforço apenas durante o Horário Comercial</w:t>
            </w:r>
            <w:r w:rsidRPr="00C50FD1">
              <w:rPr>
                <w:rFonts w:ascii="Tahoma" w:hAnsi="Tahoma" w:cs="Tahoma"/>
                <w:color w:val="000000"/>
                <w:sz w:val="18"/>
                <w:szCs w:val="18"/>
                <w:vertAlign w:val="superscript"/>
                <w:lang w:val="pt-BR"/>
              </w:rPr>
              <w:t>1</w:t>
            </w:r>
            <w:r w:rsidRPr="00C50FD1">
              <w:rPr>
                <w:rFonts w:ascii="Tahoma" w:hAnsi="Tahoma" w:cs="Tahoma"/>
                <w:color w:val="000000"/>
                <w:sz w:val="18"/>
                <w:szCs w:val="18"/>
                <w:lang w:val="pt-BR"/>
              </w:rPr>
              <w:t xml:space="preserve"> </w:t>
            </w:r>
          </w:p>
          <w:p w:rsidR="00DB2D1E" w:rsidRPr="00C50FD1" w:rsidRDefault="00DB2D1E" w:rsidP="00DE73D4">
            <w:pPr>
              <w:pStyle w:val="tableclose"/>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50FD1" w:rsidRDefault="00DB2D1E" w:rsidP="002C1048">
            <w:pPr>
              <w:pStyle w:val="ListBullet3"/>
              <w:numPr>
                <w:ilvl w:val="0"/>
                <w:numId w:val="80"/>
              </w:numPr>
              <w:spacing w:line="276" w:lineRule="auto"/>
              <w:rPr>
                <w:lang w:val="pt-BR"/>
              </w:rPr>
            </w:pPr>
            <w:r w:rsidRPr="00C50FD1">
              <w:rPr>
                <w:rFonts w:ascii="Tahoma" w:hAnsi="Tahoma" w:cs="Tahoma"/>
                <w:color w:val="000000"/>
                <w:sz w:val="18"/>
                <w:szCs w:val="18"/>
                <w:lang w:val="pt-BR"/>
              </w:rPr>
              <w:t>Informações de contato precisas sobre o proprietário do caso</w:t>
            </w:r>
          </w:p>
          <w:p w:rsidR="00DB2D1E" w:rsidRPr="00653421" w:rsidRDefault="00DB2D1E" w:rsidP="00A0149A">
            <w:pPr>
              <w:pStyle w:val="ListBullet3"/>
              <w:numPr>
                <w:ilvl w:val="0"/>
                <w:numId w:val="80"/>
              </w:numPr>
              <w:spacing w:line="276" w:lineRule="auto"/>
              <w:rPr>
                <w:rFonts w:ascii="Tahoma" w:hAnsi="Tahoma" w:cs="Tahoma"/>
                <w:color w:val="000000"/>
                <w:sz w:val="18"/>
                <w:szCs w:val="18"/>
              </w:rPr>
            </w:pPr>
            <w:r w:rsidRPr="00653421">
              <w:rPr>
                <w:rFonts w:ascii="Tahoma" w:hAnsi="Tahoma" w:cs="Tahoma"/>
                <w:color w:val="000000"/>
                <w:sz w:val="18"/>
                <w:szCs w:val="18"/>
              </w:rPr>
              <w:t>Resposta dentro de 24</w:t>
            </w:r>
            <w:r w:rsidR="00A0149A" w:rsidRPr="00653421">
              <w:rPr>
                <w:rFonts w:ascii="Tahoma" w:hAnsi="Tahoma" w:cs="Tahoma"/>
                <w:color w:val="000000"/>
                <w:sz w:val="18"/>
                <w:szCs w:val="18"/>
              </w:rPr>
              <w:t> </w:t>
            </w:r>
            <w:r w:rsidRPr="00653421">
              <w:rPr>
                <w:rFonts w:ascii="Tahoma" w:hAnsi="Tahoma" w:cs="Tahoma"/>
                <w:color w:val="000000"/>
                <w:sz w:val="18"/>
                <w:szCs w:val="18"/>
              </w:rPr>
              <w:t>horas</w:t>
            </w:r>
          </w:p>
        </w:tc>
      </w:tr>
    </w:tbl>
    <w:p w:rsidR="00DB2D1E" w:rsidRPr="00C50FD1" w:rsidRDefault="00DB2D1E" w:rsidP="00DB2D1E">
      <w:pPr>
        <w:pStyle w:val="tableclose"/>
        <w:rPr>
          <w:lang w:val="pt-BR"/>
        </w:rPr>
      </w:pPr>
      <w:r w:rsidRPr="00C50FD1">
        <w:rPr>
          <w:rFonts w:ascii="Tahoma" w:hAnsi="Tahoma" w:cs="Tahoma"/>
          <w:i/>
          <w:color w:val="000000"/>
          <w:sz w:val="16"/>
          <w:szCs w:val="16"/>
          <w:vertAlign w:val="superscript"/>
          <w:lang w:val="pt-BR"/>
        </w:rPr>
        <w:t>1</w:t>
      </w:r>
      <w:r w:rsidRPr="00C50FD1">
        <w:rPr>
          <w:rFonts w:ascii="Tahoma" w:hAnsi="Tahoma" w:cs="Tahoma"/>
          <w:i/>
          <w:color w:val="000000"/>
          <w:sz w:val="16"/>
          <w:szCs w:val="16"/>
          <w:lang w:val="pt-BR"/>
        </w:rPr>
        <w:t xml:space="preserve"> O Horário Comercial é definido localmente.</w:t>
      </w:r>
    </w:p>
    <w:p w:rsidR="00DB2D1E" w:rsidRPr="00C50FD1" w:rsidRDefault="00DB2D1E" w:rsidP="00F42FB8">
      <w:pPr>
        <w:pStyle w:val="tableclose"/>
        <w:rPr>
          <w:lang w:val="pt-BR"/>
        </w:rPr>
      </w:pPr>
      <w:r w:rsidRPr="00C50FD1">
        <w:rPr>
          <w:rFonts w:ascii="Tahoma" w:hAnsi="Tahoma" w:cs="Tahoma"/>
          <w:i/>
          <w:color w:val="000000"/>
          <w:sz w:val="16"/>
          <w:szCs w:val="16"/>
          <w:vertAlign w:val="superscript"/>
          <w:lang w:val="pt-BR"/>
        </w:rPr>
        <w:t>2</w:t>
      </w:r>
      <w:r w:rsidRPr="00C50FD1">
        <w:rPr>
          <w:rFonts w:ascii="Tahoma" w:hAnsi="Tahoma" w:cs="Tahoma"/>
          <w:i/>
          <w:color w:val="000000"/>
          <w:sz w:val="16"/>
          <w:szCs w:val="16"/>
          <w:lang w:val="pt-BR"/>
        </w:rPr>
        <w:t xml:space="preserve"> Pode ser necessário reduzir o nível de severidade se o cliente não puder fornecer os recursos ou as respostas adequadas para darmos continuidade aos esforços de resolução do problema.</w:t>
      </w:r>
    </w:p>
    <w:p w:rsidR="00DB2D1E" w:rsidRPr="00C50FD1" w:rsidRDefault="00DB2D1E" w:rsidP="00F42FB8">
      <w:pPr>
        <w:rPr>
          <w:lang w:val="pt-BR"/>
        </w:rPr>
      </w:pPr>
    </w:p>
    <w:p w:rsidR="00DB2D1E" w:rsidRPr="00C50FD1" w:rsidRDefault="00DB2D1E" w:rsidP="00DB2D1E">
      <w:pPr>
        <w:spacing w:after="120"/>
        <w:rPr>
          <w:lang w:val="pt-BR"/>
        </w:rPr>
      </w:pPr>
      <w:r w:rsidRPr="00C50FD1">
        <w:rPr>
          <w:rFonts w:cs="Tahoma"/>
          <w:b/>
          <w:bCs/>
          <w:color w:val="000000"/>
          <w:szCs w:val="18"/>
          <w:lang w:val="pt-BR"/>
        </w:rPr>
        <w:lastRenderedPageBreak/>
        <w:t>Os Serviços de Informações</w:t>
      </w:r>
      <w:r w:rsidRPr="00C50FD1">
        <w:rPr>
          <w:rFonts w:cs="Tahoma"/>
          <w:color w:val="000000"/>
          <w:szCs w:val="18"/>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rsidR="00DB2D1E" w:rsidRPr="00C50FD1" w:rsidRDefault="00DB2D1E" w:rsidP="00DB2D1E">
      <w:pPr>
        <w:rPr>
          <w:lang w:val="pt-BR"/>
        </w:rPr>
      </w:pPr>
      <w:r w:rsidRPr="00C50FD1">
        <w:rPr>
          <w:rFonts w:cs="Tahoma"/>
          <w:b/>
          <w:bCs/>
          <w:color w:val="000000"/>
          <w:szCs w:val="18"/>
          <w:lang w:val="pt-BR"/>
        </w:rPr>
        <w:t xml:space="preserve">As Horas Complementares </w:t>
      </w:r>
      <w:r w:rsidRPr="00C50FD1">
        <w:rPr>
          <w:rFonts w:cs="Tahoma"/>
          <w:color w:val="000000"/>
          <w:szCs w:val="18"/>
          <w:lang w:val="pt-BR"/>
        </w:rPr>
        <w:t>podem ser usadas para a Assistência de Suporte ou o Suporte para Resolução de</w:t>
      </w:r>
      <w:r w:rsidR="00EA20DF" w:rsidRPr="00C50FD1">
        <w:rPr>
          <w:rFonts w:cs="Tahoma"/>
          <w:color w:val="000000"/>
          <w:szCs w:val="18"/>
          <w:lang w:val="pt-BR"/>
        </w:rPr>
        <w:t> </w:t>
      </w:r>
      <w:r w:rsidRPr="00C50FD1">
        <w:rPr>
          <w:rFonts w:cs="Tahoma"/>
          <w:color w:val="000000"/>
          <w:szCs w:val="18"/>
          <w:lang w:val="pt-BR"/>
        </w:rPr>
        <w:t xml:space="preserve">Problemas. </w:t>
      </w:r>
    </w:p>
    <w:p w:rsidR="00DB2D1E" w:rsidRPr="00C50FD1" w:rsidRDefault="00DB2D1E" w:rsidP="00DB2D1E">
      <w:pPr>
        <w:jc w:val="both"/>
        <w:rPr>
          <w:lang w:val="pt-BR"/>
        </w:rPr>
      </w:pPr>
    </w:p>
    <w:p w:rsidR="00DC0853" w:rsidRPr="00C50FD1" w:rsidRDefault="00DC0853" w:rsidP="00DC0853">
      <w:pPr>
        <w:spacing w:after="60"/>
        <w:rPr>
          <w:lang w:val="pt-BR"/>
        </w:rPr>
      </w:pPr>
      <w:r w:rsidRPr="00C50FD1">
        <w:rPr>
          <w:rFonts w:cs="Tahoma"/>
          <w:b/>
          <w:bCs/>
          <w:color w:val="000000"/>
          <w:szCs w:val="18"/>
          <w:lang w:val="pt-BR"/>
        </w:rPr>
        <w:t>Regras Comerciais Associadas</w:t>
      </w:r>
    </w:p>
    <w:p w:rsidR="00DB2D1E" w:rsidRPr="00C50FD1" w:rsidRDefault="00DB2D1E" w:rsidP="00FD27BC">
      <w:pPr>
        <w:rPr>
          <w:lang w:val="pt-BR"/>
        </w:rPr>
      </w:pPr>
      <w:r w:rsidRPr="00C50FD1">
        <w:rPr>
          <w:rFonts w:cs="Tahoma"/>
          <w:color w:val="000000"/>
          <w:szCs w:val="18"/>
          <w:lang w:val="pt-BR"/>
        </w:rPr>
        <w:t>Todos os Serviços oferecem suporte a Produtos da Microsoft lançados comercialmente e disponível de maneira geral (a menos que especificamente excluído do site Microsoft Premier Online ou do site de Ciclo de Vida de Suporte da Microsoft).</w:t>
      </w:r>
      <w:r w:rsidR="005A52A2" w:rsidRPr="00C50FD1">
        <w:rPr>
          <w:rFonts w:cs="Tahoma"/>
          <w:color w:val="000000"/>
          <w:szCs w:val="18"/>
          <w:lang w:val="pt-BR"/>
        </w:rPr>
        <w:t xml:space="preserve"> </w:t>
      </w:r>
      <w:r w:rsidRPr="00C50FD1">
        <w:rPr>
          <w:rFonts w:cs="Tahoma"/>
          <w:color w:val="000000"/>
          <w:szCs w:val="18"/>
          <w:lang w:val="pt-BR"/>
        </w:rPr>
        <w:t>Geralmente, os Serviços serão cobrados de acordo com as horas, serão fornecidos de maneira remota e em inglês (a menos que outro idioma esteja disponível).</w:t>
      </w:r>
      <w:r w:rsidR="005A52A2" w:rsidRPr="00C50FD1">
        <w:rPr>
          <w:rFonts w:cs="Tahoma"/>
          <w:color w:val="000000"/>
          <w:szCs w:val="18"/>
          <w:lang w:val="pt-BR"/>
        </w:rPr>
        <w:t xml:space="preserve"> </w:t>
      </w:r>
      <w:r w:rsidRPr="00C50FD1">
        <w:rPr>
          <w:rFonts w:cs="Tahoma"/>
          <w:color w:val="000000"/>
          <w:szCs w:val="18"/>
          <w:lang w:val="pt-BR"/>
        </w:rPr>
        <w:t>Os Serviços serão fornecidos no país no qual o contrato VL</w:t>
      </w:r>
      <w:r w:rsidR="00EA20DF" w:rsidRPr="00C50FD1">
        <w:rPr>
          <w:rFonts w:cs="Tahoma"/>
          <w:color w:val="000000"/>
          <w:szCs w:val="18"/>
          <w:lang w:val="pt-BR"/>
        </w:rPr>
        <w:t> </w:t>
      </w:r>
      <w:r w:rsidRPr="00C50FD1">
        <w:rPr>
          <w:rFonts w:cs="Tahoma"/>
          <w:color w:val="000000"/>
          <w:szCs w:val="18"/>
          <w:lang w:val="pt-BR"/>
        </w:rPr>
        <w:t>foi assinado. As visitas no local não são pagas com antecedência e estão sujeitas à disponibilidade do recurso.</w:t>
      </w:r>
      <w:r w:rsidR="005A52A2" w:rsidRPr="00C50FD1">
        <w:rPr>
          <w:rFonts w:cs="Tahoma"/>
          <w:color w:val="000000"/>
          <w:szCs w:val="18"/>
          <w:lang w:val="pt-BR"/>
        </w:rPr>
        <w:t xml:space="preserve"> </w:t>
      </w:r>
      <w:r w:rsidRPr="00C50FD1">
        <w:rPr>
          <w:rFonts w:cs="Tahoma"/>
          <w:color w:val="000000"/>
          <w:szCs w:val="18"/>
          <w:lang w:val="pt-BR"/>
        </w:rPr>
        <w:t>Todos os Serviços que não forem consumidos em uma base anual serão perdidos.</w:t>
      </w:r>
      <w:r w:rsidR="005A52A2" w:rsidRPr="00C50FD1">
        <w:rPr>
          <w:rFonts w:cs="Tahoma"/>
          <w:color w:val="000000"/>
          <w:szCs w:val="18"/>
          <w:lang w:val="pt-BR"/>
        </w:rPr>
        <w:t xml:space="preserve"> </w:t>
      </w:r>
      <w:r w:rsidRPr="00C50FD1">
        <w:rPr>
          <w:rFonts w:cs="Tahoma"/>
          <w:color w:val="000000"/>
          <w:szCs w:val="18"/>
          <w:lang w:val="pt-BR"/>
        </w:rPr>
        <w:t>Mediante solicitação do cliente, nós podemos acessar o sistema dele por meio de conexão remota para analisar o problema.</w:t>
      </w:r>
      <w:r w:rsidR="005A52A2" w:rsidRPr="00C50FD1">
        <w:rPr>
          <w:rFonts w:cs="Tahoma"/>
          <w:color w:val="000000"/>
          <w:szCs w:val="18"/>
          <w:lang w:val="pt-BR"/>
        </w:rPr>
        <w:t xml:space="preserve"> </w:t>
      </w:r>
      <w:r w:rsidRPr="00C50FD1">
        <w:rPr>
          <w:rFonts w:cs="Tahoma"/>
          <w:color w:val="000000"/>
          <w:szCs w:val="18"/>
          <w:lang w:val="pt-BR"/>
        </w:rPr>
        <w:t>O cliente deve ter acesso à</w:t>
      </w:r>
      <w:r w:rsidR="00F3299C" w:rsidRPr="00C50FD1">
        <w:rPr>
          <w:rFonts w:cs="Tahoma"/>
          <w:color w:val="000000"/>
          <w:szCs w:val="18"/>
          <w:lang w:val="pt-BR"/>
        </w:rPr>
        <w:t> </w:t>
      </w:r>
      <w:r w:rsidRPr="00C50FD1">
        <w:rPr>
          <w:rFonts w:cs="Tahoma"/>
          <w:color w:val="000000"/>
          <w:szCs w:val="18"/>
          <w:lang w:val="pt-BR"/>
        </w:rPr>
        <w:t>Internet para poder aproveitar os serviços com base na Internet.</w:t>
      </w:r>
    </w:p>
    <w:p w:rsidR="00DB2D1E" w:rsidRPr="00C50FD1" w:rsidRDefault="00DB2D1E" w:rsidP="00DB2D1E">
      <w:pPr>
        <w:jc w:val="both"/>
        <w:rPr>
          <w:lang w:val="pt-BR"/>
        </w:rPr>
      </w:pPr>
    </w:p>
    <w:p w:rsidR="00596386" w:rsidRPr="00C50FD1" w:rsidRDefault="00596386" w:rsidP="00596386">
      <w:pPr>
        <w:rPr>
          <w:lang w:val="pt-BR"/>
        </w:rPr>
      </w:pPr>
      <w:r w:rsidRPr="00C50FD1">
        <w:rPr>
          <w:b/>
          <w:sz w:val="24"/>
          <w:szCs w:val="24"/>
          <w:lang w:val="pt-BR"/>
        </w:rPr>
        <w:t>Ofertas de Suporte do Microsoft Windows Azure</w:t>
      </w:r>
    </w:p>
    <w:p w:rsidR="00596386" w:rsidRPr="00C50FD1" w:rsidRDefault="00596386" w:rsidP="00596386">
      <w:pPr>
        <w:rPr>
          <w:lang w:val="pt-BR"/>
        </w:rPr>
      </w:pPr>
    </w:p>
    <w:p w:rsidR="00596386" w:rsidRPr="00C50FD1" w:rsidRDefault="00596386" w:rsidP="00596386">
      <w:pPr>
        <w:jc w:val="both"/>
        <w:rPr>
          <w:lang w:val="pt-BR"/>
        </w:rPr>
      </w:pPr>
      <w:r w:rsidRPr="00C50FD1">
        <w:rPr>
          <w:rFonts w:cs="Arial"/>
          <w:color w:val="000000"/>
          <w:szCs w:val="18"/>
          <w:lang w:val="pt-BR"/>
        </w:rPr>
        <w:t xml:space="preserve">A menos que seja especificado de outra forma abaixo, os Serviços de suporte do Windows Azure estão disponíveis para o Windows Azure. </w:t>
      </w:r>
    </w:p>
    <w:p w:rsidR="00596386" w:rsidRPr="00C50FD1" w:rsidRDefault="00596386" w:rsidP="00596386">
      <w:pPr>
        <w:tabs>
          <w:tab w:val="left" w:pos="360"/>
        </w:tabs>
        <w:jc w:val="both"/>
        <w:rPr>
          <w:lang w:val="pt-BR"/>
        </w:rPr>
      </w:pPr>
    </w:p>
    <w:p w:rsidR="00596386" w:rsidRPr="00C50FD1" w:rsidRDefault="00596386" w:rsidP="00596386">
      <w:pPr>
        <w:tabs>
          <w:tab w:val="left" w:pos="360"/>
        </w:tabs>
        <w:jc w:val="both"/>
        <w:rPr>
          <w:lang w:val="pt-BR"/>
        </w:rPr>
      </w:pPr>
      <w:r w:rsidRPr="00C50FD1">
        <w:rPr>
          <w:rFonts w:cs="Arial"/>
          <w:szCs w:val="18"/>
          <w:lang w:val="pt-BR"/>
        </w:rPr>
        <w:t>Os Serviços serão fornecidos pela equipe de Suporte do Windows Azure, que é composta pelos especialistas do Windows Azure que responderão às solicitações de suporte de um cliente para Windows Azure</w:t>
      </w:r>
      <w:r w:rsidRPr="00C50FD1">
        <w:rPr>
          <w:rFonts w:cs="Arial"/>
          <w:snapToGrid w:val="0"/>
          <w:szCs w:val="18"/>
          <w:lang w:val="pt-BR"/>
        </w:rPr>
        <w:t xml:space="preserve">. Os clientes recebem uma experiência de suporte elevada com </w:t>
      </w:r>
      <w:r w:rsidRPr="00C50FD1">
        <w:rPr>
          <w:rFonts w:cs="Arial"/>
          <w:szCs w:val="18"/>
          <w:lang w:val="pt-BR"/>
        </w:rPr>
        <w:t>suporte disponível 24 horas por dia, 7 dias por semana e apenas em inglês.</w:t>
      </w:r>
      <w:r w:rsidR="005A52A2" w:rsidRPr="00C50FD1">
        <w:rPr>
          <w:rFonts w:cs="Arial"/>
          <w:szCs w:val="18"/>
          <w:lang w:val="pt-BR"/>
        </w:rPr>
        <w:t xml:space="preserve"> </w:t>
      </w:r>
      <w:r w:rsidRPr="00C50FD1">
        <w:rPr>
          <w:rFonts w:cs="Arial"/>
          <w:szCs w:val="18"/>
          <w:lang w:val="pt-BR"/>
        </w:rPr>
        <w:t>O suporte a outros idiomas (</w:t>
      </w:r>
      <w:hyperlink r:id="rId31" w:history="1">
        <w:r w:rsidRPr="00C50FD1">
          <w:rPr>
            <w:rStyle w:val="Hyperlink"/>
            <w:szCs w:val="18"/>
            <w:lang w:val="pt-BR"/>
          </w:rPr>
          <w:t>www.windowsazure.com/en-us/support/plans/</w:t>
        </w:r>
      </w:hyperlink>
      <w:r w:rsidRPr="00C50FD1">
        <w:rPr>
          <w:rFonts w:cs="Arial"/>
          <w:szCs w:val="18"/>
          <w:lang w:val="pt-BR"/>
        </w:rPr>
        <w:t>) está disponível apenas durante o horário comercial.</w:t>
      </w:r>
    </w:p>
    <w:p w:rsidR="00596386" w:rsidRPr="00C50FD1" w:rsidRDefault="00596386" w:rsidP="00596386">
      <w:pPr>
        <w:tabs>
          <w:tab w:val="left" w:pos="360"/>
        </w:tabs>
        <w:jc w:val="both"/>
        <w:rPr>
          <w:lang w:val="pt-BR"/>
        </w:rPr>
      </w:pPr>
    </w:p>
    <w:p w:rsidR="00596386" w:rsidRPr="00C50FD1" w:rsidRDefault="00596386" w:rsidP="00596386">
      <w:pPr>
        <w:tabs>
          <w:tab w:val="left" w:pos="360"/>
        </w:tabs>
        <w:jc w:val="both"/>
        <w:rPr>
          <w:lang w:val="pt-BR"/>
        </w:rPr>
      </w:pPr>
      <w:r w:rsidRPr="00C50FD1">
        <w:rPr>
          <w:rFonts w:cs="Arial"/>
          <w:szCs w:val="18"/>
          <w:lang w:val="pt-BR"/>
        </w:rPr>
        <w:t>“Incidente” significa uma solicitação de suporte referente à falha ou interrupção e conserto (fix) assistida para um Problema Único de Suporte.</w:t>
      </w:r>
      <w:r w:rsidR="005A52A2" w:rsidRPr="00C50FD1">
        <w:rPr>
          <w:rFonts w:cs="Arial"/>
          <w:szCs w:val="18"/>
          <w:lang w:val="pt-BR"/>
        </w:rPr>
        <w:t xml:space="preserve"> </w:t>
      </w:r>
      <w:r w:rsidRPr="00C50FD1">
        <w:rPr>
          <w:rFonts w:cs="Arial"/>
          <w:szCs w:val="18"/>
          <w:lang w:val="pt-BR"/>
        </w:rPr>
        <w:t>“Problema Único de Suporte” significa um problema que não pode ser subdividido em problemas subordinados.</w:t>
      </w:r>
      <w:r w:rsidR="005A52A2" w:rsidRPr="00C50FD1">
        <w:rPr>
          <w:rFonts w:cs="Arial"/>
          <w:szCs w:val="18"/>
          <w:lang w:val="pt-BR"/>
        </w:rPr>
        <w:t xml:space="preserve"> </w:t>
      </w:r>
      <w:r w:rsidRPr="00C50FD1">
        <w:rPr>
          <w:rFonts w:cs="Arial"/>
          <w:szCs w:val="18"/>
          <w:lang w:val="pt-BR"/>
        </w:rPr>
        <w:t>Se o problema consistir em problemas subordinados, cada um será considerado um Incidente separado.</w:t>
      </w:r>
      <w:r w:rsidR="005A52A2" w:rsidRPr="00C50FD1">
        <w:rPr>
          <w:rFonts w:cs="Arial"/>
          <w:szCs w:val="18"/>
          <w:lang w:val="pt-BR"/>
        </w:rPr>
        <w:t xml:space="preserve"> </w:t>
      </w:r>
      <w:r w:rsidRPr="00C50FD1">
        <w:rPr>
          <w:rFonts w:cs="Arial"/>
          <w:szCs w:val="18"/>
          <w:lang w:val="pt-BR"/>
        </w:rPr>
        <w:t>Incidentes incluem o valor comercialmente razoável dos serviços necessários para solucionar o</w:t>
      </w:r>
      <w:r w:rsidR="00F3299C" w:rsidRPr="00C50FD1">
        <w:rPr>
          <w:rFonts w:cs="Arial"/>
          <w:szCs w:val="18"/>
          <w:lang w:val="pt-BR"/>
        </w:rPr>
        <w:t> </w:t>
      </w:r>
      <w:r w:rsidRPr="00C50FD1">
        <w:rPr>
          <w:rFonts w:cs="Arial"/>
          <w:szCs w:val="18"/>
          <w:lang w:val="pt-BR"/>
        </w:rPr>
        <w:t>problema e auxiliar a resolver o problema de suporte.</w:t>
      </w:r>
      <w:r w:rsidR="005A52A2" w:rsidRPr="00C50FD1">
        <w:rPr>
          <w:rFonts w:cs="Arial"/>
          <w:szCs w:val="18"/>
          <w:lang w:val="pt-BR"/>
        </w:rPr>
        <w:t xml:space="preserve"> </w:t>
      </w:r>
      <w:r w:rsidRPr="00C50FD1">
        <w:rPr>
          <w:rFonts w:cs="Arial"/>
          <w:szCs w:val="18"/>
          <w:lang w:val="pt-BR"/>
        </w:rPr>
        <w:t xml:space="preserve">Incidentes podem ser enviados por meio do site de suporte online assistido em </w:t>
      </w:r>
      <w:hyperlink r:id="rId32" w:history="1">
        <w:r w:rsidRPr="00C50FD1">
          <w:rPr>
            <w:rStyle w:val="Hyperlink"/>
            <w:rFonts w:cs="Arial"/>
            <w:szCs w:val="18"/>
            <w:lang w:val="pt-BR"/>
          </w:rPr>
          <w:t>www.windowsazure.com</w:t>
        </w:r>
      </w:hyperlink>
      <w:r w:rsidRPr="00C50FD1">
        <w:rPr>
          <w:rFonts w:cs="Arial"/>
          <w:szCs w:val="18"/>
          <w:lang w:val="pt-BR"/>
        </w:rPr>
        <w:t>.</w:t>
      </w:r>
      <w:r w:rsidR="005A52A2" w:rsidRPr="00C50FD1">
        <w:rPr>
          <w:rFonts w:cs="Arial"/>
          <w:szCs w:val="18"/>
          <w:lang w:val="pt-BR"/>
        </w:rPr>
        <w:t xml:space="preserve"> </w:t>
      </w:r>
    </w:p>
    <w:p w:rsidR="00596386" w:rsidRPr="00C50FD1" w:rsidRDefault="00596386" w:rsidP="00596386">
      <w:pPr>
        <w:tabs>
          <w:tab w:val="left" w:pos="360"/>
        </w:tabs>
        <w:jc w:val="both"/>
        <w:rPr>
          <w:lang w:val="pt-BR"/>
        </w:rPr>
      </w:pPr>
    </w:p>
    <w:p w:rsidR="00596386" w:rsidRPr="00C50FD1" w:rsidRDefault="00596386" w:rsidP="00596386">
      <w:pPr>
        <w:tabs>
          <w:tab w:val="left" w:pos="360"/>
        </w:tabs>
        <w:jc w:val="both"/>
        <w:rPr>
          <w:lang w:val="pt-BR"/>
        </w:rPr>
      </w:pPr>
      <w:r w:rsidRPr="00C50FD1">
        <w:rPr>
          <w:rFonts w:cs="Arial"/>
          <w:szCs w:val="18"/>
          <w:lang w:val="pt-BR"/>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5A52A2" w:rsidRPr="00C50FD1">
        <w:rPr>
          <w:rFonts w:cs="Arial"/>
          <w:szCs w:val="18"/>
          <w:lang w:val="pt-BR"/>
        </w:rPr>
        <w:t xml:space="preserve"> </w:t>
      </w:r>
      <w:r w:rsidRPr="00C50FD1">
        <w:rPr>
          <w:rFonts w:cs="Arial"/>
          <w:szCs w:val="18"/>
          <w:lang w:val="pt-BR"/>
        </w:rPr>
        <w:t>Esses serviços adicionais serão regidos pelos termos do contrato separado.</w:t>
      </w:r>
    </w:p>
    <w:p w:rsidR="00596386" w:rsidRPr="00C50FD1" w:rsidRDefault="00596386" w:rsidP="00596386">
      <w:pPr>
        <w:pStyle w:val="normal1"/>
        <w:jc w:val="both"/>
        <w:rPr>
          <w:lang w:val="pt-BR"/>
        </w:rPr>
      </w:pPr>
    </w:p>
    <w:p w:rsidR="00596386" w:rsidRPr="00C50FD1" w:rsidRDefault="00596386" w:rsidP="00596386">
      <w:pPr>
        <w:widowControl w:val="0"/>
        <w:tabs>
          <w:tab w:val="left" w:pos="720"/>
          <w:tab w:val="left" w:pos="1170"/>
        </w:tabs>
        <w:rPr>
          <w:lang w:val="pt-BR"/>
        </w:rPr>
      </w:pPr>
      <w:r w:rsidRPr="00C50FD1">
        <w:rPr>
          <w:rFonts w:cs="Arial"/>
          <w:b/>
          <w:bCs/>
          <w:sz w:val="24"/>
          <w:szCs w:val="18"/>
          <w:lang w:val="pt-BR"/>
        </w:rPr>
        <w:t>Suporte Profissional Direto para Windows Azure</w:t>
      </w:r>
    </w:p>
    <w:p w:rsidR="00596386" w:rsidRPr="00C50FD1" w:rsidRDefault="00596386" w:rsidP="00596386">
      <w:pPr>
        <w:tabs>
          <w:tab w:val="left" w:pos="360"/>
        </w:tabs>
        <w:jc w:val="both"/>
        <w:rPr>
          <w:lang w:val="pt-BR"/>
        </w:rPr>
      </w:pPr>
    </w:p>
    <w:p w:rsidR="006E7D7A" w:rsidRPr="00C50FD1" w:rsidRDefault="006E7D7A" w:rsidP="006E7D7A">
      <w:pPr>
        <w:tabs>
          <w:tab w:val="left" w:pos="360"/>
        </w:tabs>
        <w:jc w:val="both"/>
        <w:rPr>
          <w:lang w:val="pt-BR"/>
        </w:rPr>
      </w:pPr>
      <w:r w:rsidRPr="00C50FD1">
        <w:rPr>
          <w:rFonts w:cs="Arial"/>
          <w:i/>
          <w:color w:val="000000"/>
          <w:szCs w:val="18"/>
          <w:lang w:val="pt-BR"/>
        </w:rPr>
        <w:t>Disponibilidade de mercado limitada</w:t>
      </w:r>
      <w:r w:rsidRPr="00C50FD1">
        <w:rPr>
          <w:rFonts w:cs="Arial"/>
          <w:color w:val="000000"/>
          <w:szCs w:val="18"/>
          <w:lang w:val="pt-BR"/>
        </w:rPr>
        <w:t xml:space="preserve"> - O Suporte Profissional Direto para serviços do Windows Azure realçados a</w:t>
      </w:r>
      <w:r w:rsidR="00F3299C" w:rsidRPr="00C50FD1">
        <w:rPr>
          <w:rFonts w:cs="Arial"/>
          <w:color w:val="000000"/>
          <w:szCs w:val="18"/>
          <w:lang w:val="pt-BR"/>
        </w:rPr>
        <w:t> </w:t>
      </w:r>
      <w:r w:rsidRPr="00C50FD1">
        <w:rPr>
          <w:rFonts w:cs="Arial"/>
          <w:color w:val="000000"/>
          <w:szCs w:val="18"/>
          <w:lang w:val="pt-BR"/>
        </w:rPr>
        <w:t>seguir são fornecidos apenas em inglês em um número limitado de países (</w:t>
      </w:r>
      <w:hyperlink r:id="rId33" w:history="1">
        <w:r w:rsidRPr="00C50FD1">
          <w:rPr>
            <w:rStyle w:val="Hyperlink"/>
            <w:rFonts w:cs="Arial"/>
            <w:szCs w:val="18"/>
            <w:lang w:val="pt-BR"/>
          </w:rPr>
          <w:t>www.windowsazure.com/en-us/support/plans/</w:t>
        </w:r>
      </w:hyperlink>
      <w:r w:rsidRPr="00C50FD1">
        <w:rPr>
          <w:rFonts w:cs="Arial"/>
          <w:szCs w:val="18"/>
          <w:lang w:val="pt-BR"/>
        </w:rPr>
        <w:t>).</w:t>
      </w:r>
    </w:p>
    <w:p w:rsidR="006E7D7A" w:rsidRPr="00C50FD1" w:rsidRDefault="006E7D7A" w:rsidP="006E7D7A">
      <w:pPr>
        <w:tabs>
          <w:tab w:val="left" w:pos="360"/>
        </w:tabs>
        <w:jc w:val="both"/>
        <w:rPr>
          <w:lang w:val="pt-BR"/>
        </w:rPr>
      </w:pPr>
    </w:p>
    <w:p w:rsidR="00596386" w:rsidRPr="00C50FD1" w:rsidRDefault="00596386" w:rsidP="00596386">
      <w:pPr>
        <w:tabs>
          <w:tab w:val="left" w:pos="360"/>
        </w:tabs>
        <w:jc w:val="both"/>
        <w:rPr>
          <w:lang w:val="pt-BR"/>
        </w:rPr>
      </w:pPr>
      <w:r w:rsidRPr="00C50FD1">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5A52A2" w:rsidRPr="00C50FD1">
        <w:rPr>
          <w:rFonts w:cs="Arial"/>
          <w:color w:val="000000"/>
          <w:szCs w:val="18"/>
          <w:lang w:val="pt-BR"/>
        </w:rPr>
        <w:t xml:space="preserve"> </w:t>
      </w:r>
      <w:r w:rsidRPr="00C50FD1">
        <w:rPr>
          <w:rFonts w:cs="Arial"/>
          <w:color w:val="000000"/>
          <w:szCs w:val="18"/>
          <w:lang w:val="pt-BR"/>
        </w:rPr>
        <w:t>A gravidade do incidente determinará os níveis de resposta na Microsoft, e o tempo estimado de resposta é definido na tabela a seguir.</w:t>
      </w:r>
      <w:r w:rsidR="005A52A2" w:rsidRPr="00C50FD1">
        <w:rPr>
          <w:rFonts w:cs="Arial"/>
          <w:color w:val="000000"/>
          <w:szCs w:val="18"/>
          <w:lang w:val="pt-BR"/>
        </w:rPr>
        <w:t xml:space="preserve"> </w:t>
      </w:r>
      <w:r w:rsidRPr="00C50FD1">
        <w:rPr>
          <w:rFonts w:cs="Arial"/>
          <w:color w:val="000000"/>
          <w:szCs w:val="18"/>
          <w:lang w:val="pt-BR"/>
        </w:rPr>
        <w:t>A capacidade de a Microsoft prestar os serviços ao cliente depende da inteira e pontual cooperação desta, bem como da precisão e da integridade das informações fornecidas ao cliente.</w:t>
      </w:r>
    </w:p>
    <w:p w:rsidR="000D747C" w:rsidRPr="00C50FD1" w:rsidRDefault="000D747C" w:rsidP="00596386">
      <w:pPr>
        <w:tabs>
          <w:tab w:val="left" w:pos="360"/>
        </w:tabs>
        <w:jc w:val="both"/>
        <w:rPr>
          <w:lang w:val="pt-BR"/>
        </w:rPr>
      </w:pPr>
    </w:p>
    <w:p w:rsidR="00F3299C" w:rsidRPr="00C50FD1" w:rsidRDefault="00F3299C" w:rsidP="00596386">
      <w:pPr>
        <w:tabs>
          <w:tab w:val="left" w:pos="360"/>
        </w:tabs>
        <w:jc w:val="both"/>
        <w:rPr>
          <w:lang w:val="pt-BR"/>
        </w:rPr>
      </w:pPr>
    </w:p>
    <w:p w:rsidR="00F3299C" w:rsidRPr="00C50FD1" w:rsidRDefault="00F3299C" w:rsidP="00596386">
      <w:pPr>
        <w:tabs>
          <w:tab w:val="left" w:pos="360"/>
        </w:tabs>
        <w:jc w:val="both"/>
        <w:rPr>
          <w:lang w:val="pt-BR"/>
        </w:rPr>
      </w:pPr>
    </w:p>
    <w:p w:rsidR="00F3299C" w:rsidRPr="00C50FD1" w:rsidRDefault="00F3299C" w:rsidP="00596386">
      <w:pPr>
        <w:tabs>
          <w:tab w:val="left" w:pos="360"/>
        </w:tabs>
        <w:jc w:val="both"/>
        <w:rPr>
          <w:lang w:val="pt-BR"/>
        </w:rPr>
      </w:pPr>
    </w:p>
    <w:p w:rsidR="00F3299C" w:rsidRPr="00C50FD1" w:rsidRDefault="00F3299C" w:rsidP="00596386">
      <w:pPr>
        <w:tabs>
          <w:tab w:val="left" w:pos="360"/>
        </w:tabs>
        <w:jc w:val="both"/>
        <w:rPr>
          <w:lang w:val="pt-BR"/>
        </w:rPr>
      </w:pPr>
    </w:p>
    <w:p w:rsidR="00381B33" w:rsidRPr="00C50FD1" w:rsidRDefault="00381B33" w:rsidP="00DD7F8E">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983"/>
        <w:gridCol w:w="3240"/>
        <w:gridCol w:w="2970"/>
      </w:tblGrid>
      <w:tr w:rsidR="00596386" w:rsidRPr="00170677" w:rsidTr="00F3299C">
        <w:tc>
          <w:tcPr>
            <w:tcW w:w="1347" w:type="dxa"/>
            <w:shd w:val="clear" w:color="auto" w:fill="FABF8F"/>
          </w:tcPr>
          <w:p w:rsidR="00596386" w:rsidRPr="00170677" w:rsidRDefault="00596386" w:rsidP="0037031E">
            <w:pPr>
              <w:jc w:val="center"/>
              <w:rPr>
                <w:rFonts w:cs="Tahoma"/>
                <w:b/>
                <w:bCs/>
                <w:color w:val="000000"/>
                <w:sz w:val="20"/>
                <w:szCs w:val="18"/>
              </w:rPr>
            </w:pPr>
            <w:r w:rsidRPr="00170677">
              <w:rPr>
                <w:rFonts w:cs="Tahoma"/>
                <w:b/>
                <w:bCs/>
                <w:color w:val="000000"/>
                <w:sz w:val="20"/>
                <w:szCs w:val="18"/>
              </w:rPr>
              <w:t>Severidade</w:t>
            </w:r>
          </w:p>
        </w:tc>
        <w:tc>
          <w:tcPr>
            <w:tcW w:w="1983" w:type="dxa"/>
            <w:shd w:val="clear" w:color="auto" w:fill="FABF8F"/>
          </w:tcPr>
          <w:p w:rsidR="00596386" w:rsidRPr="00170677" w:rsidRDefault="00596386" w:rsidP="0037031E">
            <w:pPr>
              <w:jc w:val="center"/>
              <w:rPr>
                <w:rFonts w:cs="Tahoma"/>
                <w:b/>
                <w:bCs/>
                <w:color w:val="000000"/>
                <w:sz w:val="20"/>
                <w:szCs w:val="18"/>
              </w:rPr>
            </w:pPr>
            <w:r w:rsidRPr="00170677">
              <w:rPr>
                <w:rFonts w:cs="Tahoma"/>
                <w:b/>
                <w:bCs/>
                <w:color w:val="000000"/>
                <w:sz w:val="20"/>
                <w:szCs w:val="18"/>
              </w:rPr>
              <w:t>Contato</w:t>
            </w:r>
          </w:p>
        </w:tc>
        <w:tc>
          <w:tcPr>
            <w:tcW w:w="3240" w:type="dxa"/>
            <w:shd w:val="clear" w:color="auto" w:fill="FABF8F"/>
          </w:tcPr>
          <w:p w:rsidR="00596386" w:rsidRPr="00170677" w:rsidRDefault="00596386" w:rsidP="0037031E">
            <w:pPr>
              <w:jc w:val="center"/>
              <w:rPr>
                <w:rFonts w:cs="Tahoma"/>
                <w:b/>
                <w:bCs/>
                <w:color w:val="000000"/>
                <w:sz w:val="20"/>
                <w:szCs w:val="18"/>
              </w:rPr>
            </w:pPr>
            <w:r w:rsidRPr="00170677">
              <w:rPr>
                <w:rFonts w:cs="Tahoma"/>
                <w:b/>
                <w:bCs/>
                <w:color w:val="000000"/>
                <w:sz w:val="20"/>
                <w:szCs w:val="18"/>
              </w:rPr>
              <w:t>Situação do Cliente</w:t>
            </w:r>
          </w:p>
        </w:tc>
        <w:tc>
          <w:tcPr>
            <w:tcW w:w="2970" w:type="dxa"/>
            <w:shd w:val="clear" w:color="auto" w:fill="FABF8F"/>
          </w:tcPr>
          <w:p w:rsidR="00596386" w:rsidRPr="00170677" w:rsidRDefault="00596386" w:rsidP="00F3299C">
            <w:pPr>
              <w:jc w:val="center"/>
              <w:rPr>
                <w:rFonts w:cs="Tahoma"/>
                <w:b/>
                <w:bCs/>
                <w:color w:val="000000"/>
                <w:sz w:val="20"/>
                <w:szCs w:val="18"/>
              </w:rPr>
            </w:pPr>
            <w:r w:rsidRPr="00170677">
              <w:rPr>
                <w:rFonts w:cs="Tahoma"/>
                <w:b/>
                <w:bCs/>
                <w:color w:val="000000"/>
                <w:sz w:val="20"/>
                <w:szCs w:val="18"/>
              </w:rPr>
              <w:t>Resposta Esperada da</w:t>
            </w:r>
            <w:r w:rsidR="00F3299C" w:rsidRPr="00170677">
              <w:rPr>
                <w:rFonts w:cs="Tahoma"/>
                <w:b/>
                <w:bCs/>
                <w:color w:val="000000"/>
                <w:sz w:val="20"/>
                <w:szCs w:val="18"/>
              </w:rPr>
              <w:t> </w:t>
            </w:r>
            <w:r w:rsidRPr="00170677">
              <w:rPr>
                <w:rFonts w:cs="Tahoma"/>
                <w:b/>
                <w:bCs/>
                <w:color w:val="000000"/>
                <w:sz w:val="20"/>
                <w:szCs w:val="18"/>
              </w:rPr>
              <w:t>Microsoft</w:t>
            </w:r>
          </w:p>
        </w:tc>
      </w:tr>
      <w:tr w:rsidR="00596386" w:rsidRPr="00C50FD1" w:rsidTr="00F3299C">
        <w:tc>
          <w:tcPr>
            <w:tcW w:w="1347" w:type="dxa"/>
          </w:tcPr>
          <w:p w:rsidR="00596386" w:rsidRPr="00170677" w:rsidRDefault="00596386" w:rsidP="00647923">
            <w:pPr>
              <w:spacing w:after="60" w:line="240" w:lineRule="atLeast"/>
              <w:jc w:val="center"/>
              <w:rPr>
                <w:rFonts w:cs="Tahoma"/>
                <w:szCs w:val="18"/>
              </w:rPr>
            </w:pPr>
            <w:r w:rsidRPr="00170677">
              <w:rPr>
                <w:rFonts w:cs="Tahoma"/>
                <w:szCs w:val="18"/>
              </w:rPr>
              <w:lastRenderedPageBreak/>
              <w:t>A</w:t>
            </w:r>
          </w:p>
        </w:tc>
        <w:tc>
          <w:tcPr>
            <w:tcW w:w="1983" w:type="dxa"/>
          </w:tcPr>
          <w:p w:rsidR="00596386" w:rsidRPr="00170677" w:rsidRDefault="00596386" w:rsidP="00647923">
            <w:pPr>
              <w:spacing w:after="60" w:line="240" w:lineRule="atLeast"/>
              <w:jc w:val="center"/>
              <w:rPr>
                <w:rFonts w:cs="Tahoma"/>
                <w:szCs w:val="18"/>
              </w:rPr>
            </w:pPr>
            <w:r w:rsidRPr="00170677">
              <w:rPr>
                <w:rFonts w:cs="Tahoma"/>
                <w:szCs w:val="18"/>
              </w:rPr>
              <w:t>Solicitação pela Web</w:t>
            </w:r>
          </w:p>
        </w:tc>
        <w:tc>
          <w:tcPr>
            <w:tcW w:w="3240" w:type="dxa"/>
          </w:tcPr>
          <w:p w:rsidR="00596386" w:rsidRPr="00C50FD1" w:rsidRDefault="00596386" w:rsidP="00647923">
            <w:pPr>
              <w:spacing w:after="60" w:line="240" w:lineRule="atLeast"/>
              <w:rPr>
                <w:rFonts w:cs="Tahoma"/>
                <w:lang w:val="pt-BR"/>
              </w:rPr>
            </w:pPr>
            <w:r w:rsidRPr="00C50FD1">
              <w:rPr>
                <w:rFonts w:cs="Tahoma"/>
                <w:szCs w:val="18"/>
                <w:lang w:val="pt-BR"/>
              </w:rPr>
              <w:t>Impacto crítico nos negócios:</w:t>
            </w:r>
          </w:p>
          <w:p w:rsidR="00596386" w:rsidRPr="00C50FD1" w:rsidRDefault="00596386" w:rsidP="00647923">
            <w:pPr>
              <w:spacing w:after="60" w:line="240" w:lineRule="atLeast"/>
              <w:rPr>
                <w:rFonts w:cs="Tahoma"/>
                <w:lang w:val="pt-BR"/>
              </w:rPr>
            </w:pPr>
            <w:r w:rsidRPr="00C50FD1">
              <w:rPr>
                <w:rFonts w:cs="Tahoma"/>
                <w:szCs w:val="18"/>
                <w:lang w:val="pt-BR"/>
              </w:rPr>
              <w:t>Perda ou degradação significativa de</w:t>
            </w:r>
            <w:r w:rsidR="00F3299C" w:rsidRPr="00C50FD1">
              <w:rPr>
                <w:rFonts w:cs="Tahoma"/>
                <w:szCs w:val="18"/>
                <w:lang w:val="pt-BR"/>
              </w:rPr>
              <w:t> </w:t>
            </w:r>
            <w:r w:rsidRPr="00C50FD1">
              <w:rPr>
                <w:rFonts w:cs="Tahoma"/>
                <w:szCs w:val="18"/>
                <w:lang w:val="pt-BR"/>
              </w:rPr>
              <w:t>serviços (aplicativo inativo)</w:t>
            </w:r>
          </w:p>
          <w:p w:rsidR="00596386" w:rsidRPr="00C50FD1" w:rsidRDefault="00596386" w:rsidP="00647923">
            <w:pPr>
              <w:spacing w:after="60" w:line="240" w:lineRule="atLeast"/>
              <w:rPr>
                <w:rFonts w:cs="Tahoma"/>
                <w:szCs w:val="18"/>
                <w:lang w:val="pt-BR"/>
              </w:rPr>
            </w:pPr>
            <w:r w:rsidRPr="00C50FD1">
              <w:rPr>
                <w:rFonts w:cs="Tahoma"/>
                <w:szCs w:val="18"/>
                <w:lang w:val="pt-BR"/>
              </w:rPr>
              <w:t>Necessita de atenção em 1 hora</w:t>
            </w:r>
          </w:p>
        </w:tc>
        <w:tc>
          <w:tcPr>
            <w:tcW w:w="2970" w:type="dxa"/>
          </w:tcPr>
          <w:p w:rsidR="00596386" w:rsidRPr="00C50FD1" w:rsidRDefault="00596386" w:rsidP="00647923">
            <w:pPr>
              <w:spacing w:after="60" w:line="240" w:lineRule="atLeast"/>
              <w:rPr>
                <w:rFonts w:cs="Tahoma"/>
                <w:lang w:val="pt-BR"/>
              </w:rPr>
            </w:pPr>
            <w:r w:rsidRPr="00C50FD1">
              <w:rPr>
                <w:rFonts w:cs="Tahoma"/>
                <w:szCs w:val="18"/>
                <w:lang w:val="pt-BR"/>
              </w:rPr>
              <w:t>1</w:t>
            </w:r>
            <w:r w:rsidRPr="00C50FD1">
              <w:rPr>
                <w:rFonts w:cs="Tahoma"/>
                <w:szCs w:val="18"/>
                <w:vertAlign w:val="superscript"/>
                <w:lang w:val="pt-BR"/>
              </w:rPr>
              <w:t>ª</w:t>
            </w:r>
            <w:r w:rsidRPr="00C50FD1">
              <w:rPr>
                <w:rFonts w:cs="Tahoma"/>
                <w:szCs w:val="18"/>
                <w:lang w:val="pt-BR"/>
              </w:rPr>
              <w:t xml:space="preserve"> resposta em 1 hora ou menos</w:t>
            </w:r>
          </w:p>
          <w:p w:rsidR="00596386" w:rsidRPr="00C50FD1" w:rsidRDefault="00596386" w:rsidP="00647923">
            <w:pPr>
              <w:spacing w:after="60" w:line="240" w:lineRule="atLeast"/>
              <w:rPr>
                <w:rFonts w:cs="Tahoma"/>
                <w:szCs w:val="18"/>
                <w:lang w:val="pt-BR"/>
              </w:rPr>
            </w:pPr>
          </w:p>
        </w:tc>
      </w:tr>
      <w:tr w:rsidR="00596386" w:rsidRPr="00C50FD1" w:rsidTr="00F3299C">
        <w:tc>
          <w:tcPr>
            <w:tcW w:w="1347" w:type="dxa"/>
          </w:tcPr>
          <w:p w:rsidR="00596386" w:rsidRPr="00170677" w:rsidRDefault="00596386" w:rsidP="00647923">
            <w:pPr>
              <w:spacing w:after="60" w:line="240" w:lineRule="atLeast"/>
              <w:jc w:val="center"/>
              <w:rPr>
                <w:rFonts w:cs="Tahoma"/>
                <w:szCs w:val="18"/>
              </w:rPr>
            </w:pPr>
            <w:r w:rsidRPr="00170677">
              <w:rPr>
                <w:rFonts w:cs="Tahoma"/>
                <w:szCs w:val="18"/>
              </w:rPr>
              <w:t>B</w:t>
            </w:r>
          </w:p>
        </w:tc>
        <w:tc>
          <w:tcPr>
            <w:tcW w:w="1983" w:type="dxa"/>
          </w:tcPr>
          <w:p w:rsidR="00596386" w:rsidRPr="00170677" w:rsidRDefault="00596386" w:rsidP="005723AA">
            <w:pPr>
              <w:spacing w:after="60" w:line="240" w:lineRule="atLeast"/>
              <w:jc w:val="center"/>
              <w:rPr>
                <w:rFonts w:cs="Tahoma"/>
                <w:szCs w:val="18"/>
              </w:rPr>
            </w:pPr>
            <w:r w:rsidRPr="00170677">
              <w:rPr>
                <w:rFonts w:cs="Tahoma"/>
                <w:szCs w:val="18"/>
              </w:rPr>
              <w:t>Solicitação pela Web</w:t>
            </w:r>
          </w:p>
        </w:tc>
        <w:tc>
          <w:tcPr>
            <w:tcW w:w="3240" w:type="dxa"/>
          </w:tcPr>
          <w:p w:rsidR="00596386" w:rsidRPr="00C50FD1" w:rsidRDefault="00596386" w:rsidP="005723AA">
            <w:pPr>
              <w:spacing w:after="60" w:line="240" w:lineRule="atLeast"/>
              <w:rPr>
                <w:rFonts w:cs="Tahoma"/>
                <w:lang w:val="pt-BR"/>
              </w:rPr>
            </w:pPr>
            <w:r w:rsidRPr="00C50FD1">
              <w:rPr>
                <w:rFonts w:cs="Tahoma"/>
                <w:szCs w:val="18"/>
                <w:lang w:val="pt-BR"/>
              </w:rPr>
              <w:t xml:space="preserve">Impacto moderado nos negócios: </w:t>
            </w:r>
          </w:p>
          <w:p w:rsidR="00596386" w:rsidRPr="00C50FD1" w:rsidRDefault="00596386" w:rsidP="00647923">
            <w:pPr>
              <w:spacing w:line="240" w:lineRule="atLeast"/>
              <w:rPr>
                <w:rFonts w:cs="Tahoma"/>
                <w:lang w:val="pt-BR"/>
              </w:rPr>
            </w:pPr>
            <w:r w:rsidRPr="00C50FD1">
              <w:rPr>
                <w:rFonts w:cs="Tahoma"/>
                <w:szCs w:val="18"/>
                <w:lang w:val="pt-BR"/>
              </w:rPr>
              <w:t>Perda ou degradação moderada dos</w:t>
            </w:r>
            <w:r w:rsidR="00F3299C" w:rsidRPr="00C50FD1">
              <w:rPr>
                <w:rFonts w:cs="Tahoma"/>
                <w:szCs w:val="18"/>
                <w:lang w:val="pt-BR"/>
              </w:rPr>
              <w:t> </w:t>
            </w:r>
            <w:r w:rsidRPr="00C50FD1">
              <w:rPr>
                <w:rFonts w:cs="Tahoma"/>
                <w:szCs w:val="18"/>
                <w:lang w:val="pt-BR"/>
              </w:rPr>
              <w:t>serviços, mas o trabalho pode</w:t>
            </w:r>
            <w:r w:rsidR="00F3299C" w:rsidRPr="00C50FD1">
              <w:rPr>
                <w:rFonts w:cs="Tahoma"/>
                <w:szCs w:val="18"/>
                <w:lang w:val="pt-BR"/>
              </w:rPr>
              <w:t> </w:t>
            </w:r>
            <w:r w:rsidRPr="00C50FD1">
              <w:rPr>
                <w:rFonts w:cs="Tahoma"/>
                <w:szCs w:val="18"/>
                <w:lang w:val="pt-BR"/>
              </w:rPr>
              <w:t>razoavelmente continuar de</w:t>
            </w:r>
            <w:r w:rsidR="00F3299C" w:rsidRPr="00C50FD1">
              <w:rPr>
                <w:rFonts w:cs="Tahoma"/>
                <w:szCs w:val="18"/>
                <w:lang w:val="pt-BR"/>
              </w:rPr>
              <w:t> </w:t>
            </w:r>
            <w:r w:rsidRPr="00C50FD1">
              <w:rPr>
                <w:rFonts w:cs="Tahoma"/>
                <w:szCs w:val="18"/>
                <w:lang w:val="pt-BR"/>
              </w:rPr>
              <w:t>maneira prejudicada</w:t>
            </w:r>
          </w:p>
          <w:p w:rsidR="00596386" w:rsidRPr="00C50FD1" w:rsidRDefault="00596386" w:rsidP="00647923">
            <w:pPr>
              <w:spacing w:after="60" w:line="240" w:lineRule="atLeast"/>
              <w:rPr>
                <w:rFonts w:cs="Tahoma"/>
                <w:szCs w:val="18"/>
                <w:lang w:val="pt-BR"/>
              </w:rPr>
            </w:pPr>
            <w:r w:rsidRPr="00C50FD1">
              <w:rPr>
                <w:rFonts w:cs="Tahoma"/>
                <w:szCs w:val="18"/>
                <w:lang w:val="pt-BR"/>
              </w:rPr>
              <w:t>Necessita de atenção em 2 horas</w:t>
            </w:r>
          </w:p>
        </w:tc>
        <w:tc>
          <w:tcPr>
            <w:tcW w:w="2970" w:type="dxa"/>
          </w:tcPr>
          <w:p w:rsidR="00596386" w:rsidRPr="00C50FD1" w:rsidRDefault="00596386" w:rsidP="005723AA">
            <w:pPr>
              <w:spacing w:line="240" w:lineRule="atLeast"/>
              <w:rPr>
                <w:rFonts w:cs="Tahoma"/>
                <w:lang w:val="pt-BR"/>
              </w:rPr>
            </w:pPr>
            <w:r w:rsidRPr="00C50FD1">
              <w:rPr>
                <w:rFonts w:cs="Tahoma"/>
                <w:szCs w:val="18"/>
                <w:lang w:val="pt-BR"/>
              </w:rPr>
              <w:t>1</w:t>
            </w:r>
            <w:r w:rsidRPr="00C50FD1">
              <w:rPr>
                <w:rFonts w:cs="Tahoma"/>
                <w:szCs w:val="18"/>
                <w:vertAlign w:val="superscript"/>
                <w:lang w:val="pt-BR"/>
              </w:rPr>
              <w:t>ª</w:t>
            </w:r>
            <w:r w:rsidRPr="00C50FD1">
              <w:rPr>
                <w:rFonts w:cs="Tahoma"/>
                <w:szCs w:val="18"/>
                <w:lang w:val="pt-BR"/>
              </w:rPr>
              <w:t xml:space="preserve"> resposta em 2 horas ou menos</w:t>
            </w:r>
          </w:p>
          <w:p w:rsidR="00596386" w:rsidRPr="00C50FD1" w:rsidRDefault="00596386" w:rsidP="00647923">
            <w:pPr>
              <w:spacing w:after="60" w:line="240" w:lineRule="atLeast"/>
              <w:rPr>
                <w:rFonts w:cs="Tahoma"/>
                <w:szCs w:val="18"/>
                <w:lang w:val="pt-BR"/>
              </w:rPr>
            </w:pPr>
          </w:p>
        </w:tc>
      </w:tr>
      <w:tr w:rsidR="00596386" w:rsidRPr="00C50FD1" w:rsidTr="00F3299C">
        <w:tc>
          <w:tcPr>
            <w:tcW w:w="1347" w:type="dxa"/>
          </w:tcPr>
          <w:p w:rsidR="00596386" w:rsidRPr="00170677" w:rsidRDefault="00596386" w:rsidP="00647923">
            <w:pPr>
              <w:spacing w:after="60" w:line="240" w:lineRule="atLeast"/>
              <w:jc w:val="center"/>
              <w:rPr>
                <w:rFonts w:cs="Tahoma"/>
                <w:szCs w:val="18"/>
              </w:rPr>
            </w:pPr>
            <w:r w:rsidRPr="00170677">
              <w:rPr>
                <w:rFonts w:cs="Tahoma"/>
                <w:szCs w:val="18"/>
              </w:rPr>
              <w:t>C</w:t>
            </w:r>
          </w:p>
        </w:tc>
        <w:tc>
          <w:tcPr>
            <w:tcW w:w="1983" w:type="dxa"/>
          </w:tcPr>
          <w:p w:rsidR="00596386" w:rsidRPr="00170677" w:rsidRDefault="00596386" w:rsidP="005723AA">
            <w:pPr>
              <w:spacing w:after="60" w:line="240" w:lineRule="atLeast"/>
              <w:jc w:val="center"/>
              <w:rPr>
                <w:rFonts w:cs="Tahoma"/>
                <w:szCs w:val="18"/>
              </w:rPr>
            </w:pPr>
            <w:r w:rsidRPr="00170677">
              <w:rPr>
                <w:rFonts w:cs="Tahoma"/>
                <w:szCs w:val="18"/>
              </w:rPr>
              <w:t>Solicitação pela Web</w:t>
            </w:r>
          </w:p>
        </w:tc>
        <w:tc>
          <w:tcPr>
            <w:tcW w:w="3240" w:type="dxa"/>
          </w:tcPr>
          <w:p w:rsidR="00596386" w:rsidRPr="00C50FD1" w:rsidRDefault="00596386" w:rsidP="005723AA">
            <w:pPr>
              <w:spacing w:after="60" w:line="240" w:lineRule="atLeast"/>
              <w:rPr>
                <w:rFonts w:cs="Tahoma"/>
                <w:lang w:val="pt-BR"/>
              </w:rPr>
            </w:pPr>
            <w:r w:rsidRPr="00C50FD1">
              <w:rPr>
                <w:rFonts w:cs="Tahoma"/>
                <w:szCs w:val="18"/>
                <w:lang w:val="pt-BR"/>
              </w:rPr>
              <w:t>Impacto mínimo nos negócios:</w:t>
            </w:r>
          </w:p>
          <w:p w:rsidR="00596386" w:rsidRPr="00C50FD1" w:rsidRDefault="00596386" w:rsidP="00647923">
            <w:pPr>
              <w:rPr>
                <w:rFonts w:cs="Tahoma"/>
                <w:lang w:val="pt-BR"/>
              </w:rPr>
            </w:pPr>
            <w:r w:rsidRPr="00C50FD1">
              <w:rPr>
                <w:rFonts w:cs="Tahoma"/>
                <w:szCs w:val="18"/>
                <w:lang w:val="pt-BR"/>
              </w:rPr>
              <w:t>Funcionamento de forma substancial, com poucos ou nenhum impedimento dos serviços</w:t>
            </w:r>
          </w:p>
          <w:p w:rsidR="00596386" w:rsidRPr="00C50FD1" w:rsidRDefault="00596386" w:rsidP="00647923">
            <w:pPr>
              <w:spacing w:after="60" w:line="240" w:lineRule="atLeast"/>
              <w:rPr>
                <w:rFonts w:cs="Tahoma"/>
                <w:szCs w:val="18"/>
                <w:lang w:val="pt-BR"/>
              </w:rPr>
            </w:pPr>
            <w:r w:rsidRPr="00C50FD1">
              <w:rPr>
                <w:rFonts w:cs="Tahoma"/>
                <w:szCs w:val="18"/>
                <w:lang w:val="pt-BR"/>
              </w:rPr>
              <w:t>Necessita de atenção em 4 horas</w:t>
            </w:r>
          </w:p>
        </w:tc>
        <w:tc>
          <w:tcPr>
            <w:tcW w:w="2970" w:type="dxa"/>
          </w:tcPr>
          <w:p w:rsidR="00596386" w:rsidRPr="00C50FD1" w:rsidRDefault="00596386" w:rsidP="005723AA">
            <w:pPr>
              <w:spacing w:line="240" w:lineRule="atLeast"/>
              <w:rPr>
                <w:rFonts w:cs="Tahoma"/>
                <w:lang w:val="pt-BR"/>
              </w:rPr>
            </w:pPr>
            <w:r w:rsidRPr="00C50FD1">
              <w:rPr>
                <w:rFonts w:cs="Tahoma"/>
                <w:szCs w:val="18"/>
                <w:lang w:val="pt-BR"/>
              </w:rPr>
              <w:t>1</w:t>
            </w:r>
            <w:r w:rsidRPr="00C50FD1">
              <w:rPr>
                <w:rFonts w:cs="Tahoma"/>
                <w:szCs w:val="18"/>
                <w:vertAlign w:val="superscript"/>
                <w:lang w:val="pt-BR"/>
              </w:rPr>
              <w:t>ª</w:t>
            </w:r>
            <w:r w:rsidRPr="00C50FD1">
              <w:rPr>
                <w:rFonts w:cs="Tahoma"/>
                <w:szCs w:val="18"/>
                <w:lang w:val="pt-BR"/>
              </w:rPr>
              <w:t xml:space="preserve"> resposta em 4 horas ou menos</w:t>
            </w:r>
          </w:p>
          <w:p w:rsidR="00596386" w:rsidRPr="00C50FD1" w:rsidRDefault="00596386" w:rsidP="00647923">
            <w:pPr>
              <w:spacing w:line="240" w:lineRule="atLeast"/>
              <w:rPr>
                <w:rFonts w:cs="Tahoma"/>
                <w:szCs w:val="18"/>
                <w:lang w:val="pt-BR"/>
              </w:rPr>
            </w:pPr>
          </w:p>
        </w:tc>
      </w:tr>
    </w:tbl>
    <w:p w:rsidR="00596386" w:rsidRPr="00C50FD1" w:rsidRDefault="00596386" w:rsidP="00F3299C">
      <w:pPr>
        <w:spacing w:line="180" w:lineRule="exact"/>
        <w:rPr>
          <w:szCs w:val="18"/>
          <w:lang w:val="pt-BR"/>
        </w:rPr>
      </w:pPr>
    </w:p>
    <w:p w:rsidR="000D747C" w:rsidRPr="00C50FD1" w:rsidRDefault="000D747C" w:rsidP="000D747C">
      <w:pPr>
        <w:rPr>
          <w:lang w:val="pt-BR"/>
        </w:rPr>
      </w:pPr>
      <w:r w:rsidRPr="00C50FD1">
        <w:rPr>
          <w:rFonts w:cs="Arial"/>
          <w:snapToGrid w:val="0"/>
          <w:color w:val="000000"/>
          <w:szCs w:val="18"/>
          <w:lang w:val="pt-BR"/>
        </w:rPr>
        <w:t>Os clientes podem optar por receber um retorno de chamada da Microsoft.</w:t>
      </w:r>
      <w:r w:rsidR="005A52A2" w:rsidRPr="00C50FD1">
        <w:rPr>
          <w:rFonts w:cs="Arial"/>
          <w:snapToGrid w:val="0"/>
          <w:color w:val="000000"/>
          <w:szCs w:val="18"/>
          <w:lang w:val="pt-BR"/>
        </w:rPr>
        <w:t xml:space="preserve"> </w:t>
      </w:r>
      <w:r w:rsidRPr="00C50FD1">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p>
    <w:p w:rsidR="001C1727" w:rsidRPr="00C50FD1" w:rsidRDefault="001C1727" w:rsidP="00F3299C">
      <w:pPr>
        <w:spacing w:line="180" w:lineRule="exact"/>
        <w:rPr>
          <w:lang w:val="pt-BR"/>
        </w:rPr>
      </w:pPr>
    </w:p>
    <w:p w:rsidR="00DC0853" w:rsidRPr="00C50FD1" w:rsidRDefault="00596386" w:rsidP="00DC0853">
      <w:pPr>
        <w:tabs>
          <w:tab w:val="left" w:pos="360"/>
        </w:tabs>
        <w:spacing w:after="60"/>
        <w:jc w:val="both"/>
        <w:rPr>
          <w:lang w:val="pt-BR"/>
        </w:rPr>
      </w:pPr>
      <w:r w:rsidRPr="00C50FD1">
        <w:rPr>
          <w:rFonts w:cs="Arial"/>
          <w:b/>
          <w:color w:val="000000"/>
          <w:szCs w:val="18"/>
          <w:lang w:val="pt-BR"/>
        </w:rPr>
        <w:t>Serviços Adicionais de Escalonamento</w:t>
      </w:r>
    </w:p>
    <w:p w:rsidR="00596386" w:rsidRPr="00C50FD1" w:rsidRDefault="00596386" w:rsidP="00596386">
      <w:pPr>
        <w:tabs>
          <w:tab w:val="left" w:pos="360"/>
        </w:tabs>
        <w:jc w:val="both"/>
        <w:rPr>
          <w:lang w:val="pt-BR"/>
        </w:rPr>
      </w:pPr>
      <w:r w:rsidRPr="00C50FD1">
        <w:rPr>
          <w:rFonts w:cs="Arial"/>
          <w:color w:val="000000"/>
          <w:szCs w:val="18"/>
          <w:lang w:val="pt-BR"/>
        </w:rPr>
        <w:t>Além dos</w:t>
      </w:r>
      <w:r w:rsidRPr="00C50FD1">
        <w:rPr>
          <w:rFonts w:cs="Arial"/>
          <w:snapToGrid w:val="0"/>
          <w:szCs w:val="18"/>
          <w:lang w:val="pt-BR"/>
        </w:rPr>
        <w:t xml:space="preserve"> Serviços descritos acima, os clientes com Suporte Profissional Direto para Windows Azure recebem </w:t>
      </w:r>
      <w:r w:rsidRPr="00C50FD1">
        <w:rPr>
          <w:rFonts w:cs="Arial"/>
          <w:snapToGrid w:val="0"/>
          <w:color w:val="000000"/>
          <w:szCs w:val="18"/>
          <w:lang w:val="pt-BR"/>
        </w:rPr>
        <w:t>ajuda na coordenação do suporte e relacionamento de serviços para Windows Azure.</w:t>
      </w:r>
      <w:r w:rsidR="005A52A2" w:rsidRPr="00C50FD1">
        <w:rPr>
          <w:rFonts w:cs="Arial"/>
          <w:snapToGrid w:val="0"/>
          <w:color w:val="000000"/>
          <w:szCs w:val="18"/>
          <w:lang w:val="pt-BR"/>
        </w:rPr>
        <w:t xml:space="preserve"> </w:t>
      </w:r>
      <w:r w:rsidRPr="00C50FD1">
        <w:rPr>
          <w:rFonts w:cs="Arial"/>
          <w:snapToGrid w:val="0"/>
          <w:color w:val="000000"/>
          <w:szCs w:val="18"/>
          <w:lang w:val="pt-BR"/>
        </w:rPr>
        <w:t>Esses serviços são fornecidos pelo pessoal de serviços (“Representantes de Escalonamento”).</w:t>
      </w:r>
      <w:r w:rsidR="005A52A2" w:rsidRPr="00C50FD1">
        <w:rPr>
          <w:rFonts w:cs="Arial"/>
          <w:snapToGrid w:val="0"/>
          <w:color w:val="000000"/>
          <w:szCs w:val="18"/>
          <w:lang w:val="pt-BR"/>
        </w:rPr>
        <w:t xml:space="preserve"> </w:t>
      </w:r>
      <w:r w:rsidRPr="00C50FD1">
        <w:rPr>
          <w:rFonts w:cs="Arial"/>
          <w:snapToGrid w:val="0"/>
          <w:color w:val="000000"/>
          <w:szCs w:val="18"/>
          <w:lang w:val="pt-BR"/>
        </w:rPr>
        <w:t xml:space="preserve">Os Representantes de Escalonamento são </w:t>
      </w:r>
      <w:r w:rsidRPr="00C50FD1">
        <w:rPr>
          <w:rFonts w:cs="Arial"/>
          <w:szCs w:val="18"/>
          <w:lang w:val="pt-BR"/>
        </w:rPr>
        <w:t>advogados do cliente</w:t>
      </w:r>
      <w:r w:rsidRPr="00C50FD1">
        <w:rPr>
          <w:rFonts w:cs="Arial"/>
          <w:snapToGrid w:val="0"/>
          <w:color w:val="000000"/>
          <w:szCs w:val="18"/>
          <w:lang w:val="pt-BR"/>
        </w:rPr>
        <w:t xml:space="preserve"> na Microsoft e facilitam a coordenação com as equipes que podem fornecer o suporte técnico disponível para os Serviços Online.</w:t>
      </w:r>
      <w:r w:rsidR="005A52A2" w:rsidRPr="00C50FD1">
        <w:rPr>
          <w:rFonts w:cs="Arial"/>
          <w:snapToGrid w:val="0"/>
          <w:color w:val="000000"/>
          <w:szCs w:val="18"/>
          <w:lang w:val="pt-BR"/>
        </w:rPr>
        <w:t xml:space="preserve"> </w:t>
      </w:r>
      <w:r w:rsidRPr="00C50FD1">
        <w:rPr>
          <w:rFonts w:cs="Arial"/>
          <w:snapToGrid w:val="0"/>
          <w:color w:val="000000"/>
          <w:szCs w:val="18"/>
          <w:lang w:val="pt-BR"/>
        </w:rPr>
        <w:t xml:space="preserve">Os Representantes de Escalonamento também atuam como o ponto de fornecimento de informações e encaminham o </w:t>
      </w:r>
      <w:r w:rsidRPr="00C50FD1">
        <w:rPr>
          <w:rFonts w:cs="Arial"/>
          <w:szCs w:val="18"/>
          <w:lang w:val="pt-BR"/>
        </w:rPr>
        <w:t>feedback</w:t>
      </w:r>
      <w:r w:rsidRPr="00C50FD1">
        <w:rPr>
          <w:rFonts w:cs="Arial"/>
          <w:snapToGrid w:val="0"/>
          <w:color w:val="000000"/>
          <w:szCs w:val="18"/>
          <w:lang w:val="pt-BR"/>
        </w:rPr>
        <w:t xml:space="preserve"> do cliente sobre os Serviços aos outros grupos da Microsoft.</w:t>
      </w:r>
      <w:r w:rsidR="005A52A2" w:rsidRPr="00C50FD1">
        <w:rPr>
          <w:rFonts w:cs="Arial"/>
          <w:snapToGrid w:val="0"/>
          <w:color w:val="000000"/>
          <w:szCs w:val="18"/>
          <w:lang w:val="pt-BR"/>
        </w:rPr>
        <w:t xml:space="preserve"> </w:t>
      </w:r>
      <w:r w:rsidRPr="00C50FD1">
        <w:rPr>
          <w:rFonts w:cs="Arial"/>
          <w:snapToGrid w:val="0"/>
          <w:color w:val="000000"/>
          <w:szCs w:val="18"/>
          <w:lang w:val="pt-BR"/>
        </w:rPr>
        <w:t>Os Representantes de Escalonamento podem ainda prestar os Serviços adicionais a seguir:</w:t>
      </w:r>
    </w:p>
    <w:p w:rsidR="00596386" w:rsidRPr="00C50FD1" w:rsidRDefault="00596386" w:rsidP="00F3299C">
      <w:pPr>
        <w:tabs>
          <w:tab w:val="left" w:pos="360"/>
        </w:tabs>
        <w:spacing w:line="180" w:lineRule="exact"/>
        <w:rPr>
          <w:lang w:val="pt-BR"/>
        </w:rPr>
      </w:pPr>
    </w:p>
    <w:p w:rsidR="00596386" w:rsidRPr="00C50FD1" w:rsidRDefault="00596386" w:rsidP="002C1048">
      <w:pPr>
        <w:numPr>
          <w:ilvl w:val="0"/>
          <w:numId w:val="138"/>
        </w:numPr>
        <w:tabs>
          <w:tab w:val="clear" w:pos="720"/>
        </w:tabs>
        <w:spacing w:after="60"/>
        <w:ind w:left="1440"/>
        <w:jc w:val="both"/>
        <w:rPr>
          <w:lang w:val="pt-BR"/>
        </w:rPr>
      </w:pPr>
      <w:r w:rsidRPr="00C50FD1">
        <w:rPr>
          <w:rFonts w:cs="Tahoma"/>
          <w:b/>
          <w:color w:val="000000"/>
          <w:szCs w:val="18"/>
          <w:lang w:val="pt-BR"/>
        </w:rPr>
        <w:t>Planejamento e Facilitação de Recursos.</w:t>
      </w:r>
      <w:r w:rsidRPr="00C50FD1">
        <w:rPr>
          <w:rFonts w:cs="Arial"/>
          <w:szCs w:val="18"/>
          <w:lang w:val="pt-BR"/>
        </w:rPr>
        <w:t xml:space="preserve"> No início do presente Contrato, A Microsoft oferece uma sessão de orientação para gerenciamento de clientes e equipe por teleconferência.</w:t>
      </w:r>
      <w:r w:rsidR="005A52A2" w:rsidRPr="00C50FD1">
        <w:rPr>
          <w:rFonts w:cs="Arial"/>
          <w:szCs w:val="18"/>
          <w:lang w:val="pt-BR"/>
        </w:rPr>
        <w:t xml:space="preserve"> </w:t>
      </w:r>
      <w:r w:rsidRPr="00C50FD1">
        <w:rPr>
          <w:rFonts w:cs="Arial"/>
          <w:szCs w:val="18"/>
          <w:lang w:val="pt-BR"/>
        </w:rPr>
        <w:t>O objetivo dessa reunião é discutir os Serviços de suporte disponíveis e responder a quaisquer dúvidas de forma que o cliente possa planejar o uso dos Serviços.</w:t>
      </w:r>
    </w:p>
    <w:p w:rsidR="00596386" w:rsidRPr="00C50FD1" w:rsidRDefault="00596386" w:rsidP="002C1048">
      <w:pPr>
        <w:numPr>
          <w:ilvl w:val="0"/>
          <w:numId w:val="138"/>
        </w:numPr>
        <w:tabs>
          <w:tab w:val="clear" w:pos="720"/>
        </w:tabs>
        <w:spacing w:after="60"/>
        <w:ind w:left="1440"/>
        <w:jc w:val="both"/>
        <w:rPr>
          <w:lang w:val="pt-BR"/>
        </w:rPr>
      </w:pPr>
      <w:r w:rsidRPr="00C50FD1">
        <w:rPr>
          <w:rFonts w:cs="Tahoma"/>
          <w:b/>
          <w:color w:val="000000"/>
          <w:szCs w:val="18"/>
          <w:lang w:val="pt-BR"/>
        </w:rPr>
        <w:t>Gerenciamento de Escalonamento.</w:t>
      </w:r>
      <w:r w:rsidRPr="00C50FD1">
        <w:rPr>
          <w:rFonts w:cs="Arial"/>
          <w:szCs w:val="18"/>
          <w:lang w:val="pt-BR"/>
        </w:rPr>
        <w:t xml:space="preserve"> Um</w:t>
      </w:r>
      <w:r w:rsidRPr="00C50FD1">
        <w:rPr>
          <w:rFonts w:cs="Arial"/>
          <w:snapToGrid w:val="0"/>
          <w:szCs w:val="18"/>
          <w:lang w:val="pt-BR"/>
        </w:rPr>
        <w:t xml:space="preserve"> Representante de Escalonamento fornecerá ao cliente os serviços de gerenciamento de escalonamento de suporte técnico para Windows Azure.</w:t>
      </w:r>
    </w:p>
    <w:p w:rsidR="00596386" w:rsidRPr="00C50FD1" w:rsidRDefault="00596386" w:rsidP="00F3299C">
      <w:pPr>
        <w:tabs>
          <w:tab w:val="left" w:pos="360"/>
        </w:tabs>
        <w:spacing w:line="180" w:lineRule="exact"/>
        <w:rPr>
          <w:lang w:val="pt-BR"/>
        </w:rPr>
      </w:pPr>
    </w:p>
    <w:p w:rsidR="00596386" w:rsidRPr="00C50FD1" w:rsidRDefault="00596386" w:rsidP="00E03856">
      <w:pPr>
        <w:pStyle w:val="normal1"/>
        <w:jc w:val="both"/>
        <w:rPr>
          <w:lang w:val="pt-BR"/>
        </w:rPr>
      </w:pPr>
      <w:r w:rsidRPr="00C50FD1">
        <w:rPr>
          <w:color w:val="000000"/>
          <w:sz w:val="18"/>
          <w:szCs w:val="18"/>
          <w:lang w:val="pt-BR"/>
        </w:rPr>
        <w:t>Os Serviços de Escalonamento são fornecidos nos mercados disponíveis apenas,</w:t>
      </w:r>
      <w:r w:rsidRPr="00C50FD1">
        <w:rPr>
          <w:color w:val="FF3399"/>
          <w:sz w:val="18"/>
          <w:szCs w:val="18"/>
          <w:lang w:val="pt-BR"/>
        </w:rPr>
        <w:t xml:space="preserve"> </w:t>
      </w:r>
      <w:r w:rsidRPr="00C50FD1">
        <w:rPr>
          <w:sz w:val="18"/>
          <w:szCs w:val="18"/>
          <w:lang w:val="pt-BR"/>
        </w:rPr>
        <w:t>de segunda a sexta-feira, com exceção de finais de semana e feriados.</w:t>
      </w:r>
      <w:r w:rsidRPr="00C50FD1">
        <w:rPr>
          <w:color w:val="000000"/>
          <w:sz w:val="18"/>
          <w:szCs w:val="18"/>
          <w:u w:val="single"/>
          <w:lang w:val="pt-BR"/>
        </w:rPr>
        <w:t xml:space="preserve"> </w:t>
      </w:r>
    </w:p>
    <w:p w:rsidR="00596386" w:rsidRPr="00C50FD1" w:rsidRDefault="00596386" w:rsidP="00F3299C">
      <w:pPr>
        <w:pStyle w:val="normal1"/>
        <w:spacing w:line="180" w:lineRule="exact"/>
        <w:rPr>
          <w:rFonts w:ascii="Tahoma" w:hAnsi="Tahoma" w:cs="Tahoma"/>
          <w:sz w:val="18"/>
          <w:szCs w:val="18"/>
          <w:lang w:val="pt-BR"/>
        </w:rPr>
      </w:pPr>
    </w:p>
    <w:p w:rsidR="00DC0853" w:rsidRPr="00C50FD1" w:rsidRDefault="00596386" w:rsidP="00DC0853">
      <w:pPr>
        <w:tabs>
          <w:tab w:val="left" w:pos="360"/>
        </w:tabs>
        <w:spacing w:after="60"/>
        <w:jc w:val="both"/>
        <w:rPr>
          <w:lang w:val="pt-BR"/>
        </w:rPr>
      </w:pPr>
      <w:r w:rsidRPr="00C50FD1">
        <w:rPr>
          <w:rFonts w:cs="Arial"/>
          <w:b/>
          <w:szCs w:val="18"/>
          <w:lang w:val="pt-BR"/>
        </w:rPr>
        <w:t>Outros Serviços de Informações e Benefícios</w:t>
      </w:r>
    </w:p>
    <w:p w:rsidR="00596386" w:rsidRPr="00653421" w:rsidRDefault="00596386" w:rsidP="00596386">
      <w:pPr>
        <w:tabs>
          <w:tab w:val="left" w:pos="360"/>
        </w:tabs>
        <w:jc w:val="both"/>
      </w:pPr>
      <w:r w:rsidRPr="00C50FD1">
        <w:rPr>
          <w:rFonts w:cs="Arial"/>
          <w:szCs w:val="18"/>
          <w:lang w:val="pt-BR"/>
        </w:rPr>
        <w:t>Os Serviços de Informações fornecem informações técnicas sobre o Windows Azure e ferramentas de suporte que ajudam os clientes a implementar e operar o Windows Azure de maneira mais eficaz e eficiente.</w:t>
      </w:r>
      <w:r w:rsidR="005A52A2" w:rsidRPr="00C50FD1">
        <w:rPr>
          <w:rFonts w:cs="Arial"/>
          <w:szCs w:val="18"/>
          <w:lang w:val="pt-BR"/>
        </w:rPr>
        <w:t xml:space="preserve"> </w:t>
      </w:r>
      <w:r w:rsidRPr="00653421">
        <w:rPr>
          <w:rFonts w:cs="Arial"/>
          <w:szCs w:val="18"/>
        </w:rPr>
        <w:t>Os Serviços de Informações incluem o seguinte:</w:t>
      </w:r>
    </w:p>
    <w:p w:rsidR="00596386" w:rsidRPr="00653421" w:rsidRDefault="00596386" w:rsidP="00F3299C">
      <w:pPr>
        <w:tabs>
          <w:tab w:val="left" w:pos="360"/>
        </w:tabs>
        <w:spacing w:line="180" w:lineRule="exact"/>
      </w:pPr>
    </w:p>
    <w:p w:rsidR="00596386" w:rsidRPr="00C50FD1" w:rsidRDefault="00596386" w:rsidP="002C1048">
      <w:pPr>
        <w:pStyle w:val="ListParagraph"/>
        <w:numPr>
          <w:ilvl w:val="0"/>
          <w:numId w:val="139"/>
        </w:numPr>
        <w:tabs>
          <w:tab w:val="left" w:pos="360"/>
        </w:tabs>
        <w:spacing w:after="60"/>
        <w:ind w:left="1440"/>
        <w:contextualSpacing w:val="0"/>
        <w:jc w:val="both"/>
        <w:rPr>
          <w:lang w:val="pt-BR"/>
        </w:rPr>
      </w:pPr>
      <w:r w:rsidRPr="00C50FD1">
        <w:rPr>
          <w:rFonts w:ascii="Tahoma" w:hAnsi="Tahoma" w:cs="Tahoma"/>
          <w:b/>
          <w:color w:val="000000"/>
          <w:sz w:val="18"/>
          <w:szCs w:val="18"/>
          <w:lang w:val="pt-BR"/>
        </w:rPr>
        <w:t xml:space="preserve">Suporte Profissional Direto para conteúdo exclusivo do Windows Azure. </w:t>
      </w:r>
      <w:r w:rsidRPr="00C50FD1">
        <w:rPr>
          <w:rFonts w:ascii="Tahoma" w:hAnsi="Tahoma" w:cs="Arial"/>
          <w:snapToGrid w:val="0"/>
          <w:sz w:val="18"/>
          <w:szCs w:val="18"/>
          <w:lang w:val="pt-BR"/>
        </w:rPr>
        <w:t>Aos clientes será concedido acesso ao conteúdo exclusivo do Windows Azure, incluindo, mas não se limitando, publicações online relacionadas aos guias de práticas recomendadas de implantação e arquiteturais, conteúdo de treinamento arquivado, notificações de Webinars futuros e outras informações gerais sobre o Windows Azure.</w:t>
      </w:r>
    </w:p>
    <w:p w:rsidR="00596386" w:rsidRPr="00C50FD1" w:rsidRDefault="00596386" w:rsidP="002C1048">
      <w:pPr>
        <w:numPr>
          <w:ilvl w:val="0"/>
          <w:numId w:val="139"/>
        </w:numPr>
        <w:tabs>
          <w:tab w:val="left" w:pos="360"/>
        </w:tabs>
        <w:spacing w:after="60"/>
        <w:ind w:left="1440"/>
        <w:jc w:val="both"/>
        <w:rPr>
          <w:lang w:val="pt-BR"/>
        </w:rPr>
      </w:pPr>
      <w:r w:rsidRPr="00C50FD1">
        <w:rPr>
          <w:rFonts w:cs="Tahoma"/>
          <w:b/>
          <w:color w:val="000000"/>
          <w:szCs w:val="18"/>
          <w:lang w:val="pt-BR"/>
        </w:rPr>
        <w:t>Webinars.</w:t>
      </w:r>
      <w:r w:rsidRPr="00C50FD1">
        <w:rPr>
          <w:rFonts w:cs="Arial"/>
          <w:szCs w:val="18"/>
          <w:lang w:val="pt-BR"/>
        </w:rPr>
        <w:t xml:space="preserve"> Webinars são discussões programadas regularmente conduzidas por profissionais da Microsoft, abrangendo áreas principais dos Serviços Online da Microsoft. Os Webinars incluem, sem se limitar, o “Guia de Introdução” ao Windows Azure, REsumo dos Novos Recursos e Perguntas e</w:t>
      </w:r>
      <w:r w:rsidR="00F3299C" w:rsidRPr="00C50FD1">
        <w:rPr>
          <w:rFonts w:cs="Arial"/>
          <w:szCs w:val="18"/>
          <w:lang w:val="pt-BR"/>
        </w:rPr>
        <w:t> </w:t>
      </w:r>
      <w:r w:rsidRPr="00C50FD1">
        <w:rPr>
          <w:rFonts w:cs="Arial"/>
          <w:szCs w:val="18"/>
          <w:lang w:val="pt-BR"/>
        </w:rPr>
        <w:t xml:space="preserve">Respostas “Pergunte aos Especialistas”. </w:t>
      </w:r>
    </w:p>
    <w:p w:rsidR="00596386" w:rsidRPr="00C50FD1" w:rsidRDefault="00596386" w:rsidP="002C1048">
      <w:pPr>
        <w:numPr>
          <w:ilvl w:val="0"/>
          <w:numId w:val="139"/>
        </w:numPr>
        <w:tabs>
          <w:tab w:val="left" w:pos="360"/>
        </w:tabs>
        <w:spacing w:after="60"/>
        <w:ind w:left="1440"/>
        <w:jc w:val="both"/>
        <w:rPr>
          <w:lang w:val="pt-BR"/>
        </w:rPr>
      </w:pPr>
      <w:r w:rsidRPr="00C50FD1">
        <w:rPr>
          <w:rFonts w:cs="Tahoma"/>
          <w:b/>
          <w:color w:val="000000"/>
          <w:szCs w:val="18"/>
          <w:lang w:val="pt-BR"/>
        </w:rPr>
        <w:t>Serviços Adicionais de Consultoria executados por Representantes de Escalonamento.</w:t>
      </w:r>
    </w:p>
    <w:p w:rsidR="00596386" w:rsidRPr="00C50FD1" w:rsidRDefault="00596386" w:rsidP="002C1048">
      <w:pPr>
        <w:numPr>
          <w:ilvl w:val="1"/>
          <w:numId w:val="121"/>
        </w:numPr>
        <w:tabs>
          <w:tab w:val="left" w:pos="360"/>
        </w:tabs>
        <w:spacing w:after="60"/>
        <w:ind w:left="1980"/>
        <w:jc w:val="both"/>
        <w:rPr>
          <w:lang w:val="pt-BR"/>
        </w:rPr>
      </w:pPr>
      <w:r w:rsidRPr="00C50FD1">
        <w:rPr>
          <w:rFonts w:cs="Arial"/>
          <w:snapToGrid w:val="0"/>
          <w:szCs w:val="18"/>
          <w:lang w:val="pt-BR"/>
        </w:rPr>
        <w:lastRenderedPageBreak/>
        <w:t>Refere-se aos principais recursos online.</w:t>
      </w:r>
      <w:r w:rsidR="005A52A2" w:rsidRPr="00C50FD1">
        <w:rPr>
          <w:rFonts w:cs="Arial"/>
          <w:snapToGrid w:val="0"/>
          <w:szCs w:val="18"/>
          <w:lang w:val="pt-BR"/>
        </w:rPr>
        <w:t xml:space="preserve"> </w:t>
      </w:r>
      <w:r w:rsidRPr="00C50FD1">
        <w:rPr>
          <w:rFonts w:cs="Arial"/>
          <w:snapToGrid w:val="0"/>
          <w:szCs w:val="18"/>
          <w:lang w:val="pt-BR"/>
        </w:rPr>
        <w:t>Um Representante de Escalonamento fornecerá aos clientes recomendações, inclusive instruções sobre como acessar recursos de autoatendimento para ajudar a solucionar as dúvidas sobre recursos e serviços comuns do Windows Azure.</w:t>
      </w:r>
    </w:p>
    <w:p w:rsidR="00596386" w:rsidRPr="00C50FD1" w:rsidRDefault="00596386" w:rsidP="002C1048">
      <w:pPr>
        <w:numPr>
          <w:ilvl w:val="1"/>
          <w:numId w:val="121"/>
        </w:numPr>
        <w:spacing w:after="60"/>
        <w:ind w:left="1980"/>
        <w:jc w:val="both"/>
        <w:rPr>
          <w:lang w:val="pt-BR"/>
        </w:rPr>
      </w:pPr>
      <w:r w:rsidRPr="00C50FD1">
        <w:rPr>
          <w:rFonts w:cs="Arial"/>
          <w:snapToGrid w:val="0"/>
          <w:szCs w:val="18"/>
          <w:lang w:val="pt-BR"/>
        </w:rPr>
        <w:t>Tendência básica de incidentes.</w:t>
      </w:r>
      <w:r w:rsidR="005A52A2" w:rsidRPr="00C50FD1">
        <w:rPr>
          <w:rFonts w:cs="Arial"/>
          <w:snapToGrid w:val="0"/>
          <w:szCs w:val="18"/>
          <w:lang w:val="pt-BR"/>
        </w:rPr>
        <w:t xml:space="preserve"> </w:t>
      </w:r>
      <w:r w:rsidRPr="00C50FD1">
        <w:rPr>
          <w:rFonts w:cs="Arial"/>
          <w:snapToGrid w:val="0"/>
          <w:szCs w:val="18"/>
          <w:lang w:val="pt-BR"/>
        </w:rPr>
        <w:t>Um Representante de Escalonamento ajudará a detectar e avaliar a causa-raiz de solicitações comuns de suporte enviadas pelos clientes, fornecendo sugestões sobre como minimizar tais problemas de suporte no futuro.</w:t>
      </w:r>
    </w:p>
    <w:p w:rsidR="00596386" w:rsidRPr="00C50FD1" w:rsidRDefault="00596386" w:rsidP="006D6A83">
      <w:pPr>
        <w:pStyle w:val="ListParagraph"/>
        <w:numPr>
          <w:ilvl w:val="1"/>
          <w:numId w:val="121"/>
        </w:numPr>
        <w:tabs>
          <w:tab w:val="left" w:pos="360"/>
        </w:tabs>
        <w:contextualSpacing w:val="0"/>
        <w:jc w:val="both"/>
        <w:rPr>
          <w:lang w:val="pt-BR"/>
        </w:rPr>
      </w:pPr>
      <w:r w:rsidRPr="00C50FD1">
        <w:rPr>
          <w:rFonts w:ascii="Tahoma" w:hAnsi="Tahoma" w:cs="Tahoma"/>
          <w:b/>
          <w:color w:val="000000"/>
          <w:sz w:val="18"/>
          <w:szCs w:val="18"/>
          <w:lang w:val="pt-BR"/>
        </w:rPr>
        <w:t xml:space="preserve">Relatórios de Otimização do Windows Azure. </w:t>
      </w:r>
      <w:r w:rsidRPr="00C50FD1">
        <w:rPr>
          <w:rFonts w:ascii="Tahoma" w:hAnsi="Tahoma" w:cs="Arial"/>
          <w:sz w:val="18"/>
          <w:szCs w:val="18"/>
          <w:lang w:val="pt-BR"/>
        </w:rPr>
        <w:t>Um Representante de Escalonamento fornecerá relatórios regulares para ajudar a identificar riscos de segurança em potencial</w:t>
      </w:r>
      <w:r w:rsidR="005A52A2" w:rsidRPr="00C50FD1">
        <w:rPr>
          <w:rFonts w:cs="Arial"/>
          <w:szCs w:val="18"/>
          <w:lang w:val="pt-BR"/>
        </w:rPr>
        <w:t xml:space="preserve"> </w:t>
      </w:r>
      <w:r w:rsidRPr="00C50FD1">
        <w:rPr>
          <w:rFonts w:ascii="Tahoma" w:hAnsi="Tahoma" w:cs="Arial"/>
          <w:sz w:val="18"/>
          <w:szCs w:val="18"/>
          <w:lang w:val="pt-BR"/>
        </w:rPr>
        <w:t>e oportunidades de</w:t>
      </w:r>
      <w:r w:rsidR="00EA20DF" w:rsidRPr="00C50FD1">
        <w:rPr>
          <w:rFonts w:ascii="Tahoma" w:hAnsi="Tahoma" w:cs="Arial"/>
          <w:sz w:val="18"/>
          <w:szCs w:val="18"/>
          <w:lang w:val="pt-BR"/>
        </w:rPr>
        <w:t> </w:t>
      </w:r>
      <w:r w:rsidRPr="00C50FD1">
        <w:rPr>
          <w:rFonts w:ascii="Tahoma" w:hAnsi="Tahoma" w:cs="Arial"/>
          <w:sz w:val="18"/>
          <w:szCs w:val="18"/>
          <w:lang w:val="pt-BR"/>
        </w:rPr>
        <w:t>otimização.</w:t>
      </w:r>
      <w:r w:rsidR="005A52A2" w:rsidRPr="00C50FD1">
        <w:rPr>
          <w:rFonts w:ascii="Tahoma" w:hAnsi="Tahoma"/>
          <w:sz w:val="18"/>
          <w:lang w:val="pt-BR"/>
        </w:rPr>
        <w:t xml:space="preserve"> </w:t>
      </w:r>
    </w:p>
    <w:p w:rsidR="00A47BFD" w:rsidRPr="00C50FD1" w:rsidRDefault="00A47BFD" w:rsidP="00596386">
      <w:pPr>
        <w:pStyle w:val="normal1"/>
        <w:jc w:val="both"/>
        <w:rPr>
          <w:lang w:val="pt-BR"/>
        </w:rPr>
      </w:pPr>
    </w:p>
    <w:p w:rsidR="00596386" w:rsidRPr="00C50FD1" w:rsidRDefault="00596386" w:rsidP="00596386">
      <w:pPr>
        <w:tabs>
          <w:tab w:val="left" w:pos="360"/>
        </w:tabs>
        <w:jc w:val="both"/>
        <w:rPr>
          <w:lang w:val="pt-BR"/>
        </w:rPr>
      </w:pPr>
      <w:r w:rsidRPr="00C50FD1">
        <w:rPr>
          <w:rFonts w:cs="Arial"/>
          <w:b/>
          <w:sz w:val="24"/>
          <w:szCs w:val="18"/>
          <w:lang w:val="pt-BR"/>
        </w:rPr>
        <w:t>Suporte Padrão para Windows Azure</w:t>
      </w:r>
    </w:p>
    <w:p w:rsidR="00596386" w:rsidRPr="00C50FD1" w:rsidRDefault="00596386" w:rsidP="00596386">
      <w:pPr>
        <w:tabs>
          <w:tab w:val="left" w:pos="360"/>
        </w:tabs>
        <w:jc w:val="both"/>
        <w:rPr>
          <w:lang w:val="pt-BR"/>
        </w:rPr>
      </w:pPr>
    </w:p>
    <w:p w:rsidR="00596386" w:rsidRPr="00C50FD1" w:rsidRDefault="00A47BFD" w:rsidP="00596386">
      <w:pPr>
        <w:rPr>
          <w:lang w:val="pt-BR"/>
        </w:rPr>
      </w:pPr>
      <w:r w:rsidRPr="00C50FD1">
        <w:rPr>
          <w:rFonts w:cs="Arial"/>
          <w:color w:val="000000"/>
          <w:szCs w:val="18"/>
          <w:lang w:val="pt-BR"/>
        </w:rPr>
        <w:t>Os clientes são responsáveis pela definição do nível inicial de gravidade durante o processo de envio pela Web em alinhamento com o guia de gravidade fornecido a seguir.</w:t>
      </w:r>
      <w:r w:rsidR="005A52A2" w:rsidRPr="00C50FD1">
        <w:rPr>
          <w:rFonts w:cs="Arial"/>
          <w:color w:val="000000"/>
          <w:szCs w:val="18"/>
          <w:lang w:val="pt-BR"/>
        </w:rPr>
        <w:t xml:space="preserve"> </w:t>
      </w:r>
      <w:r w:rsidRPr="00C50FD1">
        <w:rPr>
          <w:rFonts w:cs="Arial"/>
          <w:color w:val="000000"/>
          <w:szCs w:val="18"/>
          <w:lang w:val="pt-BR"/>
        </w:rPr>
        <w:t xml:space="preserve">A Microsoft pode reduzir o nível de gravidade se o cliente não puder fornecer os recursos ou as respostas adequadas para darmos continuidade aos esforços de resolução do problema. </w:t>
      </w:r>
      <w:r w:rsidRPr="00C50FD1">
        <w:rPr>
          <w:rFonts w:cs="Arial"/>
          <w:szCs w:val="18"/>
          <w:lang w:val="pt-BR"/>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rsidR="00596386" w:rsidRPr="00C50FD1" w:rsidRDefault="00596386" w:rsidP="00596386">
      <w:pPr>
        <w:rPr>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170677" w:rsidTr="002A6416">
        <w:tc>
          <w:tcPr>
            <w:tcW w:w="779" w:type="pct"/>
            <w:shd w:val="clear" w:color="auto" w:fill="FABF8F"/>
          </w:tcPr>
          <w:p w:rsidR="00596386" w:rsidRPr="00170677" w:rsidRDefault="00596386" w:rsidP="0037031E">
            <w:pPr>
              <w:jc w:val="center"/>
              <w:rPr>
                <w:rFonts w:cs="Tahoma"/>
                <w:b/>
                <w:bCs/>
                <w:color w:val="000000"/>
                <w:sz w:val="20"/>
                <w:szCs w:val="18"/>
              </w:rPr>
            </w:pPr>
            <w:r w:rsidRPr="00170677">
              <w:rPr>
                <w:rFonts w:cs="Tahoma"/>
                <w:b/>
                <w:bCs/>
                <w:color w:val="000000"/>
                <w:sz w:val="20"/>
                <w:szCs w:val="18"/>
              </w:rPr>
              <w:t>Severidade</w:t>
            </w:r>
          </w:p>
        </w:tc>
        <w:tc>
          <w:tcPr>
            <w:tcW w:w="1022" w:type="pct"/>
            <w:shd w:val="clear" w:color="auto" w:fill="FABF8F"/>
          </w:tcPr>
          <w:p w:rsidR="00596386" w:rsidRPr="00170677" w:rsidRDefault="00596386" w:rsidP="0037031E">
            <w:pPr>
              <w:jc w:val="center"/>
              <w:rPr>
                <w:rFonts w:cs="Tahoma"/>
                <w:b/>
                <w:bCs/>
                <w:color w:val="000000"/>
                <w:sz w:val="20"/>
                <w:szCs w:val="18"/>
              </w:rPr>
            </w:pPr>
            <w:r w:rsidRPr="00170677">
              <w:rPr>
                <w:rFonts w:cs="Tahoma"/>
                <w:b/>
                <w:bCs/>
                <w:color w:val="000000"/>
                <w:sz w:val="20"/>
                <w:szCs w:val="18"/>
              </w:rPr>
              <w:t>Contato</w:t>
            </w:r>
          </w:p>
        </w:tc>
        <w:tc>
          <w:tcPr>
            <w:tcW w:w="1571" w:type="pct"/>
            <w:shd w:val="clear" w:color="auto" w:fill="FABF8F"/>
          </w:tcPr>
          <w:p w:rsidR="00596386" w:rsidRPr="00170677" w:rsidRDefault="00596386" w:rsidP="0037031E">
            <w:pPr>
              <w:jc w:val="center"/>
              <w:rPr>
                <w:rFonts w:cs="Tahoma"/>
                <w:b/>
                <w:bCs/>
                <w:color w:val="000000"/>
                <w:sz w:val="20"/>
                <w:szCs w:val="18"/>
              </w:rPr>
            </w:pPr>
            <w:r w:rsidRPr="00170677">
              <w:rPr>
                <w:rFonts w:cs="Tahoma"/>
                <w:b/>
                <w:bCs/>
                <w:color w:val="000000"/>
                <w:sz w:val="20"/>
                <w:szCs w:val="18"/>
              </w:rPr>
              <w:t>Situação do Cliente</w:t>
            </w:r>
          </w:p>
        </w:tc>
        <w:tc>
          <w:tcPr>
            <w:tcW w:w="1628" w:type="pct"/>
            <w:shd w:val="clear" w:color="auto" w:fill="FABF8F"/>
          </w:tcPr>
          <w:p w:rsidR="00596386" w:rsidRPr="00170677" w:rsidRDefault="00596386" w:rsidP="00F3299C">
            <w:pPr>
              <w:jc w:val="center"/>
              <w:rPr>
                <w:rFonts w:cs="Tahoma"/>
                <w:b/>
                <w:bCs/>
                <w:color w:val="000000"/>
                <w:sz w:val="20"/>
                <w:szCs w:val="18"/>
              </w:rPr>
            </w:pPr>
            <w:r w:rsidRPr="00170677">
              <w:rPr>
                <w:rFonts w:cs="Tahoma"/>
                <w:b/>
                <w:bCs/>
                <w:color w:val="000000"/>
                <w:sz w:val="20"/>
                <w:szCs w:val="18"/>
              </w:rPr>
              <w:t>Resposta Esperada da</w:t>
            </w:r>
            <w:r w:rsidR="00F3299C" w:rsidRPr="00170677">
              <w:rPr>
                <w:rFonts w:cs="Tahoma"/>
                <w:b/>
                <w:bCs/>
                <w:color w:val="000000"/>
                <w:sz w:val="20"/>
                <w:szCs w:val="18"/>
              </w:rPr>
              <w:t> </w:t>
            </w:r>
            <w:r w:rsidRPr="00170677">
              <w:rPr>
                <w:rFonts w:cs="Tahoma"/>
                <w:b/>
                <w:bCs/>
                <w:color w:val="000000"/>
                <w:sz w:val="20"/>
                <w:szCs w:val="18"/>
              </w:rPr>
              <w:t>Microsoft</w:t>
            </w:r>
          </w:p>
        </w:tc>
      </w:tr>
      <w:tr w:rsidR="00596386" w:rsidRPr="00C50FD1" w:rsidTr="002A6416">
        <w:tc>
          <w:tcPr>
            <w:tcW w:w="779" w:type="pct"/>
          </w:tcPr>
          <w:p w:rsidR="00596386" w:rsidRPr="00170677" w:rsidRDefault="00596386" w:rsidP="00647923">
            <w:pPr>
              <w:spacing w:after="60" w:line="240" w:lineRule="atLeast"/>
              <w:jc w:val="center"/>
              <w:rPr>
                <w:rFonts w:cs="Tahoma"/>
                <w:szCs w:val="18"/>
              </w:rPr>
            </w:pPr>
            <w:r w:rsidRPr="00170677">
              <w:rPr>
                <w:rFonts w:cs="Tahoma"/>
                <w:szCs w:val="18"/>
              </w:rPr>
              <w:t>A</w:t>
            </w:r>
          </w:p>
        </w:tc>
        <w:tc>
          <w:tcPr>
            <w:tcW w:w="1022" w:type="pct"/>
          </w:tcPr>
          <w:p w:rsidR="00596386" w:rsidRPr="00170677" w:rsidRDefault="00596386" w:rsidP="00647923">
            <w:pPr>
              <w:spacing w:after="60" w:line="240" w:lineRule="atLeast"/>
              <w:jc w:val="center"/>
              <w:rPr>
                <w:rFonts w:cs="Tahoma"/>
                <w:szCs w:val="18"/>
              </w:rPr>
            </w:pPr>
            <w:r w:rsidRPr="00170677">
              <w:rPr>
                <w:rFonts w:cs="Tahoma"/>
                <w:szCs w:val="18"/>
              </w:rPr>
              <w:t>Solicitação pela Web</w:t>
            </w:r>
          </w:p>
        </w:tc>
        <w:tc>
          <w:tcPr>
            <w:tcW w:w="1571" w:type="pct"/>
          </w:tcPr>
          <w:p w:rsidR="00596386" w:rsidRPr="00C50FD1" w:rsidRDefault="00596386" w:rsidP="00647923">
            <w:pPr>
              <w:spacing w:after="60" w:line="240" w:lineRule="atLeast"/>
              <w:rPr>
                <w:rFonts w:cs="Tahoma"/>
                <w:lang w:val="pt-BR"/>
              </w:rPr>
            </w:pPr>
            <w:r w:rsidRPr="00C50FD1">
              <w:rPr>
                <w:rFonts w:cs="Tahoma"/>
                <w:szCs w:val="18"/>
                <w:lang w:val="pt-BR"/>
              </w:rPr>
              <w:t>Impacto crítico nos negócios:</w:t>
            </w:r>
          </w:p>
          <w:p w:rsidR="00596386" w:rsidRPr="00C50FD1" w:rsidRDefault="00596386" w:rsidP="00647923">
            <w:pPr>
              <w:spacing w:after="60" w:line="240" w:lineRule="atLeast"/>
              <w:rPr>
                <w:rFonts w:cs="Tahoma"/>
                <w:lang w:val="pt-BR"/>
              </w:rPr>
            </w:pPr>
            <w:r w:rsidRPr="00C50FD1">
              <w:rPr>
                <w:rFonts w:cs="Tahoma"/>
                <w:szCs w:val="18"/>
                <w:lang w:val="pt-BR"/>
              </w:rPr>
              <w:t>Perda ou degradação significativa de serviços (aplicativo inativo)</w:t>
            </w:r>
          </w:p>
          <w:p w:rsidR="00596386" w:rsidRPr="00C50FD1" w:rsidRDefault="00596386" w:rsidP="00647923">
            <w:pPr>
              <w:spacing w:after="60" w:line="240" w:lineRule="atLeast"/>
              <w:rPr>
                <w:rFonts w:cs="Tahoma"/>
                <w:szCs w:val="18"/>
                <w:lang w:val="pt-BR"/>
              </w:rPr>
            </w:pPr>
            <w:r w:rsidRPr="00C50FD1">
              <w:rPr>
                <w:rFonts w:cs="Tahoma"/>
                <w:szCs w:val="18"/>
                <w:lang w:val="pt-BR"/>
              </w:rPr>
              <w:t>Necessita de atenção em 2 horas</w:t>
            </w:r>
          </w:p>
        </w:tc>
        <w:tc>
          <w:tcPr>
            <w:tcW w:w="1628" w:type="pct"/>
          </w:tcPr>
          <w:p w:rsidR="00596386" w:rsidRPr="00C50FD1" w:rsidRDefault="00596386" w:rsidP="005723AA">
            <w:pPr>
              <w:spacing w:after="60" w:line="240" w:lineRule="atLeast"/>
              <w:rPr>
                <w:rFonts w:cs="Tahoma"/>
                <w:lang w:val="pt-BR"/>
              </w:rPr>
            </w:pPr>
            <w:r w:rsidRPr="00C50FD1">
              <w:rPr>
                <w:rFonts w:cs="Tahoma"/>
                <w:szCs w:val="18"/>
                <w:lang w:val="pt-BR"/>
              </w:rPr>
              <w:t>1</w:t>
            </w:r>
            <w:r w:rsidRPr="00C50FD1">
              <w:rPr>
                <w:rFonts w:cs="Tahoma"/>
                <w:szCs w:val="18"/>
                <w:vertAlign w:val="superscript"/>
                <w:lang w:val="pt-BR"/>
              </w:rPr>
              <w:t>ª</w:t>
            </w:r>
            <w:r w:rsidRPr="00C50FD1">
              <w:rPr>
                <w:rFonts w:cs="Tahoma"/>
                <w:szCs w:val="18"/>
                <w:lang w:val="pt-BR"/>
              </w:rPr>
              <w:t xml:space="preserve"> resposta em 2 horas ou menos</w:t>
            </w:r>
          </w:p>
          <w:p w:rsidR="00596386" w:rsidRPr="00C50FD1" w:rsidRDefault="00596386" w:rsidP="00647923">
            <w:pPr>
              <w:spacing w:after="60" w:line="240" w:lineRule="atLeast"/>
              <w:rPr>
                <w:rFonts w:cs="Tahoma"/>
                <w:szCs w:val="18"/>
                <w:lang w:val="pt-BR"/>
              </w:rPr>
            </w:pPr>
          </w:p>
        </w:tc>
      </w:tr>
      <w:tr w:rsidR="00596386" w:rsidRPr="00C50FD1" w:rsidTr="002A6416">
        <w:tc>
          <w:tcPr>
            <w:tcW w:w="779" w:type="pct"/>
          </w:tcPr>
          <w:p w:rsidR="00596386" w:rsidRPr="00170677" w:rsidRDefault="00596386" w:rsidP="00647923">
            <w:pPr>
              <w:spacing w:after="60" w:line="240" w:lineRule="atLeast"/>
              <w:jc w:val="center"/>
              <w:rPr>
                <w:rFonts w:cs="Tahoma"/>
                <w:szCs w:val="18"/>
              </w:rPr>
            </w:pPr>
            <w:r w:rsidRPr="00170677">
              <w:rPr>
                <w:rFonts w:cs="Tahoma"/>
                <w:szCs w:val="18"/>
              </w:rPr>
              <w:t>B</w:t>
            </w:r>
          </w:p>
        </w:tc>
        <w:tc>
          <w:tcPr>
            <w:tcW w:w="1022" w:type="pct"/>
          </w:tcPr>
          <w:p w:rsidR="00596386" w:rsidRPr="00170677" w:rsidRDefault="00596386" w:rsidP="00647923">
            <w:pPr>
              <w:spacing w:after="60" w:line="240" w:lineRule="atLeast"/>
              <w:jc w:val="center"/>
              <w:rPr>
                <w:rFonts w:cs="Tahoma"/>
                <w:szCs w:val="18"/>
              </w:rPr>
            </w:pPr>
            <w:r w:rsidRPr="00170677">
              <w:rPr>
                <w:rFonts w:cs="Tahoma"/>
                <w:szCs w:val="18"/>
              </w:rPr>
              <w:t>Solicitação pela Web</w:t>
            </w:r>
          </w:p>
        </w:tc>
        <w:tc>
          <w:tcPr>
            <w:tcW w:w="1571" w:type="pct"/>
          </w:tcPr>
          <w:p w:rsidR="00596386" w:rsidRPr="00C50FD1" w:rsidRDefault="00596386" w:rsidP="005723AA">
            <w:pPr>
              <w:spacing w:after="60" w:line="240" w:lineRule="atLeast"/>
              <w:rPr>
                <w:rFonts w:cs="Tahoma"/>
                <w:lang w:val="pt-BR"/>
              </w:rPr>
            </w:pPr>
            <w:r w:rsidRPr="00C50FD1">
              <w:rPr>
                <w:rFonts w:cs="Tahoma"/>
                <w:szCs w:val="18"/>
                <w:lang w:val="pt-BR"/>
              </w:rPr>
              <w:t xml:space="preserve">Impacto moderado nos negócios: </w:t>
            </w:r>
          </w:p>
          <w:p w:rsidR="00596386" w:rsidRPr="00C50FD1" w:rsidRDefault="00596386" w:rsidP="00647923">
            <w:pPr>
              <w:spacing w:line="240" w:lineRule="atLeast"/>
              <w:rPr>
                <w:rFonts w:cs="Tahoma"/>
                <w:lang w:val="pt-BR"/>
              </w:rPr>
            </w:pPr>
            <w:r w:rsidRPr="00C50FD1">
              <w:rPr>
                <w:rFonts w:cs="Tahoma"/>
                <w:szCs w:val="18"/>
                <w:lang w:val="pt-BR"/>
              </w:rPr>
              <w:t>Perda ou degradação moderada dos serviços, mas o trabalho pode razoavelmente continuar de maneira prejudicada</w:t>
            </w:r>
          </w:p>
          <w:p w:rsidR="00596386" w:rsidRPr="00C50FD1" w:rsidRDefault="00596386" w:rsidP="00647923">
            <w:pPr>
              <w:spacing w:after="60" w:line="240" w:lineRule="atLeast"/>
              <w:rPr>
                <w:rFonts w:cs="Tahoma"/>
                <w:szCs w:val="18"/>
                <w:lang w:val="pt-BR"/>
              </w:rPr>
            </w:pPr>
            <w:r w:rsidRPr="00C50FD1">
              <w:rPr>
                <w:rFonts w:cs="Tahoma"/>
                <w:szCs w:val="18"/>
                <w:lang w:val="pt-BR"/>
              </w:rPr>
              <w:t>Necessita de atenção em 4 horas</w:t>
            </w:r>
          </w:p>
        </w:tc>
        <w:tc>
          <w:tcPr>
            <w:tcW w:w="1628" w:type="pct"/>
          </w:tcPr>
          <w:p w:rsidR="00596386" w:rsidRPr="00C50FD1" w:rsidRDefault="00596386" w:rsidP="00647923">
            <w:pPr>
              <w:spacing w:line="240" w:lineRule="atLeast"/>
              <w:rPr>
                <w:rFonts w:cs="Tahoma"/>
                <w:lang w:val="pt-BR"/>
              </w:rPr>
            </w:pPr>
            <w:r w:rsidRPr="00C50FD1">
              <w:rPr>
                <w:rFonts w:cs="Tahoma"/>
                <w:szCs w:val="18"/>
                <w:lang w:val="pt-BR"/>
              </w:rPr>
              <w:t>1</w:t>
            </w:r>
            <w:r w:rsidRPr="00C50FD1">
              <w:rPr>
                <w:rFonts w:cs="Tahoma"/>
                <w:szCs w:val="18"/>
                <w:vertAlign w:val="superscript"/>
                <w:lang w:val="pt-BR"/>
              </w:rPr>
              <w:t>ª</w:t>
            </w:r>
            <w:r w:rsidRPr="00C50FD1">
              <w:rPr>
                <w:rFonts w:cs="Tahoma"/>
                <w:szCs w:val="18"/>
                <w:lang w:val="pt-BR"/>
              </w:rPr>
              <w:t xml:space="preserve"> resposta em 4 horas ou menos</w:t>
            </w:r>
          </w:p>
          <w:p w:rsidR="00596386" w:rsidRPr="00C50FD1" w:rsidRDefault="00596386" w:rsidP="00647923">
            <w:pPr>
              <w:spacing w:after="60" w:line="240" w:lineRule="atLeast"/>
              <w:rPr>
                <w:rFonts w:cs="Tahoma"/>
                <w:szCs w:val="18"/>
                <w:lang w:val="pt-BR"/>
              </w:rPr>
            </w:pPr>
          </w:p>
        </w:tc>
      </w:tr>
      <w:tr w:rsidR="00596386" w:rsidRPr="00C50FD1" w:rsidTr="002A6416">
        <w:tc>
          <w:tcPr>
            <w:tcW w:w="779" w:type="pct"/>
          </w:tcPr>
          <w:p w:rsidR="00596386" w:rsidRPr="00170677" w:rsidRDefault="00596386" w:rsidP="00647923">
            <w:pPr>
              <w:spacing w:after="60" w:line="240" w:lineRule="atLeast"/>
              <w:jc w:val="center"/>
              <w:rPr>
                <w:rFonts w:cs="Tahoma"/>
                <w:szCs w:val="18"/>
              </w:rPr>
            </w:pPr>
            <w:r w:rsidRPr="00170677">
              <w:rPr>
                <w:rFonts w:cs="Tahoma"/>
                <w:szCs w:val="18"/>
              </w:rPr>
              <w:t>C</w:t>
            </w:r>
          </w:p>
        </w:tc>
        <w:tc>
          <w:tcPr>
            <w:tcW w:w="1022" w:type="pct"/>
          </w:tcPr>
          <w:p w:rsidR="00596386" w:rsidRPr="00170677" w:rsidRDefault="00596386" w:rsidP="00647923">
            <w:pPr>
              <w:spacing w:after="60" w:line="240" w:lineRule="atLeast"/>
              <w:jc w:val="center"/>
              <w:rPr>
                <w:rFonts w:cs="Tahoma"/>
                <w:szCs w:val="18"/>
              </w:rPr>
            </w:pPr>
            <w:r w:rsidRPr="00170677">
              <w:rPr>
                <w:rFonts w:cs="Tahoma"/>
                <w:szCs w:val="18"/>
              </w:rPr>
              <w:t>Solicitação pela Web</w:t>
            </w:r>
          </w:p>
        </w:tc>
        <w:tc>
          <w:tcPr>
            <w:tcW w:w="1571" w:type="pct"/>
          </w:tcPr>
          <w:p w:rsidR="00596386" w:rsidRPr="00C50FD1" w:rsidRDefault="00596386" w:rsidP="005723AA">
            <w:pPr>
              <w:spacing w:after="60" w:line="240" w:lineRule="atLeast"/>
              <w:rPr>
                <w:rFonts w:cs="Tahoma"/>
                <w:lang w:val="pt-BR"/>
              </w:rPr>
            </w:pPr>
            <w:r w:rsidRPr="00C50FD1">
              <w:rPr>
                <w:rFonts w:cs="Tahoma"/>
                <w:szCs w:val="18"/>
                <w:lang w:val="pt-BR"/>
              </w:rPr>
              <w:t>Impacto mínimo nos negócios:</w:t>
            </w:r>
          </w:p>
          <w:p w:rsidR="00596386" w:rsidRPr="00C50FD1" w:rsidRDefault="00596386" w:rsidP="00647923">
            <w:pPr>
              <w:rPr>
                <w:rFonts w:cs="Tahoma"/>
                <w:lang w:val="pt-BR"/>
              </w:rPr>
            </w:pPr>
            <w:r w:rsidRPr="00C50FD1">
              <w:rPr>
                <w:rFonts w:cs="Tahoma"/>
                <w:szCs w:val="18"/>
                <w:lang w:val="pt-BR"/>
              </w:rPr>
              <w:t>Funcionamento de forma substancial, com poucos ou nenhum impedimento dos serviços</w:t>
            </w:r>
          </w:p>
          <w:p w:rsidR="00596386" w:rsidRPr="00C50FD1" w:rsidRDefault="00596386" w:rsidP="00647923">
            <w:pPr>
              <w:spacing w:after="60" w:line="240" w:lineRule="atLeast"/>
              <w:rPr>
                <w:rFonts w:cs="Tahoma"/>
                <w:szCs w:val="18"/>
                <w:lang w:val="pt-BR"/>
              </w:rPr>
            </w:pPr>
            <w:r w:rsidRPr="00C50FD1">
              <w:rPr>
                <w:rFonts w:cs="Tahoma"/>
                <w:szCs w:val="18"/>
                <w:lang w:val="pt-BR"/>
              </w:rPr>
              <w:t>Necessita de atenção em 8 horas</w:t>
            </w:r>
          </w:p>
        </w:tc>
        <w:tc>
          <w:tcPr>
            <w:tcW w:w="1628" w:type="pct"/>
          </w:tcPr>
          <w:p w:rsidR="00596386" w:rsidRPr="00C50FD1" w:rsidRDefault="00596386" w:rsidP="005723AA">
            <w:pPr>
              <w:spacing w:after="60" w:line="240" w:lineRule="atLeast"/>
              <w:rPr>
                <w:rFonts w:cs="Tahoma"/>
                <w:lang w:val="pt-BR"/>
              </w:rPr>
            </w:pPr>
            <w:r w:rsidRPr="00C50FD1">
              <w:rPr>
                <w:rFonts w:cs="Tahoma"/>
                <w:szCs w:val="18"/>
                <w:lang w:val="pt-BR"/>
              </w:rPr>
              <w:t>1</w:t>
            </w:r>
            <w:r w:rsidRPr="00C50FD1">
              <w:rPr>
                <w:rFonts w:cs="Tahoma"/>
                <w:szCs w:val="18"/>
                <w:vertAlign w:val="superscript"/>
                <w:lang w:val="pt-BR"/>
              </w:rPr>
              <w:t>ª</w:t>
            </w:r>
            <w:r w:rsidRPr="00C50FD1">
              <w:rPr>
                <w:rFonts w:cs="Tahoma"/>
                <w:szCs w:val="18"/>
                <w:lang w:val="pt-BR"/>
              </w:rPr>
              <w:t xml:space="preserve"> resposta em 8 horas ou menos</w:t>
            </w:r>
          </w:p>
          <w:p w:rsidR="00596386" w:rsidRPr="00C50FD1" w:rsidRDefault="00596386" w:rsidP="00647923">
            <w:pPr>
              <w:spacing w:line="240" w:lineRule="atLeast"/>
              <w:rPr>
                <w:rFonts w:cs="Tahoma"/>
                <w:szCs w:val="18"/>
                <w:lang w:val="pt-BR"/>
              </w:rPr>
            </w:pPr>
          </w:p>
        </w:tc>
      </w:tr>
    </w:tbl>
    <w:p w:rsidR="00596386" w:rsidRPr="00C50FD1" w:rsidRDefault="00596386" w:rsidP="00596386">
      <w:pPr>
        <w:rPr>
          <w:lang w:val="pt-BR"/>
        </w:rPr>
      </w:pPr>
    </w:p>
    <w:p w:rsidR="00596386" w:rsidRPr="00C50FD1" w:rsidRDefault="00596386" w:rsidP="00596386">
      <w:pPr>
        <w:tabs>
          <w:tab w:val="left" w:pos="360"/>
        </w:tabs>
        <w:jc w:val="both"/>
        <w:rPr>
          <w:lang w:val="pt-BR"/>
        </w:rPr>
      </w:pPr>
      <w:r w:rsidRPr="00C50FD1">
        <w:rPr>
          <w:rFonts w:cs="Arial"/>
          <w:snapToGrid w:val="0"/>
          <w:color w:val="000000"/>
          <w:szCs w:val="18"/>
          <w:lang w:val="pt-BR"/>
        </w:rPr>
        <w:t>Os clientes podem optar por receber um retorno de chamada da Microsoft em até 3 incidentes por mês.</w:t>
      </w:r>
      <w:r w:rsidR="005A52A2" w:rsidRPr="00C50FD1">
        <w:rPr>
          <w:rFonts w:cs="Arial"/>
          <w:snapToGrid w:val="0"/>
          <w:color w:val="000000"/>
          <w:szCs w:val="18"/>
          <w:lang w:val="pt-BR"/>
        </w:rPr>
        <w:t xml:space="preserve"> </w:t>
      </w:r>
      <w:r w:rsidRPr="00C50FD1">
        <w:rPr>
          <w:rFonts w:cs="Arial"/>
          <w:snapToGrid w:val="0"/>
          <w:color w:val="000000"/>
          <w:szCs w:val="18"/>
          <w:lang w:val="pt-BR"/>
        </w:rPr>
        <w:t>Caso</w:t>
      </w:r>
      <w:r w:rsidR="00F3299C" w:rsidRPr="00C50FD1">
        <w:rPr>
          <w:rFonts w:cs="Arial"/>
          <w:snapToGrid w:val="0"/>
          <w:color w:val="000000"/>
          <w:szCs w:val="18"/>
          <w:lang w:val="pt-BR"/>
        </w:rPr>
        <w:t> </w:t>
      </w:r>
      <w:r w:rsidRPr="00C50FD1">
        <w:rPr>
          <w:rFonts w:cs="Arial"/>
          <w:snapToGrid w:val="0"/>
          <w:color w:val="000000"/>
          <w:szCs w:val="18"/>
          <w:lang w:val="pt-BR"/>
        </w:rPr>
        <w:t>contrário, a equipe de Suporte do Windows Azure solucionará o problema e ajudará a resolver o incidente pelos canais online (por exemplo, por email ou portal do Windows Azure).</w:t>
      </w:r>
      <w:r w:rsidR="005A52A2" w:rsidRPr="00C50FD1">
        <w:rPr>
          <w:rFonts w:cs="Arial"/>
          <w:snapToGrid w:val="0"/>
          <w:color w:val="000000"/>
          <w:szCs w:val="18"/>
          <w:lang w:val="pt-BR"/>
        </w:rPr>
        <w:t xml:space="preserve"> </w:t>
      </w:r>
    </w:p>
    <w:p w:rsidR="00F3299C" w:rsidRPr="00C50FD1" w:rsidRDefault="00F3299C" w:rsidP="00596386">
      <w:pPr>
        <w:tabs>
          <w:tab w:val="left" w:pos="360"/>
        </w:tabs>
        <w:jc w:val="both"/>
        <w:rPr>
          <w:lang w:val="pt-BR"/>
        </w:rPr>
      </w:pPr>
    </w:p>
    <w:p w:rsidR="00596386" w:rsidRPr="00C50FD1" w:rsidRDefault="00596386" w:rsidP="00596386">
      <w:pPr>
        <w:tabs>
          <w:tab w:val="left" w:pos="360"/>
        </w:tabs>
        <w:jc w:val="both"/>
        <w:rPr>
          <w:lang w:val="pt-BR"/>
        </w:rPr>
      </w:pPr>
      <w:r w:rsidRPr="00C50FD1">
        <w:rPr>
          <w:rFonts w:cs="Arial"/>
          <w:b/>
          <w:sz w:val="24"/>
          <w:szCs w:val="18"/>
          <w:lang w:val="pt-BR"/>
        </w:rPr>
        <w:t>Suporte ao Desenvolvedor para Windows Azure</w:t>
      </w:r>
    </w:p>
    <w:p w:rsidR="00596386" w:rsidRPr="00C50FD1" w:rsidRDefault="00596386" w:rsidP="00596386">
      <w:pPr>
        <w:tabs>
          <w:tab w:val="left" w:pos="360"/>
        </w:tabs>
        <w:jc w:val="both"/>
        <w:rPr>
          <w:lang w:val="pt-BR"/>
        </w:rPr>
      </w:pPr>
    </w:p>
    <w:p w:rsidR="00596386" w:rsidRPr="00C50FD1" w:rsidRDefault="00596386" w:rsidP="00596386">
      <w:pPr>
        <w:rPr>
          <w:lang w:val="pt-BR"/>
        </w:rPr>
      </w:pPr>
      <w:r w:rsidRPr="00C50FD1">
        <w:rPr>
          <w:szCs w:val="18"/>
          <w:lang w:val="pt-BR"/>
        </w:rPr>
        <w:t>A Microsoft assumirá como padrão o nível de gravidade de todos os Incidentes enviados como Gravidade C. A gravidade do incidente determinará os níveis de resposta na Microsoft e o tempo estimado de resposta, conforme estabelecido na tabela abaixo.</w:t>
      </w:r>
      <w:r w:rsidR="005A52A2" w:rsidRPr="00C50FD1">
        <w:rPr>
          <w:szCs w:val="18"/>
          <w:lang w:val="pt-BR"/>
        </w:rPr>
        <w:t xml:space="preserve"> </w:t>
      </w:r>
      <w:r w:rsidRPr="00C50FD1">
        <w:rPr>
          <w:szCs w:val="18"/>
          <w:lang w:val="pt-BR"/>
        </w:rPr>
        <w:t>A capacidade de a Microsoft prestar os serviços depende da inteira e pontual cooperação desta, bem como da precisão e da integridade das informações fornecidas ao cliente.</w:t>
      </w:r>
    </w:p>
    <w:p w:rsidR="00596386" w:rsidRPr="00C50FD1" w:rsidRDefault="00596386" w:rsidP="00596386">
      <w:pPr>
        <w:rPr>
          <w:lang w:val="pt-BR"/>
        </w:rPr>
      </w:pPr>
    </w:p>
    <w:p w:rsidR="003A3A77" w:rsidRPr="00C50FD1" w:rsidRDefault="003A3A77" w:rsidP="00596386">
      <w:pPr>
        <w:rPr>
          <w:lang w:val="pt-BR"/>
        </w:rPr>
      </w:pPr>
    </w:p>
    <w:p w:rsidR="003A3A77" w:rsidRPr="00C50FD1" w:rsidRDefault="003A3A77" w:rsidP="00596386">
      <w:pPr>
        <w:rPr>
          <w:lang w:val="pt-BR"/>
        </w:rPr>
      </w:pPr>
    </w:p>
    <w:p w:rsidR="003A3A77" w:rsidRPr="00C50FD1" w:rsidRDefault="003A3A77" w:rsidP="00596386">
      <w:pPr>
        <w:rPr>
          <w:lang w:val="pt-BR"/>
        </w:rPr>
      </w:pPr>
    </w:p>
    <w:p w:rsidR="00EA20DF" w:rsidRPr="00C50FD1" w:rsidRDefault="00EA20DF" w:rsidP="00596386">
      <w:pPr>
        <w:rPr>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1"/>
        <w:gridCol w:w="1300"/>
        <w:gridCol w:w="3183"/>
        <w:gridCol w:w="2846"/>
      </w:tblGrid>
      <w:tr w:rsidR="00F3299C" w:rsidRPr="00653421" w:rsidTr="00F3299C">
        <w:tc>
          <w:tcPr>
            <w:tcW w:w="1081" w:type="pct"/>
            <w:shd w:val="clear" w:color="auto" w:fill="FABF8F"/>
          </w:tcPr>
          <w:p w:rsidR="00596386" w:rsidRPr="00653421" w:rsidRDefault="00596386" w:rsidP="0037031E">
            <w:pPr>
              <w:jc w:val="center"/>
              <w:rPr>
                <w:rFonts w:cs="Tahoma"/>
                <w:b/>
                <w:bCs/>
                <w:color w:val="000000"/>
                <w:sz w:val="20"/>
                <w:szCs w:val="18"/>
              </w:rPr>
            </w:pPr>
            <w:r w:rsidRPr="00653421">
              <w:rPr>
                <w:rFonts w:cs="Tahoma"/>
                <w:b/>
                <w:bCs/>
                <w:color w:val="000000"/>
                <w:sz w:val="20"/>
                <w:szCs w:val="18"/>
              </w:rPr>
              <w:lastRenderedPageBreak/>
              <w:t>Severidade</w:t>
            </w:r>
          </w:p>
        </w:tc>
        <w:tc>
          <w:tcPr>
            <w:tcW w:w="695" w:type="pct"/>
            <w:shd w:val="clear" w:color="auto" w:fill="FABF8F"/>
          </w:tcPr>
          <w:p w:rsidR="00596386" w:rsidRPr="00653421" w:rsidRDefault="00596386" w:rsidP="0037031E">
            <w:pPr>
              <w:jc w:val="center"/>
              <w:rPr>
                <w:rFonts w:cs="Tahoma"/>
                <w:b/>
                <w:bCs/>
                <w:color w:val="000000"/>
                <w:sz w:val="20"/>
                <w:szCs w:val="18"/>
              </w:rPr>
            </w:pPr>
            <w:r w:rsidRPr="00653421">
              <w:rPr>
                <w:rFonts w:cs="Tahoma"/>
                <w:b/>
                <w:bCs/>
                <w:color w:val="000000"/>
                <w:sz w:val="20"/>
                <w:szCs w:val="18"/>
              </w:rPr>
              <w:t>Contato</w:t>
            </w:r>
          </w:p>
        </w:tc>
        <w:tc>
          <w:tcPr>
            <w:tcW w:w="1702" w:type="pct"/>
            <w:shd w:val="clear" w:color="auto" w:fill="FABF8F"/>
          </w:tcPr>
          <w:p w:rsidR="00596386" w:rsidRPr="00653421" w:rsidRDefault="00596386" w:rsidP="0037031E">
            <w:pPr>
              <w:jc w:val="center"/>
              <w:rPr>
                <w:rFonts w:cs="Tahoma"/>
                <w:b/>
                <w:bCs/>
                <w:color w:val="000000"/>
                <w:sz w:val="20"/>
                <w:szCs w:val="18"/>
              </w:rPr>
            </w:pPr>
            <w:r w:rsidRPr="00653421">
              <w:rPr>
                <w:rFonts w:cs="Tahoma"/>
                <w:b/>
                <w:bCs/>
                <w:color w:val="000000"/>
                <w:sz w:val="20"/>
                <w:szCs w:val="18"/>
              </w:rPr>
              <w:t>Situação do Cliente</w:t>
            </w:r>
          </w:p>
        </w:tc>
        <w:tc>
          <w:tcPr>
            <w:tcW w:w="1523" w:type="pct"/>
            <w:shd w:val="clear" w:color="auto" w:fill="FABF8F"/>
          </w:tcPr>
          <w:p w:rsidR="00596386" w:rsidRPr="00653421" w:rsidRDefault="00596386" w:rsidP="00F3299C">
            <w:pPr>
              <w:jc w:val="center"/>
              <w:rPr>
                <w:rFonts w:cs="Tahoma"/>
                <w:b/>
                <w:bCs/>
                <w:color w:val="000000"/>
                <w:sz w:val="20"/>
                <w:szCs w:val="18"/>
              </w:rPr>
            </w:pPr>
            <w:r w:rsidRPr="00653421">
              <w:rPr>
                <w:rFonts w:cs="Tahoma"/>
                <w:b/>
                <w:bCs/>
                <w:color w:val="000000"/>
                <w:sz w:val="20"/>
                <w:szCs w:val="18"/>
              </w:rPr>
              <w:t>Resposta Esperada da</w:t>
            </w:r>
            <w:r w:rsidR="00F3299C" w:rsidRPr="00653421">
              <w:rPr>
                <w:rFonts w:cs="Tahoma"/>
                <w:b/>
                <w:bCs/>
                <w:color w:val="000000"/>
                <w:sz w:val="20"/>
                <w:szCs w:val="18"/>
              </w:rPr>
              <w:t> </w:t>
            </w:r>
            <w:r w:rsidRPr="00653421">
              <w:rPr>
                <w:rFonts w:cs="Tahoma"/>
                <w:b/>
                <w:bCs/>
                <w:color w:val="000000"/>
                <w:sz w:val="20"/>
                <w:szCs w:val="18"/>
              </w:rPr>
              <w:t>Microsoft</w:t>
            </w:r>
          </w:p>
        </w:tc>
      </w:tr>
      <w:tr w:rsidR="00F3299C" w:rsidRPr="00C50FD1" w:rsidTr="00F3299C">
        <w:tc>
          <w:tcPr>
            <w:tcW w:w="1081" w:type="pct"/>
          </w:tcPr>
          <w:p w:rsidR="00596386" w:rsidRPr="00C50FD1" w:rsidRDefault="00596386" w:rsidP="00647923">
            <w:pPr>
              <w:spacing w:after="60" w:line="240" w:lineRule="atLeast"/>
              <w:jc w:val="center"/>
              <w:rPr>
                <w:lang w:val="pt-BR"/>
              </w:rPr>
            </w:pPr>
            <w:r w:rsidRPr="00C50FD1">
              <w:rPr>
                <w:rFonts w:cs="Tahoma"/>
                <w:szCs w:val="18"/>
                <w:lang w:val="pt-BR"/>
              </w:rPr>
              <w:t>C</w:t>
            </w:r>
          </w:p>
          <w:p w:rsidR="00596386" w:rsidRPr="00C50FD1" w:rsidRDefault="00596386" w:rsidP="00F3299C">
            <w:pPr>
              <w:spacing w:after="60" w:line="240" w:lineRule="atLeast"/>
              <w:ind w:left="-18"/>
              <w:jc w:val="center"/>
              <w:rPr>
                <w:rFonts w:cs="Tahoma"/>
                <w:szCs w:val="18"/>
                <w:lang w:val="pt-BR"/>
              </w:rPr>
            </w:pPr>
            <w:r w:rsidRPr="00C50FD1">
              <w:rPr>
                <w:rFonts w:cs="Tahoma"/>
                <w:szCs w:val="18"/>
                <w:lang w:val="pt-BR"/>
              </w:rPr>
              <w:t>(Todos os casos assumirão como padrão</w:t>
            </w:r>
            <w:r w:rsidR="00F3299C" w:rsidRPr="00C50FD1">
              <w:rPr>
                <w:rFonts w:cs="Tahoma"/>
                <w:szCs w:val="18"/>
                <w:lang w:val="pt-BR"/>
              </w:rPr>
              <w:t> </w:t>
            </w:r>
            <w:r w:rsidRPr="00C50FD1">
              <w:rPr>
                <w:rFonts w:cs="Tahoma"/>
                <w:szCs w:val="18"/>
                <w:lang w:val="pt-BR"/>
              </w:rPr>
              <w:t>a</w:t>
            </w:r>
            <w:r w:rsidR="00F3299C" w:rsidRPr="00C50FD1">
              <w:rPr>
                <w:rFonts w:cs="Tahoma"/>
                <w:szCs w:val="18"/>
                <w:lang w:val="pt-BR"/>
              </w:rPr>
              <w:t> </w:t>
            </w:r>
            <w:r w:rsidRPr="00C50FD1">
              <w:rPr>
                <w:rFonts w:cs="Tahoma"/>
                <w:szCs w:val="18"/>
                <w:lang w:val="pt-BR"/>
              </w:rPr>
              <w:t>Severidade C)</w:t>
            </w:r>
          </w:p>
        </w:tc>
        <w:tc>
          <w:tcPr>
            <w:tcW w:w="695" w:type="pct"/>
          </w:tcPr>
          <w:p w:rsidR="00596386" w:rsidRPr="00653421" w:rsidRDefault="00596386" w:rsidP="00647923">
            <w:pPr>
              <w:spacing w:after="60" w:line="240" w:lineRule="atLeast"/>
              <w:jc w:val="center"/>
              <w:rPr>
                <w:rFonts w:cs="Tahoma"/>
                <w:szCs w:val="18"/>
              </w:rPr>
            </w:pPr>
            <w:r w:rsidRPr="00653421">
              <w:rPr>
                <w:rFonts w:cs="Tahoma"/>
                <w:szCs w:val="18"/>
              </w:rPr>
              <w:t>Solicitação pela Web</w:t>
            </w:r>
          </w:p>
        </w:tc>
        <w:tc>
          <w:tcPr>
            <w:tcW w:w="1702" w:type="pct"/>
          </w:tcPr>
          <w:p w:rsidR="00596386" w:rsidRPr="00C50FD1" w:rsidRDefault="00596386" w:rsidP="005723AA">
            <w:pPr>
              <w:spacing w:after="60" w:line="240" w:lineRule="atLeast"/>
              <w:rPr>
                <w:lang w:val="pt-BR"/>
              </w:rPr>
            </w:pPr>
            <w:r w:rsidRPr="00C50FD1">
              <w:rPr>
                <w:rFonts w:cs="Tahoma"/>
                <w:szCs w:val="18"/>
                <w:lang w:val="pt-BR"/>
              </w:rPr>
              <w:t>Impacto mínimo nos negócios:</w:t>
            </w:r>
          </w:p>
          <w:p w:rsidR="00596386" w:rsidRPr="00C50FD1" w:rsidRDefault="00596386" w:rsidP="00647923">
            <w:pPr>
              <w:rPr>
                <w:lang w:val="pt-BR"/>
              </w:rPr>
            </w:pPr>
            <w:r w:rsidRPr="00C50FD1">
              <w:rPr>
                <w:rFonts w:cs="Tahoma"/>
                <w:szCs w:val="18"/>
                <w:lang w:val="pt-BR"/>
              </w:rPr>
              <w:t>Funcionamento de forma substancial, com poucos ou nenhum impedimento dos serviços</w:t>
            </w:r>
          </w:p>
          <w:p w:rsidR="00596386" w:rsidRPr="00C50FD1" w:rsidRDefault="00596386" w:rsidP="00647923">
            <w:pPr>
              <w:spacing w:after="60" w:line="240" w:lineRule="atLeast"/>
              <w:rPr>
                <w:rFonts w:cs="Tahoma"/>
                <w:szCs w:val="18"/>
                <w:lang w:val="pt-BR"/>
              </w:rPr>
            </w:pPr>
            <w:r w:rsidRPr="00C50FD1">
              <w:rPr>
                <w:rFonts w:cs="Tahoma"/>
                <w:szCs w:val="18"/>
                <w:lang w:val="pt-BR"/>
              </w:rPr>
              <w:t>Necessita de atenção em 8 horas</w:t>
            </w:r>
          </w:p>
        </w:tc>
        <w:tc>
          <w:tcPr>
            <w:tcW w:w="1523" w:type="pct"/>
          </w:tcPr>
          <w:p w:rsidR="00596386" w:rsidRPr="00C50FD1" w:rsidRDefault="00596386" w:rsidP="005723AA">
            <w:pPr>
              <w:spacing w:after="60" w:line="240" w:lineRule="atLeast"/>
              <w:rPr>
                <w:lang w:val="pt-BR"/>
              </w:rPr>
            </w:pPr>
            <w:r w:rsidRPr="00C50FD1">
              <w:rPr>
                <w:rFonts w:cs="Tahoma"/>
                <w:szCs w:val="18"/>
                <w:lang w:val="pt-BR"/>
              </w:rPr>
              <w:t>1</w:t>
            </w:r>
            <w:r w:rsidRPr="00C50FD1">
              <w:rPr>
                <w:rFonts w:cs="Tahoma"/>
                <w:szCs w:val="18"/>
                <w:vertAlign w:val="superscript"/>
                <w:lang w:val="pt-BR"/>
              </w:rPr>
              <w:t>ª</w:t>
            </w:r>
            <w:r w:rsidRPr="00C50FD1">
              <w:rPr>
                <w:rFonts w:cs="Tahoma"/>
                <w:szCs w:val="18"/>
                <w:lang w:val="pt-BR"/>
              </w:rPr>
              <w:t xml:space="preserve"> resposta em 8 horas ou menos</w:t>
            </w:r>
          </w:p>
          <w:p w:rsidR="00596386" w:rsidRPr="00C50FD1" w:rsidRDefault="00596386" w:rsidP="00647923">
            <w:pPr>
              <w:spacing w:line="240" w:lineRule="atLeast"/>
              <w:rPr>
                <w:rFonts w:cs="Tahoma"/>
                <w:szCs w:val="18"/>
                <w:lang w:val="pt-BR"/>
              </w:rPr>
            </w:pPr>
          </w:p>
        </w:tc>
      </w:tr>
    </w:tbl>
    <w:p w:rsidR="00596386" w:rsidRPr="00C50FD1" w:rsidRDefault="00596386" w:rsidP="00596386">
      <w:pPr>
        <w:rPr>
          <w:lang w:val="pt-BR"/>
        </w:rPr>
      </w:pPr>
    </w:p>
    <w:p w:rsidR="00596386" w:rsidRPr="00C50FD1" w:rsidRDefault="00596386" w:rsidP="00596386">
      <w:pPr>
        <w:tabs>
          <w:tab w:val="left" w:pos="360"/>
        </w:tabs>
        <w:jc w:val="both"/>
        <w:rPr>
          <w:lang w:val="pt-BR"/>
        </w:rPr>
      </w:pPr>
      <w:r w:rsidRPr="00C50FD1">
        <w:rPr>
          <w:rFonts w:cs="Arial"/>
          <w:snapToGrid w:val="0"/>
          <w:color w:val="000000"/>
          <w:szCs w:val="18"/>
          <w:lang w:val="pt-BR"/>
        </w:rPr>
        <w:t>A equipe de Suporte do Windows Azure trabalhará com clientes para solucionar o problema e ajudar a resolver os Incidentes pelos canais online (por exemplo, por email ou portal do Windows Azure).</w:t>
      </w:r>
      <w:r w:rsidR="005A52A2" w:rsidRPr="00C50FD1">
        <w:rPr>
          <w:rFonts w:cs="Arial"/>
          <w:snapToGrid w:val="0"/>
          <w:color w:val="000000"/>
          <w:szCs w:val="18"/>
          <w:lang w:val="pt-BR"/>
        </w:rPr>
        <w:t xml:space="preserve"> </w:t>
      </w:r>
      <w:r w:rsidRPr="00C50FD1">
        <w:rPr>
          <w:rFonts w:cs="Arial"/>
          <w:snapToGrid w:val="0"/>
          <w:color w:val="000000"/>
          <w:szCs w:val="18"/>
          <w:lang w:val="pt-BR"/>
        </w:rPr>
        <w:t>A equipe de Suporte do Windows Azure poderá contatar o cliente pelo número de telefone fornecido pelo cliente, se necessário, para resolver um Incidente.</w:t>
      </w:r>
    </w:p>
    <w:p w:rsidR="00596386" w:rsidRPr="00C50FD1" w:rsidRDefault="00596386" w:rsidP="00DD7F8E">
      <w:pPr>
        <w:rPr>
          <w:lang w:val="pt-BR"/>
        </w:rPr>
      </w:pPr>
    </w:p>
    <w:p w:rsidR="00DD7F8E" w:rsidRPr="00C50FD1" w:rsidRDefault="00DD7F8E" w:rsidP="00DD7F8E">
      <w:pPr>
        <w:rPr>
          <w:lang w:val="pt-BR"/>
        </w:rPr>
      </w:pPr>
      <w:r w:rsidRPr="00C50FD1">
        <w:rPr>
          <w:b/>
          <w:sz w:val="24"/>
          <w:szCs w:val="24"/>
          <w:lang w:val="pt-BR"/>
        </w:rPr>
        <w:t>Ofertas do Programa Microsoft Enterprise Strategy</w:t>
      </w:r>
    </w:p>
    <w:p w:rsidR="00DD7F8E" w:rsidRPr="00C50FD1" w:rsidRDefault="00DD7F8E" w:rsidP="00DD7F8E">
      <w:pPr>
        <w:rPr>
          <w:lang w:val="pt-BR"/>
        </w:rPr>
      </w:pPr>
    </w:p>
    <w:p w:rsidR="00DD7F8E" w:rsidRPr="00C50FD1" w:rsidRDefault="00DD7F8E" w:rsidP="006D6BED">
      <w:pPr>
        <w:widowControl w:val="0"/>
        <w:tabs>
          <w:tab w:val="left" w:pos="720"/>
          <w:tab w:val="left" w:pos="1170"/>
        </w:tabs>
        <w:spacing w:after="60"/>
        <w:rPr>
          <w:lang w:val="pt-BR"/>
        </w:rPr>
      </w:pPr>
      <w:r w:rsidRPr="00C50FD1">
        <w:rPr>
          <w:rFonts w:cs="Arial"/>
          <w:b/>
          <w:bCs/>
          <w:szCs w:val="18"/>
          <w:lang w:val="pt-BR"/>
        </w:rPr>
        <w:t>Visão Geral do Programa Enterprise Strategy</w:t>
      </w:r>
    </w:p>
    <w:p w:rsidR="00DD7F8E" w:rsidRPr="00C50FD1" w:rsidRDefault="00DD7F8E" w:rsidP="006D6BED">
      <w:pPr>
        <w:rPr>
          <w:lang w:val="pt-BR"/>
        </w:rPr>
      </w:pPr>
      <w:r w:rsidRPr="00C50FD1">
        <w:rPr>
          <w:rFonts w:cs="Arial"/>
          <w:lang w:val="pt-BR"/>
        </w:rPr>
        <w:t xml:space="preserve">O Programa Enterprise Strategy para o Contrato Microsoft Enterprise oferece aos clientes a consultoria de um Arquitetos Microsoft Enterprise sobre como acelerar o tempo de adoção da tecnologia e como planejar uma alteração significativa para valorizar seu investimento feito nas tecnologias e nos produtos da Microsoft. Cronogramas, datas e programações de entrega são apenas estimativas e estão sujeitos a alterações. </w:t>
      </w:r>
    </w:p>
    <w:p w:rsidR="00DD7F8E" w:rsidRPr="00C50FD1" w:rsidRDefault="00DD7F8E" w:rsidP="006D6BED">
      <w:pPr>
        <w:rPr>
          <w:lang w:val="pt-BR"/>
        </w:rPr>
      </w:pPr>
    </w:p>
    <w:p w:rsidR="0064651F" w:rsidRPr="00C50FD1" w:rsidRDefault="00DD7F8E" w:rsidP="006D6BED">
      <w:pPr>
        <w:rPr>
          <w:lang w:val="pt-BR"/>
        </w:rPr>
      </w:pPr>
      <w:r w:rsidRPr="00C50FD1">
        <w:rPr>
          <w:rFonts w:cs="Arial"/>
          <w:lang w:val="pt-BR"/>
        </w:rPr>
        <w:t>As ofertas do Programa Enterprise Strategy contêm os seguintes componentes, que serão fornecidos para cada ano do Contrato Enterprise do Cliente:</w:t>
      </w:r>
    </w:p>
    <w:p w:rsidR="00FD27BC" w:rsidRPr="00C50FD1" w:rsidRDefault="00FD27BC" w:rsidP="006D6BED">
      <w:pPr>
        <w:rPr>
          <w:lang w:val="pt-BR"/>
        </w:rPr>
      </w:pPr>
      <w:bookmarkStart w:id="974" w:name="OLE_LINK5"/>
      <w:bookmarkStart w:id="97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653421" w:rsidTr="002A6416">
        <w:tc>
          <w:tcPr>
            <w:tcW w:w="2555" w:type="dxa"/>
            <w:shd w:val="clear" w:color="auto" w:fill="FABF8F"/>
            <w:vAlign w:val="center"/>
          </w:tcPr>
          <w:p w:rsidR="00FD27BC" w:rsidRPr="00653421" w:rsidRDefault="00FD27BC" w:rsidP="00FD27BC">
            <w:pPr>
              <w:jc w:val="center"/>
              <w:rPr>
                <w:rFonts w:cs="Tahoma"/>
                <w:color w:val="000000"/>
                <w:szCs w:val="18"/>
              </w:rPr>
            </w:pPr>
            <w:r w:rsidRPr="00653421">
              <w:rPr>
                <w:rFonts w:cs="Tahoma"/>
                <w:b/>
                <w:bCs/>
                <w:color w:val="000000"/>
                <w:sz w:val="20"/>
                <w:szCs w:val="18"/>
              </w:rPr>
              <w:t>Área</w:t>
            </w:r>
          </w:p>
        </w:tc>
        <w:tc>
          <w:tcPr>
            <w:tcW w:w="2215" w:type="dxa"/>
            <w:shd w:val="clear" w:color="auto" w:fill="FABF8F"/>
            <w:vAlign w:val="center"/>
          </w:tcPr>
          <w:p w:rsidR="00FD27BC" w:rsidRPr="00653421" w:rsidRDefault="00FD27BC" w:rsidP="00FD27BC">
            <w:pPr>
              <w:jc w:val="center"/>
              <w:rPr>
                <w:rFonts w:cs="Tahoma"/>
                <w:b/>
                <w:bCs/>
                <w:color w:val="000000"/>
                <w:sz w:val="20"/>
                <w:szCs w:val="20"/>
              </w:rPr>
            </w:pPr>
            <w:r w:rsidRPr="00653421">
              <w:rPr>
                <w:rFonts w:cs="Tahoma"/>
                <w:b/>
                <w:bCs/>
                <w:color w:val="000000"/>
                <w:sz w:val="20"/>
                <w:szCs w:val="20"/>
              </w:rPr>
              <w:t>Enterprise Strategy Connect</w:t>
            </w:r>
          </w:p>
        </w:tc>
        <w:tc>
          <w:tcPr>
            <w:tcW w:w="2340" w:type="dxa"/>
            <w:shd w:val="clear" w:color="auto" w:fill="FABF8F"/>
            <w:vAlign w:val="center"/>
          </w:tcPr>
          <w:p w:rsidR="00FD27BC" w:rsidRPr="00653421" w:rsidRDefault="00FD27BC" w:rsidP="00FD27BC">
            <w:pPr>
              <w:jc w:val="center"/>
              <w:rPr>
                <w:rFonts w:cs="Tahoma"/>
                <w:color w:val="000000"/>
                <w:sz w:val="20"/>
                <w:szCs w:val="20"/>
              </w:rPr>
            </w:pPr>
            <w:r w:rsidRPr="00653421">
              <w:rPr>
                <w:rFonts w:cs="Tahoma"/>
                <w:b/>
                <w:bCs/>
                <w:color w:val="000000"/>
                <w:sz w:val="20"/>
                <w:szCs w:val="20"/>
              </w:rPr>
              <w:t>Enterprise Strategy Foundation</w:t>
            </w:r>
          </w:p>
        </w:tc>
        <w:tc>
          <w:tcPr>
            <w:tcW w:w="2250" w:type="dxa"/>
            <w:shd w:val="clear" w:color="auto" w:fill="FABF8F"/>
            <w:vAlign w:val="center"/>
          </w:tcPr>
          <w:p w:rsidR="00FD27BC" w:rsidRPr="00653421" w:rsidRDefault="00FD27BC" w:rsidP="00FD27BC">
            <w:pPr>
              <w:jc w:val="center"/>
              <w:rPr>
                <w:rFonts w:cs="Tahoma"/>
                <w:b/>
                <w:bCs/>
                <w:color w:val="000000"/>
                <w:sz w:val="20"/>
                <w:szCs w:val="18"/>
              </w:rPr>
            </w:pPr>
            <w:r w:rsidRPr="00653421">
              <w:rPr>
                <w:rFonts w:cs="Tahoma"/>
                <w:b/>
                <w:bCs/>
                <w:color w:val="000000"/>
                <w:sz w:val="20"/>
                <w:szCs w:val="18"/>
              </w:rPr>
              <w:t>Enterprise Strategy Portfolio</w:t>
            </w:r>
          </w:p>
        </w:tc>
      </w:tr>
      <w:tr w:rsidR="00FD27BC" w:rsidRPr="00C50FD1" w:rsidTr="002A6416">
        <w:tc>
          <w:tcPr>
            <w:tcW w:w="2555" w:type="dxa"/>
            <w:vAlign w:val="center"/>
          </w:tcPr>
          <w:p w:rsidR="00FD27BC" w:rsidRPr="00653421" w:rsidRDefault="00FD27BC" w:rsidP="009B78AB">
            <w:pPr>
              <w:rPr>
                <w:rFonts w:cs="Tahoma"/>
                <w:color w:val="000000"/>
                <w:szCs w:val="18"/>
              </w:rPr>
            </w:pPr>
            <w:r w:rsidRPr="00653421">
              <w:rPr>
                <w:rFonts w:cs="Tahoma"/>
                <w:color w:val="000000"/>
                <w:szCs w:val="18"/>
              </w:rPr>
              <w:t>Arquiteto Enterprise</w:t>
            </w:r>
          </w:p>
        </w:tc>
        <w:tc>
          <w:tcPr>
            <w:tcW w:w="2215" w:type="dxa"/>
            <w:vAlign w:val="center"/>
          </w:tcPr>
          <w:p w:rsidR="00FD27BC" w:rsidRPr="00C50FD1" w:rsidRDefault="00FD27BC" w:rsidP="00FD27BC">
            <w:pPr>
              <w:jc w:val="center"/>
              <w:rPr>
                <w:rFonts w:eastAsia="MS UI Gothic" w:cs="Tahoma"/>
                <w:color w:val="000000"/>
                <w:szCs w:val="18"/>
                <w:lang w:val="pt-BR"/>
              </w:rPr>
            </w:pPr>
            <w:r w:rsidRPr="00C50FD1">
              <w:rPr>
                <w:rFonts w:eastAsia="MS UI Gothic" w:cs="Tahoma"/>
                <w:color w:val="000000"/>
                <w:szCs w:val="18"/>
                <w:lang w:val="pt-BR"/>
              </w:rPr>
              <w:t xml:space="preserve">1 Arquiteto Microsoft Enterprise disponível 25% do período </w:t>
            </w:r>
            <w:r w:rsidRPr="00C50FD1">
              <w:rPr>
                <w:rFonts w:cs="Tahoma"/>
                <w:b/>
                <w:bCs/>
                <w:color w:val="000000"/>
                <w:sz w:val="20"/>
                <w:szCs w:val="18"/>
                <w:vertAlign w:val="superscript"/>
                <w:lang w:val="pt-BR"/>
              </w:rPr>
              <w:t>1</w:t>
            </w:r>
          </w:p>
        </w:tc>
        <w:tc>
          <w:tcPr>
            <w:tcW w:w="2340" w:type="dxa"/>
            <w:vAlign w:val="center"/>
          </w:tcPr>
          <w:p w:rsidR="00FD27BC" w:rsidRPr="00C50FD1" w:rsidRDefault="00FD27BC" w:rsidP="00FD27BC">
            <w:pPr>
              <w:jc w:val="center"/>
              <w:rPr>
                <w:rFonts w:cs="Tahoma"/>
                <w:color w:val="000000"/>
                <w:szCs w:val="18"/>
                <w:lang w:val="pt-BR"/>
              </w:rPr>
            </w:pPr>
            <w:r w:rsidRPr="00C50FD1">
              <w:rPr>
                <w:rFonts w:eastAsia="MS UI Gothic" w:cs="Tahoma"/>
                <w:color w:val="000000"/>
                <w:szCs w:val="18"/>
                <w:lang w:val="pt-BR"/>
              </w:rPr>
              <w:t xml:space="preserve">1 Arquiteto Microsoft Enterprise de Meio Período </w:t>
            </w:r>
            <w:r w:rsidRPr="00C50FD1">
              <w:rPr>
                <w:rFonts w:cs="Tahoma"/>
                <w:b/>
                <w:bCs/>
                <w:color w:val="000000"/>
                <w:sz w:val="20"/>
                <w:szCs w:val="18"/>
                <w:vertAlign w:val="superscript"/>
                <w:lang w:val="pt-BR"/>
              </w:rPr>
              <w:t>1</w:t>
            </w:r>
          </w:p>
        </w:tc>
        <w:tc>
          <w:tcPr>
            <w:tcW w:w="2250" w:type="dxa"/>
            <w:vAlign w:val="center"/>
          </w:tcPr>
          <w:p w:rsidR="00FD27BC" w:rsidRPr="00C50FD1" w:rsidRDefault="00FD27BC" w:rsidP="00FD27BC">
            <w:pPr>
              <w:jc w:val="center"/>
              <w:rPr>
                <w:rFonts w:cs="Tahoma"/>
                <w:color w:val="000000"/>
                <w:szCs w:val="18"/>
                <w:lang w:val="pt-BR"/>
              </w:rPr>
            </w:pPr>
            <w:r w:rsidRPr="00C50FD1">
              <w:rPr>
                <w:rFonts w:eastAsia="MS UI Gothic" w:cs="Tahoma"/>
                <w:color w:val="000000"/>
                <w:szCs w:val="18"/>
                <w:lang w:val="pt-BR"/>
              </w:rPr>
              <w:t xml:space="preserve">1 Arquiteto Microsoft Enterprise em Período Integral </w:t>
            </w:r>
            <w:r w:rsidRPr="00C50FD1">
              <w:rPr>
                <w:rFonts w:cs="Tahoma"/>
                <w:b/>
                <w:bCs/>
                <w:color w:val="000000"/>
                <w:sz w:val="20"/>
                <w:szCs w:val="18"/>
                <w:vertAlign w:val="superscript"/>
                <w:lang w:val="pt-BR"/>
              </w:rPr>
              <w:t>1</w:t>
            </w:r>
          </w:p>
        </w:tc>
      </w:tr>
      <w:tr w:rsidR="00FD27BC" w:rsidRPr="00C50FD1" w:rsidTr="002A6416">
        <w:tc>
          <w:tcPr>
            <w:tcW w:w="2555" w:type="dxa"/>
            <w:vAlign w:val="center"/>
          </w:tcPr>
          <w:p w:rsidR="00FD27BC" w:rsidRPr="00653421" w:rsidRDefault="00FD27BC" w:rsidP="00FD27BC">
            <w:pPr>
              <w:rPr>
                <w:rFonts w:cs="Tahoma"/>
                <w:color w:val="000000"/>
                <w:szCs w:val="18"/>
              </w:rPr>
            </w:pPr>
            <w:r w:rsidRPr="00653421">
              <w:rPr>
                <w:rFonts w:cs="Tahoma"/>
                <w:color w:val="000000"/>
                <w:szCs w:val="18"/>
              </w:rPr>
              <w:t>Avaliação</w:t>
            </w:r>
            <w:r w:rsidRPr="00653421">
              <w:rPr>
                <w:rFonts w:cs="Tahoma"/>
                <w:b/>
                <w:bCs/>
                <w:color w:val="000000"/>
                <w:sz w:val="20"/>
                <w:szCs w:val="18"/>
              </w:rPr>
              <w:t xml:space="preserve"> </w:t>
            </w:r>
            <w:r w:rsidRPr="00653421">
              <w:rPr>
                <w:rFonts w:cs="Tahoma"/>
                <w:b/>
                <w:bCs/>
                <w:color w:val="000000"/>
                <w:sz w:val="20"/>
                <w:szCs w:val="18"/>
                <w:vertAlign w:val="superscript"/>
              </w:rPr>
              <w:t>2</w:t>
            </w:r>
          </w:p>
        </w:tc>
        <w:tc>
          <w:tcPr>
            <w:tcW w:w="2215" w:type="dxa"/>
            <w:vAlign w:val="center"/>
          </w:tcPr>
          <w:p w:rsidR="00FD27BC" w:rsidRPr="00C50FD1" w:rsidRDefault="00FD27BC" w:rsidP="00FD27BC">
            <w:pPr>
              <w:jc w:val="center"/>
              <w:rPr>
                <w:rFonts w:cs="Tahoma"/>
                <w:color w:val="000000"/>
                <w:szCs w:val="18"/>
                <w:lang w:val="pt-BR"/>
              </w:rPr>
            </w:pPr>
            <w:r w:rsidRPr="00C50FD1">
              <w:rPr>
                <w:rFonts w:cs="Tahoma"/>
                <w:color w:val="000000"/>
                <w:szCs w:val="18"/>
                <w:lang w:val="pt-BR"/>
              </w:rPr>
              <w:t>Até 25% do esforço do Arquiteto por ano</w:t>
            </w:r>
          </w:p>
        </w:tc>
        <w:tc>
          <w:tcPr>
            <w:tcW w:w="2340" w:type="dxa"/>
            <w:vAlign w:val="center"/>
          </w:tcPr>
          <w:p w:rsidR="00FD27BC" w:rsidRPr="00C50FD1" w:rsidRDefault="00FD27BC" w:rsidP="00FD27BC">
            <w:pPr>
              <w:jc w:val="center"/>
              <w:rPr>
                <w:rFonts w:cs="Tahoma"/>
                <w:color w:val="000000"/>
                <w:szCs w:val="18"/>
                <w:lang w:val="pt-BR"/>
              </w:rPr>
            </w:pPr>
            <w:r w:rsidRPr="00C50FD1">
              <w:rPr>
                <w:rFonts w:cs="Tahoma"/>
                <w:color w:val="000000"/>
                <w:szCs w:val="18"/>
                <w:lang w:val="pt-BR"/>
              </w:rPr>
              <w:t>Até 25% do esforço do Arquiteto por ano</w:t>
            </w:r>
          </w:p>
        </w:tc>
        <w:tc>
          <w:tcPr>
            <w:tcW w:w="2250" w:type="dxa"/>
            <w:vAlign w:val="center"/>
          </w:tcPr>
          <w:p w:rsidR="00FD27BC" w:rsidRPr="00C50FD1" w:rsidRDefault="00FD27BC" w:rsidP="00FD27BC">
            <w:pPr>
              <w:jc w:val="center"/>
              <w:rPr>
                <w:rFonts w:cs="Tahoma"/>
                <w:color w:val="000000"/>
                <w:szCs w:val="18"/>
                <w:lang w:val="pt-BR"/>
              </w:rPr>
            </w:pPr>
            <w:r w:rsidRPr="00C50FD1">
              <w:rPr>
                <w:rFonts w:cs="Tahoma"/>
                <w:color w:val="000000"/>
                <w:szCs w:val="18"/>
                <w:lang w:val="pt-BR"/>
              </w:rPr>
              <w:t>Até 25% do esforço do Arquiteto por ano</w:t>
            </w:r>
          </w:p>
        </w:tc>
      </w:tr>
      <w:tr w:rsidR="00FD27BC" w:rsidRPr="00C50FD1" w:rsidTr="002A6416">
        <w:tc>
          <w:tcPr>
            <w:tcW w:w="2555" w:type="dxa"/>
            <w:vAlign w:val="center"/>
          </w:tcPr>
          <w:p w:rsidR="00FD27BC" w:rsidRPr="00653421" w:rsidRDefault="00FD27BC" w:rsidP="00FD27BC">
            <w:pPr>
              <w:rPr>
                <w:rFonts w:cs="Tahoma"/>
                <w:color w:val="000000"/>
                <w:szCs w:val="18"/>
              </w:rPr>
            </w:pPr>
            <w:r w:rsidRPr="00653421">
              <w:rPr>
                <w:rFonts w:cs="Tahoma"/>
                <w:color w:val="000000"/>
                <w:szCs w:val="18"/>
              </w:rPr>
              <w:t>Projeto Enterprise Strategy</w:t>
            </w:r>
            <w:r w:rsidRPr="00653421">
              <w:rPr>
                <w:rFonts w:cs="Tahoma"/>
                <w:b/>
                <w:bCs/>
                <w:color w:val="000000"/>
                <w:sz w:val="20"/>
                <w:szCs w:val="18"/>
              </w:rPr>
              <w:t xml:space="preserve"> </w:t>
            </w:r>
            <w:r w:rsidRPr="00653421">
              <w:rPr>
                <w:rFonts w:cs="Tahoma"/>
                <w:b/>
                <w:bCs/>
                <w:color w:val="000000"/>
                <w:sz w:val="20"/>
                <w:szCs w:val="18"/>
                <w:vertAlign w:val="superscript"/>
              </w:rPr>
              <w:t>2</w:t>
            </w:r>
          </w:p>
        </w:tc>
        <w:tc>
          <w:tcPr>
            <w:tcW w:w="2215" w:type="dxa"/>
            <w:vAlign w:val="center"/>
          </w:tcPr>
          <w:p w:rsidR="00FD27BC" w:rsidRPr="00C50FD1" w:rsidRDefault="00FD27BC" w:rsidP="00FD27BC">
            <w:pPr>
              <w:jc w:val="center"/>
              <w:rPr>
                <w:rFonts w:cs="Tahoma"/>
                <w:color w:val="000000"/>
                <w:szCs w:val="18"/>
                <w:lang w:val="pt-BR"/>
              </w:rPr>
            </w:pPr>
            <w:r w:rsidRPr="00C50FD1">
              <w:rPr>
                <w:rFonts w:cs="Tahoma"/>
                <w:color w:val="000000"/>
                <w:szCs w:val="18"/>
                <w:lang w:val="pt-BR"/>
              </w:rPr>
              <w:t>Até 75% do esforço do Arquiteto por ano</w:t>
            </w:r>
          </w:p>
        </w:tc>
        <w:tc>
          <w:tcPr>
            <w:tcW w:w="2340" w:type="dxa"/>
            <w:vAlign w:val="center"/>
          </w:tcPr>
          <w:p w:rsidR="00FD27BC" w:rsidRPr="00C50FD1" w:rsidRDefault="00FD27BC" w:rsidP="00FD27BC">
            <w:pPr>
              <w:jc w:val="center"/>
              <w:rPr>
                <w:rFonts w:cs="Tahoma"/>
                <w:color w:val="000000"/>
                <w:szCs w:val="18"/>
                <w:lang w:val="pt-BR"/>
              </w:rPr>
            </w:pPr>
            <w:r w:rsidRPr="00C50FD1">
              <w:rPr>
                <w:rFonts w:cs="Tahoma"/>
                <w:color w:val="000000"/>
                <w:szCs w:val="18"/>
                <w:lang w:val="pt-BR"/>
              </w:rPr>
              <w:t>Até 75% do esforço do Arquiteto por ano</w:t>
            </w:r>
          </w:p>
        </w:tc>
        <w:tc>
          <w:tcPr>
            <w:tcW w:w="2250" w:type="dxa"/>
            <w:vAlign w:val="center"/>
          </w:tcPr>
          <w:p w:rsidR="00FD27BC" w:rsidRPr="00C50FD1" w:rsidRDefault="00FD27BC" w:rsidP="00FD27BC">
            <w:pPr>
              <w:jc w:val="center"/>
              <w:rPr>
                <w:rFonts w:cs="Tahoma"/>
                <w:color w:val="000000"/>
                <w:szCs w:val="18"/>
                <w:lang w:val="pt-BR"/>
              </w:rPr>
            </w:pPr>
            <w:r w:rsidRPr="00C50FD1">
              <w:rPr>
                <w:rFonts w:cs="Tahoma"/>
                <w:color w:val="000000"/>
                <w:szCs w:val="18"/>
                <w:lang w:val="pt-BR"/>
              </w:rPr>
              <w:t>Até 75% do esforço do Arquiteto por ano</w:t>
            </w:r>
          </w:p>
        </w:tc>
      </w:tr>
      <w:tr w:rsidR="00FD27BC" w:rsidRPr="00653421" w:rsidTr="002A6416">
        <w:tc>
          <w:tcPr>
            <w:tcW w:w="2555" w:type="dxa"/>
            <w:vAlign w:val="center"/>
          </w:tcPr>
          <w:p w:rsidR="00FD27BC" w:rsidRPr="00653421" w:rsidRDefault="00FD27BC" w:rsidP="00FD27BC">
            <w:pPr>
              <w:rPr>
                <w:rFonts w:cs="Tahoma"/>
                <w:color w:val="000000"/>
                <w:szCs w:val="18"/>
              </w:rPr>
            </w:pPr>
            <w:r w:rsidRPr="00653421">
              <w:rPr>
                <w:rFonts w:cs="Tahoma"/>
                <w:color w:val="000000"/>
                <w:szCs w:val="18"/>
              </w:rPr>
              <w:t>Oficinas do Compromisso</w:t>
            </w:r>
          </w:p>
        </w:tc>
        <w:tc>
          <w:tcPr>
            <w:tcW w:w="2215" w:type="dxa"/>
            <w:vAlign w:val="center"/>
          </w:tcPr>
          <w:p w:rsidR="00FD27BC" w:rsidRPr="00653421" w:rsidRDefault="00FD27BC" w:rsidP="00FD27BC">
            <w:pPr>
              <w:jc w:val="center"/>
              <w:rPr>
                <w:rFonts w:cs="Tahoma"/>
                <w:color w:val="000000"/>
                <w:szCs w:val="18"/>
              </w:rPr>
            </w:pPr>
            <w:r w:rsidRPr="00653421">
              <w:rPr>
                <w:rFonts w:cs="Tahoma"/>
                <w:color w:val="000000"/>
                <w:szCs w:val="18"/>
              </w:rPr>
              <w:t>Até 1 por ano</w:t>
            </w:r>
          </w:p>
        </w:tc>
        <w:tc>
          <w:tcPr>
            <w:tcW w:w="2340" w:type="dxa"/>
            <w:vAlign w:val="center"/>
          </w:tcPr>
          <w:p w:rsidR="00FD27BC" w:rsidRPr="00653421" w:rsidRDefault="00FD27BC" w:rsidP="00FD27BC">
            <w:pPr>
              <w:jc w:val="center"/>
              <w:rPr>
                <w:rFonts w:cs="Tahoma"/>
                <w:color w:val="000000"/>
                <w:szCs w:val="18"/>
              </w:rPr>
            </w:pPr>
            <w:r w:rsidRPr="00653421">
              <w:rPr>
                <w:rFonts w:cs="Tahoma"/>
                <w:color w:val="000000"/>
                <w:szCs w:val="18"/>
              </w:rPr>
              <w:t>Até 2 por ano</w:t>
            </w:r>
          </w:p>
        </w:tc>
        <w:tc>
          <w:tcPr>
            <w:tcW w:w="2250" w:type="dxa"/>
            <w:vAlign w:val="center"/>
          </w:tcPr>
          <w:p w:rsidR="00FD27BC" w:rsidRPr="00653421" w:rsidRDefault="00FD27BC" w:rsidP="00FD27BC">
            <w:pPr>
              <w:spacing w:before="120"/>
              <w:jc w:val="center"/>
              <w:rPr>
                <w:rFonts w:cs="Tahoma"/>
                <w:color w:val="000000"/>
                <w:szCs w:val="18"/>
              </w:rPr>
            </w:pPr>
            <w:r w:rsidRPr="00653421">
              <w:t>Até 4 por ano</w:t>
            </w:r>
          </w:p>
        </w:tc>
      </w:tr>
      <w:tr w:rsidR="00FD27BC" w:rsidRPr="00653421" w:rsidTr="002A6416">
        <w:tc>
          <w:tcPr>
            <w:tcW w:w="2555" w:type="dxa"/>
            <w:vAlign w:val="center"/>
          </w:tcPr>
          <w:p w:rsidR="00FD27BC" w:rsidRPr="00653421" w:rsidRDefault="00FD27BC" w:rsidP="00FD27BC">
            <w:pPr>
              <w:rPr>
                <w:rFonts w:cs="Tahoma"/>
                <w:color w:val="000000"/>
                <w:szCs w:val="18"/>
              </w:rPr>
            </w:pPr>
            <w:r w:rsidRPr="00653421">
              <w:rPr>
                <w:rFonts w:cs="Tahoma"/>
                <w:color w:val="000000"/>
                <w:szCs w:val="18"/>
              </w:rPr>
              <w:t>Enterprise Strategy Network</w:t>
            </w:r>
          </w:p>
        </w:tc>
        <w:tc>
          <w:tcPr>
            <w:tcW w:w="2215" w:type="dxa"/>
            <w:vAlign w:val="center"/>
          </w:tcPr>
          <w:p w:rsidR="00FD27BC" w:rsidRPr="00653421" w:rsidRDefault="00FD27BC" w:rsidP="00FD27BC">
            <w:pPr>
              <w:jc w:val="center"/>
              <w:rPr>
                <w:rFonts w:ascii="MS UI Gothic" w:eastAsia="MS UI Gothic" w:hAnsi="MS UI Gothic" w:cs="MS UI Gothic"/>
                <w:color w:val="000000"/>
                <w:szCs w:val="18"/>
              </w:rPr>
            </w:pPr>
            <w:r w:rsidRPr="00653421">
              <w:rPr>
                <w:rFonts w:ascii="MS UI Gothic" w:eastAsia="MS UI Gothic" w:hAnsi="MS UI Gothic" w:cs="MS UI Gothic"/>
                <w:color w:val="000000"/>
                <w:szCs w:val="18"/>
              </w:rPr>
              <w:t>✓</w:t>
            </w:r>
          </w:p>
        </w:tc>
        <w:tc>
          <w:tcPr>
            <w:tcW w:w="2340" w:type="dxa"/>
            <w:vAlign w:val="center"/>
          </w:tcPr>
          <w:p w:rsidR="00FD27BC" w:rsidRPr="00653421" w:rsidRDefault="00FD27BC" w:rsidP="00FD27BC">
            <w:pPr>
              <w:jc w:val="center"/>
              <w:rPr>
                <w:rFonts w:ascii="MS UI Gothic" w:eastAsia="MS UI Gothic" w:hAnsi="MS UI Gothic" w:cs="MS UI Gothic"/>
                <w:color w:val="000000"/>
                <w:szCs w:val="18"/>
              </w:rPr>
            </w:pPr>
            <w:r w:rsidRPr="00653421">
              <w:rPr>
                <w:rFonts w:ascii="MS UI Gothic" w:eastAsia="MS UI Gothic" w:hAnsi="MS UI Gothic" w:cs="MS UI Gothic"/>
                <w:color w:val="000000"/>
                <w:szCs w:val="18"/>
              </w:rPr>
              <w:t>✓</w:t>
            </w:r>
          </w:p>
        </w:tc>
        <w:tc>
          <w:tcPr>
            <w:tcW w:w="2250" w:type="dxa"/>
            <w:vAlign w:val="center"/>
          </w:tcPr>
          <w:p w:rsidR="00FD27BC" w:rsidRPr="00653421" w:rsidRDefault="00FD27BC" w:rsidP="00FD27BC">
            <w:pPr>
              <w:jc w:val="center"/>
              <w:rPr>
                <w:rFonts w:ascii="MS UI Gothic" w:eastAsia="MS UI Gothic" w:hAnsi="MS UI Gothic" w:cs="MS UI Gothic"/>
              </w:rPr>
            </w:pPr>
            <w:r w:rsidRPr="00653421">
              <w:rPr>
                <w:rFonts w:ascii="MS UI Gothic" w:eastAsia="MS UI Gothic" w:hAnsi="MS UI Gothic" w:cs="MS UI Gothic"/>
                <w:color w:val="000000"/>
                <w:szCs w:val="18"/>
              </w:rPr>
              <w:t>✓</w:t>
            </w:r>
          </w:p>
        </w:tc>
      </w:tr>
      <w:tr w:rsidR="00FD27BC" w:rsidRPr="00653421" w:rsidTr="002A6416">
        <w:tc>
          <w:tcPr>
            <w:tcW w:w="2555" w:type="dxa"/>
            <w:vAlign w:val="center"/>
          </w:tcPr>
          <w:p w:rsidR="00FD27BC" w:rsidRPr="00653421" w:rsidRDefault="00FD27BC" w:rsidP="00FD27BC">
            <w:pPr>
              <w:rPr>
                <w:rFonts w:cs="Tahoma"/>
                <w:color w:val="000000"/>
                <w:szCs w:val="18"/>
              </w:rPr>
            </w:pPr>
            <w:r w:rsidRPr="00653421">
              <w:rPr>
                <w:rFonts w:cs="Tahoma"/>
                <w:color w:val="000000"/>
                <w:szCs w:val="18"/>
              </w:rPr>
              <w:t>Enterprise Strategy Library</w:t>
            </w:r>
          </w:p>
        </w:tc>
        <w:tc>
          <w:tcPr>
            <w:tcW w:w="2215" w:type="dxa"/>
            <w:vAlign w:val="center"/>
          </w:tcPr>
          <w:p w:rsidR="00FD27BC" w:rsidRPr="00653421" w:rsidRDefault="00FD27BC" w:rsidP="00FD27BC">
            <w:pPr>
              <w:jc w:val="center"/>
              <w:rPr>
                <w:rFonts w:ascii="MS UI Gothic" w:eastAsia="MS UI Gothic" w:hAnsi="MS UI Gothic" w:cs="MS UI Gothic"/>
                <w:color w:val="000000"/>
                <w:szCs w:val="18"/>
              </w:rPr>
            </w:pPr>
            <w:r w:rsidRPr="00653421">
              <w:rPr>
                <w:rFonts w:ascii="MS UI Gothic" w:eastAsia="MS UI Gothic" w:hAnsi="MS UI Gothic" w:cs="MS UI Gothic"/>
                <w:color w:val="000000"/>
                <w:szCs w:val="18"/>
              </w:rPr>
              <w:t>✓</w:t>
            </w:r>
          </w:p>
        </w:tc>
        <w:tc>
          <w:tcPr>
            <w:tcW w:w="2340" w:type="dxa"/>
            <w:vAlign w:val="center"/>
          </w:tcPr>
          <w:p w:rsidR="00FD27BC" w:rsidRPr="00653421" w:rsidRDefault="00FD27BC" w:rsidP="00FD27BC">
            <w:pPr>
              <w:jc w:val="center"/>
              <w:rPr>
                <w:rFonts w:ascii="MS UI Gothic" w:eastAsia="MS UI Gothic" w:hAnsi="MS UI Gothic" w:cs="MS UI Gothic"/>
                <w:color w:val="000000"/>
                <w:szCs w:val="18"/>
              </w:rPr>
            </w:pPr>
            <w:r w:rsidRPr="00653421">
              <w:rPr>
                <w:rFonts w:ascii="MS UI Gothic" w:eastAsia="MS UI Gothic" w:hAnsi="MS UI Gothic" w:cs="MS UI Gothic"/>
                <w:color w:val="000000"/>
                <w:szCs w:val="18"/>
              </w:rPr>
              <w:t>✓</w:t>
            </w:r>
          </w:p>
        </w:tc>
        <w:tc>
          <w:tcPr>
            <w:tcW w:w="2250" w:type="dxa"/>
            <w:vAlign w:val="center"/>
          </w:tcPr>
          <w:p w:rsidR="00FD27BC" w:rsidRPr="00653421" w:rsidRDefault="00FD27BC" w:rsidP="00FD27BC">
            <w:pPr>
              <w:jc w:val="center"/>
              <w:rPr>
                <w:rFonts w:ascii="MS UI Gothic" w:eastAsia="MS UI Gothic" w:hAnsi="MS UI Gothic" w:cs="MS UI Gothic"/>
              </w:rPr>
            </w:pPr>
            <w:r w:rsidRPr="00653421">
              <w:rPr>
                <w:rFonts w:ascii="MS UI Gothic" w:eastAsia="MS UI Gothic" w:hAnsi="MS UI Gothic" w:cs="MS UI Gothic"/>
                <w:color w:val="000000"/>
                <w:szCs w:val="18"/>
              </w:rPr>
              <w:t>✓</w:t>
            </w:r>
          </w:p>
        </w:tc>
      </w:tr>
      <w:tr w:rsidR="00FD27BC" w:rsidRPr="00653421" w:rsidTr="002A6416">
        <w:tc>
          <w:tcPr>
            <w:tcW w:w="2555" w:type="dxa"/>
            <w:vAlign w:val="center"/>
          </w:tcPr>
          <w:p w:rsidR="00FD27BC" w:rsidRPr="00653421" w:rsidRDefault="00FD27BC" w:rsidP="00FD27BC">
            <w:pPr>
              <w:rPr>
                <w:rFonts w:cs="Tahoma"/>
                <w:color w:val="000000"/>
                <w:szCs w:val="18"/>
              </w:rPr>
            </w:pPr>
            <w:r w:rsidRPr="00653421">
              <w:rPr>
                <w:rFonts w:cs="Tahoma"/>
                <w:color w:val="000000"/>
                <w:szCs w:val="18"/>
              </w:rPr>
              <w:t>Instruções Estratégicas</w:t>
            </w:r>
          </w:p>
        </w:tc>
        <w:tc>
          <w:tcPr>
            <w:tcW w:w="2215" w:type="dxa"/>
            <w:vAlign w:val="center"/>
          </w:tcPr>
          <w:p w:rsidR="00FD27BC" w:rsidRPr="00653421" w:rsidRDefault="00FD27BC" w:rsidP="00FD27BC">
            <w:pPr>
              <w:jc w:val="center"/>
              <w:rPr>
                <w:rFonts w:ascii="MS UI Gothic" w:eastAsia="MS UI Gothic" w:hAnsi="MS UI Gothic" w:cs="MS UI Gothic"/>
                <w:color w:val="000000"/>
                <w:szCs w:val="18"/>
              </w:rPr>
            </w:pPr>
            <w:r w:rsidRPr="00653421">
              <w:rPr>
                <w:rFonts w:ascii="MS UI Gothic" w:eastAsia="MS UI Gothic" w:hAnsi="MS UI Gothic" w:cs="MS UI Gothic"/>
                <w:color w:val="000000"/>
                <w:szCs w:val="18"/>
              </w:rPr>
              <w:t>✓</w:t>
            </w:r>
          </w:p>
        </w:tc>
        <w:tc>
          <w:tcPr>
            <w:tcW w:w="2340" w:type="dxa"/>
            <w:vAlign w:val="center"/>
          </w:tcPr>
          <w:p w:rsidR="00FD27BC" w:rsidRPr="00653421" w:rsidRDefault="00FD27BC" w:rsidP="00FD27BC">
            <w:pPr>
              <w:jc w:val="center"/>
              <w:rPr>
                <w:rFonts w:cs="Tahoma"/>
                <w:color w:val="000000"/>
                <w:szCs w:val="18"/>
              </w:rPr>
            </w:pPr>
            <w:r w:rsidRPr="00653421">
              <w:rPr>
                <w:rFonts w:ascii="MS UI Gothic" w:eastAsia="MS UI Gothic" w:hAnsi="MS UI Gothic" w:cs="MS UI Gothic"/>
                <w:color w:val="000000"/>
                <w:szCs w:val="18"/>
              </w:rPr>
              <w:t>✓</w:t>
            </w:r>
          </w:p>
        </w:tc>
        <w:tc>
          <w:tcPr>
            <w:tcW w:w="2250" w:type="dxa"/>
            <w:vAlign w:val="center"/>
          </w:tcPr>
          <w:p w:rsidR="00FD27BC" w:rsidRPr="00653421" w:rsidRDefault="00FD27BC" w:rsidP="00FD27BC">
            <w:pPr>
              <w:jc w:val="center"/>
              <w:rPr>
                <w:rFonts w:cs="Tahoma"/>
                <w:color w:val="000000"/>
                <w:szCs w:val="18"/>
              </w:rPr>
            </w:pPr>
            <w:r w:rsidRPr="00653421">
              <w:rPr>
                <w:rFonts w:ascii="MS UI Gothic" w:eastAsia="MS UI Gothic" w:hAnsi="MS UI Gothic" w:cs="MS UI Gothic"/>
              </w:rPr>
              <w:t>✓</w:t>
            </w:r>
          </w:p>
        </w:tc>
      </w:tr>
      <w:tr w:rsidR="009B78AB" w:rsidRPr="00653421" w:rsidTr="002A6416">
        <w:tc>
          <w:tcPr>
            <w:tcW w:w="2555" w:type="dxa"/>
            <w:vAlign w:val="center"/>
          </w:tcPr>
          <w:p w:rsidR="009B78AB" w:rsidRPr="00653421" w:rsidRDefault="009B78AB" w:rsidP="009B78AB">
            <w:pPr>
              <w:rPr>
                <w:rFonts w:cs="Tahoma"/>
                <w:color w:val="000000"/>
                <w:szCs w:val="18"/>
              </w:rPr>
            </w:pPr>
            <w:r w:rsidRPr="00653421">
              <w:rPr>
                <w:rFonts w:cs="Tahoma"/>
                <w:color w:val="000000"/>
                <w:szCs w:val="18"/>
              </w:rPr>
              <w:t>Enterprise Strategy Forum</w:t>
            </w:r>
          </w:p>
        </w:tc>
        <w:tc>
          <w:tcPr>
            <w:tcW w:w="2215" w:type="dxa"/>
            <w:vAlign w:val="center"/>
          </w:tcPr>
          <w:p w:rsidR="009B78AB" w:rsidRPr="00653421" w:rsidRDefault="009B78AB" w:rsidP="00FD27BC">
            <w:pPr>
              <w:jc w:val="center"/>
              <w:rPr>
                <w:rFonts w:cs="Tahoma"/>
                <w:color w:val="000000"/>
                <w:szCs w:val="18"/>
              </w:rPr>
            </w:pPr>
          </w:p>
        </w:tc>
        <w:tc>
          <w:tcPr>
            <w:tcW w:w="2340" w:type="dxa"/>
            <w:vAlign w:val="center"/>
          </w:tcPr>
          <w:p w:rsidR="009B78AB" w:rsidRPr="00653421" w:rsidRDefault="009B78AB" w:rsidP="00FD27BC">
            <w:pPr>
              <w:jc w:val="center"/>
              <w:rPr>
                <w:rFonts w:cs="Tahoma"/>
                <w:color w:val="000000"/>
                <w:szCs w:val="18"/>
              </w:rPr>
            </w:pPr>
            <w:r w:rsidRPr="00653421">
              <w:rPr>
                <w:rFonts w:ascii="MS UI Gothic" w:eastAsia="MS UI Gothic" w:hAnsi="MS UI Gothic" w:cs="MS UI Gothic"/>
                <w:color w:val="000000"/>
                <w:szCs w:val="18"/>
              </w:rPr>
              <w:t>✓</w:t>
            </w:r>
          </w:p>
        </w:tc>
        <w:tc>
          <w:tcPr>
            <w:tcW w:w="2250" w:type="dxa"/>
            <w:vAlign w:val="center"/>
          </w:tcPr>
          <w:p w:rsidR="009B78AB" w:rsidRPr="00653421" w:rsidRDefault="009B78AB" w:rsidP="00FD27BC">
            <w:pPr>
              <w:jc w:val="center"/>
              <w:rPr>
                <w:rFonts w:cs="Tahoma"/>
                <w:color w:val="000000"/>
                <w:szCs w:val="18"/>
              </w:rPr>
            </w:pPr>
            <w:r w:rsidRPr="00653421">
              <w:rPr>
                <w:rFonts w:ascii="MS UI Gothic" w:eastAsia="MS UI Gothic" w:hAnsi="MS UI Gothic" w:cs="MS UI Gothic"/>
                <w:color w:val="000000"/>
                <w:szCs w:val="18"/>
              </w:rPr>
              <w:t>✓</w:t>
            </w:r>
          </w:p>
        </w:tc>
      </w:tr>
      <w:tr w:rsidR="00FD27BC" w:rsidRPr="00653421" w:rsidTr="002A6416">
        <w:tc>
          <w:tcPr>
            <w:tcW w:w="2555" w:type="dxa"/>
            <w:vAlign w:val="center"/>
          </w:tcPr>
          <w:p w:rsidR="00FD27BC" w:rsidRPr="00653421" w:rsidRDefault="00FD27BC" w:rsidP="009B78AB">
            <w:pPr>
              <w:rPr>
                <w:rFonts w:cs="Tahoma"/>
                <w:color w:val="000000"/>
                <w:szCs w:val="18"/>
              </w:rPr>
            </w:pPr>
            <w:r w:rsidRPr="00653421">
              <w:rPr>
                <w:rFonts w:cs="Tahoma"/>
                <w:color w:val="000000"/>
                <w:szCs w:val="18"/>
              </w:rPr>
              <w:t>Enterprise StrategyCapacity Complementar</w:t>
            </w:r>
          </w:p>
        </w:tc>
        <w:tc>
          <w:tcPr>
            <w:tcW w:w="2215" w:type="dxa"/>
            <w:vAlign w:val="center"/>
          </w:tcPr>
          <w:p w:rsidR="00FD27BC" w:rsidRPr="00653421" w:rsidRDefault="00FD27BC" w:rsidP="00FD27BC">
            <w:pPr>
              <w:jc w:val="center"/>
              <w:rPr>
                <w:rFonts w:ascii="MS UI Gothic" w:eastAsia="MS UI Gothic" w:hAnsi="MS UI Gothic" w:cs="MS UI Gothic"/>
                <w:color w:val="000000"/>
                <w:szCs w:val="18"/>
              </w:rPr>
            </w:pPr>
            <w:r w:rsidRPr="00653421">
              <w:rPr>
                <w:rFonts w:cs="Tahoma"/>
                <w:color w:val="000000"/>
                <w:szCs w:val="18"/>
              </w:rPr>
              <w:t>200 horas</w:t>
            </w:r>
          </w:p>
        </w:tc>
        <w:tc>
          <w:tcPr>
            <w:tcW w:w="2340" w:type="dxa"/>
            <w:vAlign w:val="center"/>
          </w:tcPr>
          <w:p w:rsidR="00FD27BC" w:rsidRPr="00653421" w:rsidRDefault="00FD27BC" w:rsidP="00FD27BC">
            <w:pPr>
              <w:jc w:val="center"/>
              <w:rPr>
                <w:rFonts w:ascii="MS UI Gothic" w:eastAsia="MS UI Gothic" w:hAnsi="MS UI Gothic" w:cs="MS UI Gothic"/>
                <w:color w:val="000000"/>
                <w:szCs w:val="18"/>
              </w:rPr>
            </w:pPr>
            <w:r w:rsidRPr="00653421">
              <w:rPr>
                <w:rFonts w:cs="Tahoma"/>
                <w:color w:val="000000"/>
                <w:szCs w:val="18"/>
              </w:rPr>
              <w:t>200 horas</w:t>
            </w:r>
          </w:p>
        </w:tc>
        <w:tc>
          <w:tcPr>
            <w:tcW w:w="2250" w:type="dxa"/>
            <w:vAlign w:val="center"/>
          </w:tcPr>
          <w:p w:rsidR="00FD27BC" w:rsidRPr="00653421" w:rsidRDefault="00FD27BC" w:rsidP="00FD27BC">
            <w:pPr>
              <w:jc w:val="center"/>
              <w:rPr>
                <w:rFonts w:ascii="MS UI Gothic" w:eastAsia="MS UI Gothic" w:hAnsi="MS UI Gothic" w:cs="MS UI Gothic"/>
              </w:rPr>
            </w:pPr>
            <w:r w:rsidRPr="00653421">
              <w:rPr>
                <w:rFonts w:cs="Tahoma"/>
                <w:color w:val="000000"/>
                <w:szCs w:val="18"/>
              </w:rPr>
              <w:t>200 horas</w:t>
            </w:r>
          </w:p>
        </w:tc>
      </w:tr>
    </w:tbl>
    <w:p w:rsidR="009B78AB" w:rsidRPr="00C50FD1" w:rsidRDefault="00415DDA" w:rsidP="00DD7F8E">
      <w:pPr>
        <w:rPr>
          <w:lang w:val="pt-BR"/>
        </w:rPr>
      </w:pPr>
      <w:r w:rsidRPr="00C50FD1">
        <w:rPr>
          <w:rFonts w:cs="Tahoma"/>
          <w:bCs/>
          <w:i/>
          <w:color w:val="000000"/>
          <w:sz w:val="20"/>
          <w:szCs w:val="18"/>
          <w:vertAlign w:val="superscript"/>
          <w:lang w:val="pt-BR"/>
        </w:rPr>
        <w:t xml:space="preserve">1 </w:t>
      </w:r>
      <w:r w:rsidRPr="00C50FD1">
        <w:rPr>
          <w:rFonts w:eastAsia="Times New Roman" w:cs="Tahoma"/>
          <w:i/>
          <w:sz w:val="16"/>
          <w:szCs w:val="20"/>
          <w:lang w:val="pt-BR"/>
        </w:rPr>
        <w:t>O compromisso Enterprise Strategy Connect exige até 400 horas de trabalho. O compromisso Enterprise Strategy Foundation exige até 800 horas de trabalho. O compromisso Enterprise Strategy Portfolio exige até 1.600 horas de trabalho. Os recursos da Microsoft que fornecem o trabalho são personalizados para necessidades específicas do cliente e incluem um mix de Arquitetos Enterprise e recursos do Enterprise Strategy Network.</w:t>
      </w:r>
    </w:p>
    <w:p w:rsidR="009B78AB" w:rsidRPr="00C50FD1" w:rsidRDefault="009B78AB" w:rsidP="00DD7F8E">
      <w:pPr>
        <w:rPr>
          <w:lang w:val="pt-BR"/>
        </w:rPr>
      </w:pPr>
    </w:p>
    <w:p w:rsidR="00DD7F8E" w:rsidRPr="00C50FD1" w:rsidRDefault="009B78AB" w:rsidP="00DD7F8E">
      <w:pPr>
        <w:rPr>
          <w:lang w:val="pt-BR"/>
        </w:rPr>
      </w:pPr>
      <w:r w:rsidRPr="00C50FD1">
        <w:rPr>
          <w:rFonts w:cs="Tahoma"/>
          <w:bCs/>
          <w:color w:val="000000"/>
          <w:sz w:val="20"/>
          <w:szCs w:val="18"/>
          <w:vertAlign w:val="superscript"/>
          <w:lang w:val="pt-BR"/>
        </w:rPr>
        <w:t>2</w:t>
      </w:r>
      <w:r w:rsidR="00F3299C" w:rsidRPr="00C50FD1">
        <w:rPr>
          <w:rFonts w:cs="Tahoma"/>
          <w:bCs/>
          <w:color w:val="000000"/>
          <w:sz w:val="20"/>
          <w:szCs w:val="18"/>
          <w:vertAlign w:val="superscript"/>
          <w:lang w:val="pt-BR"/>
        </w:rPr>
        <w:t xml:space="preserve"> </w:t>
      </w:r>
      <w:r w:rsidRPr="00C50FD1">
        <w:rPr>
          <w:rFonts w:eastAsia="Times New Roman" w:cs="Tahoma"/>
          <w:i/>
          <w:sz w:val="16"/>
          <w:szCs w:val="20"/>
          <w:lang w:val="pt-BR"/>
        </w:rPr>
        <w:t>A quantidade de esforço real é acordada entre a Microsoft e o Cliente</w:t>
      </w:r>
    </w:p>
    <w:p w:rsidR="00A260EC" w:rsidRPr="00C50FD1" w:rsidRDefault="00A260EC" w:rsidP="00DD7F8E">
      <w:pPr>
        <w:rPr>
          <w:lang w:val="pt-BR"/>
        </w:rPr>
      </w:pPr>
    </w:p>
    <w:p w:rsidR="00DD7F8E" w:rsidRPr="00653421" w:rsidRDefault="00DD7F8E" w:rsidP="00E77F1E">
      <w:pPr>
        <w:spacing w:after="60"/>
      </w:pPr>
      <w:r w:rsidRPr="00653421">
        <w:rPr>
          <w:rFonts w:cs="Arial"/>
          <w:b/>
        </w:rPr>
        <w:t xml:space="preserve">O Arquiteto Enterprise: </w:t>
      </w:r>
    </w:p>
    <w:p w:rsidR="00DD7F8E" w:rsidRPr="00C50FD1" w:rsidRDefault="00DD7F8E" w:rsidP="002C1048">
      <w:pPr>
        <w:numPr>
          <w:ilvl w:val="0"/>
          <w:numId w:val="93"/>
        </w:numPr>
        <w:spacing w:after="60"/>
        <w:ind w:left="1440"/>
        <w:rPr>
          <w:lang w:val="pt-BR"/>
        </w:rPr>
      </w:pPr>
      <w:r w:rsidRPr="00C50FD1">
        <w:rPr>
          <w:rFonts w:eastAsia="Times New Roman" w:cs="Tahoma"/>
          <w:szCs w:val="20"/>
          <w:lang w:val="pt-BR"/>
        </w:rPr>
        <w:t>Trabalhará juntamente com o Cliente para criar um Plano de Prestação de Serviços de Arquitetura a ser seguido pelo Cliente que define etapas e metas e estabelece processos, dados e regras para monitorar o progresso com relação ao plano.</w:t>
      </w:r>
      <w:r w:rsidR="005A52A2" w:rsidRPr="00C50FD1">
        <w:rPr>
          <w:rFonts w:eastAsia="Times New Roman" w:cs="Tahoma"/>
          <w:szCs w:val="20"/>
          <w:lang w:val="pt-BR"/>
        </w:rPr>
        <w:t xml:space="preserve"> </w:t>
      </w:r>
    </w:p>
    <w:p w:rsidR="00DD7F8E" w:rsidRPr="00C50FD1" w:rsidRDefault="00DD7F8E" w:rsidP="00E77F1E">
      <w:pPr>
        <w:numPr>
          <w:ilvl w:val="0"/>
          <w:numId w:val="93"/>
        </w:numPr>
        <w:spacing w:after="60"/>
        <w:ind w:left="1440"/>
        <w:rPr>
          <w:lang w:val="pt-BR"/>
        </w:rPr>
      </w:pPr>
      <w:r w:rsidRPr="00C50FD1">
        <w:rPr>
          <w:rFonts w:eastAsia="Times New Roman" w:cs="Tahoma"/>
          <w:szCs w:val="20"/>
          <w:lang w:val="pt-BR"/>
        </w:rPr>
        <w:t>Também apresentará atualizações mensais de status do progresso do Cliente com relação ao</w:t>
      </w:r>
      <w:r w:rsidR="005723AA" w:rsidRPr="00C50FD1">
        <w:rPr>
          <w:rFonts w:eastAsia="Times New Roman" w:cs="Tahoma"/>
          <w:szCs w:val="20"/>
          <w:lang w:val="pt-BR"/>
        </w:rPr>
        <w:t> </w:t>
      </w:r>
      <w:r w:rsidRPr="00C50FD1">
        <w:rPr>
          <w:rFonts w:eastAsia="Times New Roman" w:cs="Tahoma"/>
          <w:szCs w:val="20"/>
          <w:lang w:val="pt-BR"/>
        </w:rPr>
        <w:t>plano.</w:t>
      </w:r>
    </w:p>
    <w:p w:rsidR="00415DDA" w:rsidRPr="00C50FD1" w:rsidRDefault="00415DDA" w:rsidP="002C1048">
      <w:pPr>
        <w:numPr>
          <w:ilvl w:val="0"/>
          <w:numId w:val="93"/>
        </w:numPr>
        <w:spacing w:after="60"/>
        <w:ind w:left="1440"/>
        <w:rPr>
          <w:lang w:val="pt-BR"/>
        </w:rPr>
      </w:pPr>
      <w:r w:rsidRPr="00C50FD1">
        <w:rPr>
          <w:rFonts w:cs="Tahoma"/>
          <w:lang w:val="pt-BR"/>
        </w:rPr>
        <w:t>Gerenciará o acesso à Microsoft Enterprise Strategy Network.</w:t>
      </w:r>
    </w:p>
    <w:p w:rsidR="00DD7F8E" w:rsidRPr="00653421" w:rsidRDefault="00DD7F8E" w:rsidP="00DD7F8E">
      <w:pPr>
        <w:spacing w:after="60"/>
      </w:pPr>
      <w:r w:rsidRPr="00653421">
        <w:rPr>
          <w:rFonts w:cs="Arial"/>
          <w:b/>
        </w:rPr>
        <w:lastRenderedPageBreak/>
        <w:t>A Avaliação:</w:t>
      </w:r>
    </w:p>
    <w:p w:rsidR="00DD7F8E" w:rsidRPr="00C50FD1" w:rsidRDefault="00DD7F8E" w:rsidP="00E77F1E">
      <w:pPr>
        <w:numPr>
          <w:ilvl w:val="0"/>
          <w:numId w:val="94"/>
        </w:numPr>
        <w:spacing w:after="60"/>
        <w:ind w:left="1440"/>
        <w:rPr>
          <w:lang w:val="pt-BR"/>
        </w:rPr>
      </w:pPr>
      <w:r w:rsidRPr="00C50FD1">
        <w:rPr>
          <w:rFonts w:eastAsia="Times New Roman" w:cs="Tahoma"/>
          <w:szCs w:val="20"/>
          <w:lang w:val="pt-BR"/>
        </w:rPr>
        <w:t>Identifica oportunidades de TI que se alinhem com os objetivos de negócios do Cliente.</w:t>
      </w:r>
    </w:p>
    <w:p w:rsidR="00DD7F8E" w:rsidRPr="00C50FD1" w:rsidRDefault="005F0406" w:rsidP="005F0406">
      <w:pPr>
        <w:numPr>
          <w:ilvl w:val="0"/>
          <w:numId w:val="94"/>
        </w:numPr>
        <w:spacing w:after="60"/>
        <w:ind w:left="1440"/>
        <w:rPr>
          <w:lang w:val="pt-BR"/>
        </w:rPr>
      </w:pPr>
      <w:r w:rsidRPr="00C50FD1">
        <w:rPr>
          <w:rFonts w:eastAsia="Times New Roman" w:cs="Tahoma"/>
          <w:szCs w:val="20"/>
          <w:lang w:val="pt-BR"/>
        </w:rPr>
        <w:t>Estabelece o contexto comercial e arquitetural antes da projeção com relação aos serviços de</w:t>
      </w:r>
      <w:r w:rsidR="00A260EC" w:rsidRPr="00C50FD1">
        <w:rPr>
          <w:rFonts w:eastAsia="Times New Roman" w:cs="Tahoma"/>
          <w:szCs w:val="20"/>
          <w:lang w:val="pt-BR"/>
        </w:rPr>
        <w:t> </w:t>
      </w:r>
      <w:r w:rsidRPr="00C50FD1">
        <w:rPr>
          <w:rFonts w:eastAsia="Times New Roman" w:cs="Tahoma"/>
          <w:szCs w:val="20"/>
          <w:lang w:val="pt-BR"/>
        </w:rPr>
        <w:t>TI</w:t>
      </w:r>
      <w:r w:rsidR="00A260EC" w:rsidRPr="00C50FD1">
        <w:rPr>
          <w:rFonts w:eastAsia="Times New Roman" w:cs="Tahoma"/>
          <w:szCs w:val="20"/>
          <w:lang w:val="pt-BR"/>
        </w:rPr>
        <w:t> </w:t>
      </w:r>
      <w:r w:rsidRPr="00C50FD1">
        <w:rPr>
          <w:rFonts w:eastAsia="Times New Roman" w:cs="Tahoma"/>
          <w:szCs w:val="20"/>
          <w:lang w:val="pt-BR"/>
        </w:rPr>
        <w:t>e</w:t>
      </w:r>
      <w:r w:rsidR="00A260EC" w:rsidRPr="00C50FD1">
        <w:rPr>
          <w:rFonts w:eastAsia="Times New Roman" w:cs="Tahoma"/>
          <w:szCs w:val="20"/>
          <w:lang w:val="pt-BR"/>
        </w:rPr>
        <w:t> </w:t>
      </w:r>
      <w:r w:rsidRPr="00C50FD1">
        <w:rPr>
          <w:rFonts w:eastAsia="Times New Roman" w:cs="Tahoma"/>
          <w:szCs w:val="20"/>
          <w:lang w:val="pt-BR"/>
        </w:rPr>
        <w:t>grupos comerciais impactados, a fim de reconhecer dependências e definir esforços e</w:t>
      </w:r>
      <w:r w:rsidR="00A260EC" w:rsidRPr="00C50FD1">
        <w:rPr>
          <w:rFonts w:eastAsia="Times New Roman" w:cs="Tahoma"/>
          <w:szCs w:val="20"/>
          <w:lang w:val="pt-BR"/>
        </w:rPr>
        <w:t> </w:t>
      </w:r>
      <w:r w:rsidRPr="00C50FD1">
        <w:rPr>
          <w:rFonts w:eastAsia="Times New Roman" w:cs="Tahoma"/>
          <w:szCs w:val="20"/>
          <w:lang w:val="pt-BR"/>
        </w:rPr>
        <w:t>custos para justificar o planejamento adicional.</w:t>
      </w:r>
    </w:p>
    <w:p w:rsidR="00DD7F8E" w:rsidRPr="00C50FD1" w:rsidRDefault="00DD7F8E" w:rsidP="00E77F1E">
      <w:pPr>
        <w:numPr>
          <w:ilvl w:val="0"/>
          <w:numId w:val="94"/>
        </w:numPr>
        <w:spacing w:after="60"/>
        <w:ind w:left="1440"/>
        <w:rPr>
          <w:lang w:val="pt-BR"/>
        </w:rPr>
      </w:pPr>
      <w:r w:rsidRPr="00C50FD1">
        <w:rPr>
          <w:rFonts w:eastAsia="Times New Roman" w:cs="Tahoma"/>
          <w:szCs w:val="20"/>
          <w:lang w:val="pt-BR"/>
        </w:rPr>
        <w:t>Seleciona, confirma e prioriza oportunidades como iniciativas no Plano de Prestação de Serviços de</w:t>
      </w:r>
      <w:r w:rsidR="00A260EC" w:rsidRPr="00C50FD1">
        <w:rPr>
          <w:rFonts w:eastAsia="Times New Roman" w:cs="Tahoma"/>
          <w:szCs w:val="20"/>
          <w:lang w:val="pt-BR"/>
        </w:rPr>
        <w:t> </w:t>
      </w:r>
      <w:r w:rsidRPr="00C50FD1">
        <w:rPr>
          <w:rFonts w:eastAsia="Times New Roman" w:cs="Tahoma"/>
          <w:szCs w:val="20"/>
          <w:lang w:val="pt-BR"/>
        </w:rPr>
        <w:t>Arquitetura.</w:t>
      </w:r>
    </w:p>
    <w:p w:rsidR="00DD7F8E" w:rsidRPr="00C50FD1" w:rsidRDefault="00DD7F8E" w:rsidP="00E77F1E">
      <w:pPr>
        <w:numPr>
          <w:ilvl w:val="0"/>
          <w:numId w:val="94"/>
        </w:numPr>
        <w:spacing w:after="60"/>
        <w:ind w:left="1440"/>
        <w:rPr>
          <w:lang w:val="pt-BR"/>
        </w:rPr>
      </w:pPr>
      <w:r w:rsidRPr="00C50FD1">
        <w:rPr>
          <w:rFonts w:eastAsia="Times New Roman" w:cs="Tahoma"/>
          <w:szCs w:val="20"/>
          <w:lang w:val="pt-BR"/>
        </w:rPr>
        <w:t>Resulta no Relatório de Avaliação Final que recomenda pelo menos uma atividade como um Projeto Enterprise Strategy.</w:t>
      </w:r>
    </w:p>
    <w:p w:rsidR="00DD7F8E" w:rsidRPr="00C50FD1" w:rsidRDefault="00DD7F8E" w:rsidP="00DD7F8E">
      <w:pPr>
        <w:spacing w:after="60"/>
        <w:rPr>
          <w:lang w:val="pt-BR"/>
        </w:rPr>
      </w:pPr>
    </w:p>
    <w:p w:rsidR="00DD7F8E" w:rsidRPr="00C50FD1" w:rsidRDefault="00DD7F8E" w:rsidP="00E77F1E">
      <w:pPr>
        <w:spacing w:after="60"/>
        <w:rPr>
          <w:lang w:val="pt-BR"/>
        </w:rPr>
      </w:pPr>
      <w:r w:rsidRPr="00C50FD1">
        <w:rPr>
          <w:rFonts w:cs="Arial"/>
          <w:b/>
          <w:lang w:val="pt-BR"/>
        </w:rPr>
        <w:t>Projetos Enterprise Strategy</w:t>
      </w:r>
    </w:p>
    <w:p w:rsidR="00DD7F8E" w:rsidRPr="00C50FD1" w:rsidRDefault="00DD7F8E" w:rsidP="00CA52FE">
      <w:pPr>
        <w:rPr>
          <w:lang w:val="pt-BR"/>
        </w:rPr>
      </w:pPr>
      <w:r w:rsidRPr="00C50FD1">
        <w:rPr>
          <w:rFonts w:eastAsia="Arial" w:cs="Tahoma"/>
          <w:bCs/>
          <w:color w:val="000000"/>
          <w:szCs w:val="18"/>
          <w:lang w:val="pt-BR"/>
        </w:rPr>
        <w:t xml:space="preserve">O Arquiteto </w:t>
      </w:r>
      <w:r w:rsidRPr="00C50FD1">
        <w:rPr>
          <w:rFonts w:cs="Tahoma"/>
          <w:bCs/>
          <w:szCs w:val="18"/>
          <w:lang w:val="pt-BR"/>
        </w:rPr>
        <w:t xml:space="preserve">Enterprise trabalhará juntamente com o Cliente </w:t>
      </w:r>
      <w:r w:rsidRPr="00C50FD1">
        <w:rPr>
          <w:rFonts w:cs="Tahoma"/>
          <w:bCs/>
          <w:color w:val="000000"/>
          <w:szCs w:val="18"/>
          <w:lang w:val="pt-BR"/>
        </w:rPr>
        <w:t xml:space="preserve">para desenvolver um plano </w:t>
      </w:r>
      <w:r w:rsidRPr="00C50FD1">
        <w:rPr>
          <w:rFonts w:cs="Tahoma"/>
          <w:color w:val="000000"/>
          <w:szCs w:val="18"/>
          <w:lang w:val="pt-BR"/>
        </w:rPr>
        <w:t>a fim de ajudar o Cliente a</w:t>
      </w:r>
      <w:r w:rsidR="00A260EC" w:rsidRPr="00C50FD1">
        <w:rPr>
          <w:rFonts w:cs="Tahoma"/>
          <w:color w:val="000000"/>
          <w:szCs w:val="18"/>
          <w:lang w:val="pt-BR"/>
        </w:rPr>
        <w:t> </w:t>
      </w:r>
      <w:r w:rsidRPr="00C50FD1">
        <w:rPr>
          <w:rFonts w:cs="Tahoma"/>
          <w:color w:val="000000"/>
          <w:szCs w:val="18"/>
          <w:lang w:val="pt-BR"/>
        </w:rPr>
        <w:t>perceber objetivos de negócio identificados para a(s) iniciativa(s) selecionada(s) e mudar para seu futuro estado de</w:t>
      </w:r>
      <w:r w:rsidR="00A260EC" w:rsidRPr="00C50FD1">
        <w:rPr>
          <w:rFonts w:cs="Tahoma"/>
          <w:color w:val="000000"/>
          <w:szCs w:val="18"/>
          <w:lang w:val="pt-BR"/>
        </w:rPr>
        <w:t> </w:t>
      </w:r>
      <w:r w:rsidRPr="00C50FD1">
        <w:rPr>
          <w:rFonts w:cs="Tahoma"/>
          <w:color w:val="000000"/>
          <w:szCs w:val="18"/>
          <w:lang w:val="pt-BR"/>
        </w:rPr>
        <w:t>TI definido, ajudando a reduzir a implantação e as interrupções de operação, bem como acelerar o retorno sobre</w:t>
      </w:r>
      <w:r w:rsidR="00A260EC" w:rsidRPr="00C50FD1">
        <w:rPr>
          <w:rFonts w:cs="Tahoma"/>
          <w:color w:val="000000"/>
          <w:szCs w:val="18"/>
          <w:lang w:val="pt-BR"/>
        </w:rPr>
        <w:t> </w:t>
      </w:r>
      <w:r w:rsidRPr="00C50FD1">
        <w:rPr>
          <w:rFonts w:cs="Tahoma"/>
          <w:color w:val="000000"/>
          <w:szCs w:val="18"/>
          <w:lang w:val="pt-BR"/>
        </w:rPr>
        <w:t>investimento.</w:t>
      </w:r>
    </w:p>
    <w:p w:rsidR="00CA52FE" w:rsidRPr="00C50FD1" w:rsidRDefault="00CA52FE" w:rsidP="00CA52FE">
      <w:pPr>
        <w:rPr>
          <w:lang w:val="pt-BR"/>
        </w:rPr>
      </w:pPr>
    </w:p>
    <w:p w:rsidR="00DD7F8E" w:rsidRPr="00C50FD1" w:rsidRDefault="00415DDA" w:rsidP="00E77F1E">
      <w:pPr>
        <w:spacing w:after="60"/>
        <w:rPr>
          <w:lang w:val="pt-BR"/>
        </w:rPr>
      </w:pPr>
      <w:r w:rsidRPr="00C50FD1">
        <w:rPr>
          <w:rFonts w:cs="Tahoma"/>
          <w:b/>
          <w:color w:val="000000"/>
          <w:szCs w:val="18"/>
          <w:lang w:val="pt-BR"/>
        </w:rPr>
        <w:t>Os Projetos Enterprise Strategy incluem:</w:t>
      </w:r>
    </w:p>
    <w:p w:rsidR="00DD7F8E" w:rsidRPr="00C50FD1" w:rsidRDefault="00DD7F8E" w:rsidP="00E77F1E">
      <w:pPr>
        <w:numPr>
          <w:ilvl w:val="0"/>
          <w:numId w:val="95"/>
        </w:numPr>
        <w:spacing w:after="60"/>
        <w:ind w:left="1440"/>
        <w:rPr>
          <w:lang w:val="pt-BR"/>
        </w:rPr>
      </w:pPr>
      <w:r w:rsidRPr="00C50FD1">
        <w:rPr>
          <w:rFonts w:eastAsia="Times New Roman" w:cs="Tahoma"/>
          <w:szCs w:val="20"/>
          <w:lang w:val="pt-BR"/>
        </w:rPr>
        <w:t xml:space="preserve">Documentação e alinhamento de tecnologias da Microsoft com os principais objetivos de negócios. </w:t>
      </w:r>
    </w:p>
    <w:p w:rsidR="00DD7F8E" w:rsidRPr="00C50FD1" w:rsidRDefault="00DD7F8E" w:rsidP="00E77F1E">
      <w:pPr>
        <w:numPr>
          <w:ilvl w:val="0"/>
          <w:numId w:val="95"/>
        </w:numPr>
        <w:tabs>
          <w:tab w:val="left" w:pos="1080"/>
        </w:tabs>
        <w:spacing w:after="60"/>
        <w:ind w:left="1440"/>
        <w:rPr>
          <w:lang w:val="pt-BR"/>
        </w:rPr>
      </w:pPr>
      <w:r w:rsidRPr="00C50FD1">
        <w:rPr>
          <w:rFonts w:eastAsia="Times New Roman" w:cs="Tahoma"/>
          <w:szCs w:val="20"/>
          <w:lang w:val="pt-BR"/>
        </w:rPr>
        <w:t>Desenvolvimento de um caso de negócios para identificar os benefícios e custos potenciais de cada</w:t>
      </w:r>
      <w:r w:rsidR="00A260EC" w:rsidRPr="00C50FD1">
        <w:rPr>
          <w:rFonts w:eastAsia="Times New Roman" w:cs="Tahoma"/>
          <w:szCs w:val="20"/>
          <w:lang w:val="pt-BR"/>
        </w:rPr>
        <w:t> </w:t>
      </w:r>
      <w:r w:rsidRPr="00C50FD1">
        <w:rPr>
          <w:rFonts w:eastAsia="Times New Roman" w:cs="Tahoma"/>
          <w:szCs w:val="20"/>
          <w:lang w:val="pt-BR"/>
        </w:rPr>
        <w:t>unidade funcional ou de negócios que pode ser afetada pelo projeto.</w:t>
      </w:r>
    </w:p>
    <w:p w:rsidR="00DD7F8E" w:rsidRPr="00C50FD1" w:rsidRDefault="00DD7F8E" w:rsidP="00E77F1E">
      <w:pPr>
        <w:numPr>
          <w:ilvl w:val="0"/>
          <w:numId w:val="95"/>
        </w:numPr>
        <w:tabs>
          <w:tab w:val="left" w:pos="1080"/>
        </w:tabs>
        <w:spacing w:after="60"/>
        <w:ind w:left="1440"/>
        <w:rPr>
          <w:lang w:val="pt-BR"/>
        </w:rPr>
      </w:pPr>
      <w:r w:rsidRPr="00C50FD1">
        <w:rPr>
          <w:rFonts w:eastAsia="Times New Roman" w:cs="Tahoma"/>
          <w:szCs w:val="20"/>
          <w:lang w:val="pt-BR"/>
        </w:rPr>
        <w:t>Criação de um Documento de Definição de Arquitetura que descreve a arquitetura functional de aplicativos e tecnologias, bem como os requisitos de especificações compatíveis com as recomendações.</w:t>
      </w:r>
    </w:p>
    <w:p w:rsidR="00DD7F8E" w:rsidRPr="00C50FD1" w:rsidRDefault="00DD7F8E" w:rsidP="00E77F1E">
      <w:pPr>
        <w:numPr>
          <w:ilvl w:val="0"/>
          <w:numId w:val="95"/>
        </w:numPr>
        <w:tabs>
          <w:tab w:val="left" w:pos="1080"/>
        </w:tabs>
        <w:spacing w:after="60"/>
        <w:ind w:left="1440"/>
        <w:rPr>
          <w:lang w:val="pt-BR"/>
        </w:rPr>
      </w:pPr>
      <w:r w:rsidRPr="00C50FD1">
        <w:rPr>
          <w:rFonts w:eastAsia="Times New Roman" w:cs="Tahoma"/>
          <w:szCs w:val="20"/>
          <w:lang w:val="pt-BR"/>
        </w:rPr>
        <w:t>Criação de um Plano de Medição que descreve a métrica para avaliar o progresso com relação aos</w:t>
      </w:r>
      <w:r w:rsidR="00A260EC" w:rsidRPr="00C50FD1">
        <w:rPr>
          <w:rFonts w:eastAsia="Times New Roman" w:cs="Tahoma"/>
          <w:szCs w:val="20"/>
          <w:lang w:val="pt-BR"/>
        </w:rPr>
        <w:t> </w:t>
      </w:r>
      <w:r w:rsidRPr="00C50FD1">
        <w:rPr>
          <w:rFonts w:eastAsia="Times New Roman" w:cs="Tahoma"/>
          <w:szCs w:val="20"/>
          <w:lang w:val="pt-BR"/>
        </w:rPr>
        <w:t>objetivos desejados de negócios, contabilidade e tempo.</w:t>
      </w:r>
    </w:p>
    <w:p w:rsidR="00DD7F8E" w:rsidRPr="00C50FD1" w:rsidRDefault="00DD7F8E" w:rsidP="00E77F1E">
      <w:pPr>
        <w:numPr>
          <w:ilvl w:val="0"/>
          <w:numId w:val="95"/>
        </w:numPr>
        <w:spacing w:after="60"/>
        <w:ind w:left="1440"/>
        <w:rPr>
          <w:lang w:val="pt-BR"/>
        </w:rPr>
      </w:pPr>
      <w:r w:rsidRPr="00C50FD1">
        <w:rPr>
          <w:rFonts w:eastAsia="Times New Roman" w:cs="Tahoma"/>
          <w:szCs w:val="20"/>
          <w:lang w:val="pt-BR"/>
        </w:rPr>
        <w:t>Ajustar as Práticas Recomendadas da Microsoft em supervisão/governança, adoção e medição ao</w:t>
      </w:r>
      <w:r w:rsidR="00A260EC" w:rsidRPr="00C50FD1">
        <w:rPr>
          <w:rFonts w:eastAsia="Times New Roman" w:cs="Tahoma"/>
          <w:szCs w:val="20"/>
          <w:lang w:val="pt-BR"/>
        </w:rPr>
        <w:t> </w:t>
      </w:r>
      <w:r w:rsidRPr="00C50FD1">
        <w:rPr>
          <w:rFonts w:eastAsia="Times New Roman" w:cs="Tahoma"/>
          <w:szCs w:val="20"/>
          <w:lang w:val="pt-BR"/>
        </w:rPr>
        <w:t>ambiente do Cliente.</w:t>
      </w:r>
    </w:p>
    <w:p w:rsidR="00DD7F8E" w:rsidRPr="00C50FD1" w:rsidRDefault="00DD7F8E" w:rsidP="00E77F1E">
      <w:pPr>
        <w:numPr>
          <w:ilvl w:val="0"/>
          <w:numId w:val="95"/>
        </w:numPr>
        <w:spacing w:after="60"/>
        <w:ind w:left="1440"/>
        <w:rPr>
          <w:lang w:val="pt-BR"/>
        </w:rPr>
      </w:pPr>
      <w:r w:rsidRPr="00C50FD1">
        <w:rPr>
          <w:rFonts w:eastAsia="Times New Roman" w:cs="Tahoma"/>
          <w:szCs w:val="20"/>
          <w:lang w:val="pt-BR"/>
        </w:rPr>
        <w:t>Trabalhar com a equipe de gerenciamento do Cliente para estabelecer controle do programa</w:t>
      </w:r>
      <w:r w:rsidRPr="00C50FD1">
        <w:rPr>
          <w:rFonts w:eastAsia="Arial" w:cs="Tahoma"/>
          <w:szCs w:val="18"/>
          <w:lang w:val="pt-BR"/>
        </w:rPr>
        <w:t>.</w:t>
      </w:r>
    </w:p>
    <w:p w:rsidR="00415DDA" w:rsidRPr="00C50FD1" w:rsidDel="00954C6A" w:rsidRDefault="00415DDA" w:rsidP="00E77F1E">
      <w:pPr>
        <w:numPr>
          <w:ilvl w:val="0"/>
          <w:numId w:val="95"/>
        </w:numPr>
        <w:ind w:left="1440"/>
        <w:rPr>
          <w:lang w:val="pt-BR"/>
        </w:rPr>
      </w:pPr>
      <w:r w:rsidRPr="00C50FD1">
        <w:rPr>
          <w:rFonts w:eastAsia="Times New Roman" w:cs="Tahoma"/>
          <w:szCs w:val="20"/>
          <w:lang w:val="pt-BR"/>
        </w:rPr>
        <w:t>Revisão regular do progresso do Cliente com relação ao scorecard de objetivos de negócios.</w:t>
      </w:r>
    </w:p>
    <w:p w:rsidR="00CA52FE" w:rsidRPr="00C50FD1" w:rsidRDefault="00CA52FE" w:rsidP="00E77F1E">
      <w:pPr>
        <w:rPr>
          <w:lang w:val="pt-BR"/>
        </w:rPr>
      </w:pPr>
    </w:p>
    <w:p w:rsidR="00DD7F8E" w:rsidRPr="00C50FD1" w:rsidRDefault="00DD7F8E" w:rsidP="00DD7F8E">
      <w:pPr>
        <w:rPr>
          <w:lang w:val="pt-BR"/>
        </w:rPr>
      </w:pPr>
      <w:r w:rsidRPr="00C50FD1">
        <w:rPr>
          <w:rFonts w:eastAsia="Arial" w:cs="Arial"/>
          <w:b/>
          <w:sz w:val="24"/>
          <w:szCs w:val="18"/>
          <w:lang w:val="pt-BR"/>
        </w:rPr>
        <w:t>Benefícios do Programa</w:t>
      </w:r>
    </w:p>
    <w:p w:rsidR="00DD7F8E" w:rsidRPr="00C50FD1" w:rsidRDefault="00DD7F8E" w:rsidP="00DD7F8E">
      <w:pPr>
        <w:rPr>
          <w:lang w:val="pt-BR"/>
        </w:rPr>
      </w:pPr>
    </w:p>
    <w:p w:rsidR="00DD7F8E" w:rsidRPr="00C50FD1" w:rsidRDefault="00DD7F8E" w:rsidP="00DD7F8E">
      <w:pPr>
        <w:rPr>
          <w:lang w:val="pt-BR"/>
        </w:rPr>
      </w:pPr>
      <w:r w:rsidRPr="00C50FD1">
        <w:rPr>
          <w:rFonts w:eastAsia="Arial" w:cs="Arial"/>
          <w:szCs w:val="18"/>
          <w:lang w:val="pt-BR"/>
        </w:rPr>
        <w:t xml:space="preserve">Em todo o compromisso, estão disponíveis os seguintes benefícios do programa: </w:t>
      </w:r>
    </w:p>
    <w:p w:rsidR="00DD7F8E" w:rsidRPr="00C50FD1" w:rsidRDefault="00DD7F8E" w:rsidP="00DD7F8E">
      <w:pPr>
        <w:spacing w:after="60"/>
        <w:rPr>
          <w:lang w:val="pt-BR"/>
        </w:rPr>
      </w:pPr>
    </w:p>
    <w:p w:rsidR="00E77F1E" w:rsidRPr="00C50FD1" w:rsidRDefault="00E77F1E" w:rsidP="00E77F1E">
      <w:pPr>
        <w:spacing w:after="60"/>
        <w:rPr>
          <w:lang w:val="pt-BR"/>
        </w:rPr>
      </w:pPr>
      <w:r w:rsidRPr="00C50FD1">
        <w:rPr>
          <w:b/>
          <w:szCs w:val="18"/>
          <w:lang w:val="pt-BR"/>
        </w:rPr>
        <w:t>Enterprise Strategy Network</w:t>
      </w:r>
    </w:p>
    <w:p w:rsidR="00C151FB" w:rsidRPr="00C50FD1" w:rsidRDefault="00C151FB" w:rsidP="00C151FB">
      <w:pPr>
        <w:rPr>
          <w:lang w:val="pt-BR"/>
        </w:rPr>
      </w:pPr>
      <w:r w:rsidRPr="00C50FD1">
        <w:rPr>
          <w:szCs w:val="18"/>
          <w:lang w:val="pt-BR"/>
        </w:rPr>
        <w:t>O Programa Enterprise Strategy inclui uma conexão integral com as equipes de desenvolvimento e pesquisa da Microsoft e com os especialistas no assunto dos departamentos de serviços da Microsoft. Os Arquitetos Enterprise usam essa experiência no assunto para fornecer aos Clientes notificações de práticas recomendadas, orientações específicas em determinadas arquiteturas de referência e tecnologias da Microsoft. As recomendações de práticas recomendadas e materiais associados e ferramentas são incluídos na Biblioteca do Microsoft Enterprise Strategy para</w:t>
      </w:r>
      <w:r w:rsidR="00A260EC" w:rsidRPr="00C50FD1">
        <w:rPr>
          <w:szCs w:val="18"/>
          <w:lang w:val="pt-BR"/>
        </w:rPr>
        <w:t> </w:t>
      </w:r>
      <w:r w:rsidRPr="00C50FD1">
        <w:rPr>
          <w:szCs w:val="18"/>
          <w:lang w:val="pt-BR"/>
        </w:rPr>
        <w:t>ajudar a acelerar o fornecimento de projetos ESP aos clientes.</w:t>
      </w:r>
    </w:p>
    <w:p w:rsidR="00A260EC" w:rsidRPr="00C50FD1" w:rsidRDefault="00A260EC">
      <w:pPr>
        <w:rPr>
          <w:lang w:val="pt-BR"/>
        </w:rPr>
      </w:pPr>
    </w:p>
    <w:p w:rsidR="00E77F1E" w:rsidRPr="00C50FD1" w:rsidRDefault="00C151FB" w:rsidP="00E77F1E">
      <w:pPr>
        <w:spacing w:after="60"/>
        <w:rPr>
          <w:lang w:val="pt-BR"/>
        </w:rPr>
      </w:pPr>
      <w:r w:rsidRPr="00C50FD1">
        <w:rPr>
          <w:b/>
          <w:szCs w:val="18"/>
          <w:lang w:val="pt-BR"/>
        </w:rPr>
        <w:t>Enterprise Strategy Library</w:t>
      </w:r>
    </w:p>
    <w:p w:rsidR="00C151FB" w:rsidRPr="00C50FD1" w:rsidRDefault="00C151FB" w:rsidP="00E77F1E">
      <w:pPr>
        <w:rPr>
          <w:lang w:val="pt-BR"/>
        </w:rPr>
      </w:pPr>
      <w:r w:rsidRPr="00C50FD1">
        <w:rPr>
          <w:szCs w:val="18"/>
          <w:lang w:val="pt-BR"/>
        </w:rPr>
        <w:t xml:space="preserve">O Programa Enterprise Strategy inclui </w:t>
      </w:r>
      <w:r w:rsidRPr="00C50FD1">
        <w:rPr>
          <w:rFonts w:eastAsia="Arial" w:cs="Arial"/>
          <w:szCs w:val="18"/>
          <w:lang w:val="pt-BR"/>
        </w:rPr>
        <w:t>uma ampla coleção de materiais inclusive Ideias do Setor e ferramentas de Benchmarks, métodos e modelos de referência de Arquitetura Enterprise e Arquitetura de Tecnologia. Dependendo das necessidades dos Clientes, o Arquiteto Enterprise usa o conjunto de materiais e ferramentas apropriados.</w:t>
      </w:r>
    </w:p>
    <w:p w:rsidR="00C151FB" w:rsidRPr="00C50FD1" w:rsidRDefault="00C151FB" w:rsidP="00E77F1E">
      <w:pPr>
        <w:rPr>
          <w:lang w:val="pt-BR"/>
        </w:rPr>
      </w:pPr>
    </w:p>
    <w:p w:rsidR="00E77F1E" w:rsidRPr="00C50FD1" w:rsidRDefault="00E77F1E" w:rsidP="00E77F1E">
      <w:pPr>
        <w:spacing w:after="60"/>
        <w:rPr>
          <w:lang w:val="pt-BR"/>
        </w:rPr>
      </w:pPr>
      <w:r w:rsidRPr="00C50FD1">
        <w:rPr>
          <w:b/>
          <w:szCs w:val="18"/>
          <w:lang w:val="pt-BR"/>
        </w:rPr>
        <w:t>Oficinas do Compromisso</w:t>
      </w:r>
    </w:p>
    <w:p w:rsidR="00DD7F8E" w:rsidRPr="00C50FD1" w:rsidRDefault="00DD7F8E" w:rsidP="00E77F1E">
      <w:pPr>
        <w:rPr>
          <w:lang w:val="pt-BR"/>
        </w:rPr>
      </w:pPr>
      <w:r w:rsidRPr="00C50FD1">
        <w:rPr>
          <w:rFonts w:eastAsia="Arial" w:cs="Arial"/>
          <w:lang w:val="pt-BR"/>
        </w:rPr>
        <w:t>Essas oficinas de nível executivo tem duração de até um dia e geralmente são conduzidas em escritórios regionais da</w:t>
      </w:r>
      <w:r w:rsidR="00A260EC" w:rsidRPr="00C50FD1">
        <w:rPr>
          <w:rFonts w:eastAsia="Arial" w:cs="Arial"/>
          <w:lang w:val="pt-BR"/>
        </w:rPr>
        <w:t> </w:t>
      </w:r>
      <w:r w:rsidRPr="00C50FD1">
        <w:rPr>
          <w:rFonts w:eastAsia="Arial" w:cs="Arial"/>
          <w:lang w:val="pt-BR"/>
        </w:rPr>
        <w:t>Microsoft na subsidiária local. Elas são criadas e personalizadas para que os líderes de negócios e TI do Cliente compreendam a relevância das tecnologias emergentes e das ideias do setor para seus negócios.</w:t>
      </w:r>
      <w:r w:rsidR="005A52A2" w:rsidRPr="00C50FD1">
        <w:rPr>
          <w:rFonts w:eastAsia="Arial" w:cs="Arial"/>
          <w:lang w:val="pt-BR"/>
        </w:rPr>
        <w:t xml:space="preserve"> </w:t>
      </w:r>
      <w:r w:rsidRPr="00C50FD1">
        <w:rPr>
          <w:rFonts w:eastAsia="Arial" w:cs="Arial"/>
          <w:lang w:val="pt-BR"/>
        </w:rPr>
        <w:t>O Cliente é responsável por arcar com os custos de participar dessas oficinas.</w:t>
      </w:r>
    </w:p>
    <w:p w:rsidR="00DD7F8E" w:rsidRPr="00C50FD1" w:rsidRDefault="00DD7F8E" w:rsidP="00E77F1E">
      <w:pPr>
        <w:rPr>
          <w:lang w:val="pt-BR"/>
        </w:rPr>
      </w:pPr>
    </w:p>
    <w:p w:rsidR="00E77F1E" w:rsidRPr="00C50FD1" w:rsidRDefault="00E77F1E" w:rsidP="00E77F1E">
      <w:pPr>
        <w:spacing w:after="60"/>
        <w:rPr>
          <w:lang w:val="pt-BR"/>
        </w:rPr>
      </w:pPr>
      <w:r w:rsidRPr="00C50FD1">
        <w:rPr>
          <w:b/>
          <w:szCs w:val="18"/>
          <w:lang w:val="pt-BR"/>
        </w:rPr>
        <w:lastRenderedPageBreak/>
        <w:t>Instruções Estratégicas</w:t>
      </w:r>
    </w:p>
    <w:p w:rsidR="00DD7F8E" w:rsidRPr="00C50FD1" w:rsidRDefault="00DD7F8E" w:rsidP="00E77F1E">
      <w:pPr>
        <w:spacing w:after="60"/>
        <w:rPr>
          <w:lang w:val="pt-BR"/>
        </w:rPr>
      </w:pPr>
      <w:r w:rsidRPr="00C50FD1">
        <w:rPr>
          <w:rFonts w:eastAsia="Arial" w:cs="Arial"/>
          <w:lang w:val="pt-BR"/>
        </w:rPr>
        <w:t>Trata-se de webconferências globais com duração de uma hora para líderes de negócios e TI a respeito de oportunidades de negócios e do setor, tendências de tecnologia e perspectiva da Microsoft sobre pontos de</w:t>
      </w:r>
      <w:r w:rsidR="00A260EC" w:rsidRPr="00C50FD1">
        <w:rPr>
          <w:rFonts w:eastAsia="Arial" w:cs="Arial"/>
          <w:lang w:val="pt-BR"/>
        </w:rPr>
        <w:t> </w:t>
      </w:r>
      <w:r w:rsidRPr="00C50FD1">
        <w:rPr>
          <w:rFonts w:eastAsia="Arial" w:cs="Arial"/>
          <w:lang w:val="pt-BR"/>
        </w:rPr>
        <w:t>vistas</w:t>
      </w:r>
      <w:r w:rsidR="00A260EC" w:rsidRPr="00C50FD1">
        <w:rPr>
          <w:rFonts w:eastAsia="Arial" w:cs="Arial"/>
          <w:lang w:val="pt-BR"/>
        </w:rPr>
        <w:t> </w:t>
      </w:r>
      <w:r w:rsidRPr="00C50FD1">
        <w:rPr>
          <w:rFonts w:eastAsia="Arial" w:cs="Arial"/>
          <w:lang w:val="pt-BR"/>
        </w:rPr>
        <w:t>estratégicos para problemas importantes.</w:t>
      </w:r>
      <w:r w:rsidR="005A52A2" w:rsidRPr="00C50FD1">
        <w:rPr>
          <w:rFonts w:eastAsia="Arial" w:cs="Arial"/>
          <w:lang w:val="pt-BR"/>
        </w:rPr>
        <w:t xml:space="preserve"> </w:t>
      </w:r>
      <w:r w:rsidRPr="00C50FD1">
        <w:rPr>
          <w:rFonts w:eastAsia="Arial" w:cs="Arial"/>
          <w:lang w:val="pt-BR"/>
        </w:rPr>
        <w:t>Os Clientes também podem ver Instruções Estratégicas gravadas</w:t>
      </w:r>
      <w:r w:rsidR="00A260EC" w:rsidRPr="00C50FD1">
        <w:rPr>
          <w:rFonts w:eastAsia="Arial" w:cs="Arial"/>
          <w:lang w:val="pt-BR"/>
        </w:rPr>
        <w:t> </w:t>
      </w:r>
      <w:r w:rsidRPr="00C50FD1">
        <w:rPr>
          <w:rFonts w:eastAsia="Arial" w:cs="Arial"/>
          <w:lang w:val="pt-BR"/>
        </w:rPr>
        <w:t>anteriormente.</w:t>
      </w:r>
    </w:p>
    <w:p w:rsidR="00DD7F8E" w:rsidRPr="00C50FD1" w:rsidRDefault="00DD7F8E" w:rsidP="00E77F1E">
      <w:pPr>
        <w:rPr>
          <w:lang w:val="pt-BR"/>
        </w:rPr>
      </w:pPr>
    </w:p>
    <w:p w:rsidR="009B78AB" w:rsidRPr="00C50FD1" w:rsidRDefault="009B78AB" w:rsidP="009B78AB">
      <w:pPr>
        <w:spacing w:after="60"/>
        <w:rPr>
          <w:lang w:val="pt-BR"/>
        </w:rPr>
      </w:pPr>
      <w:r w:rsidRPr="00C50FD1">
        <w:rPr>
          <w:rFonts w:eastAsia="Arial" w:cs="Arial"/>
          <w:b/>
          <w:lang w:val="pt-BR"/>
        </w:rPr>
        <w:t>Enterprise Strategy Forum</w:t>
      </w:r>
    </w:p>
    <w:p w:rsidR="009B78AB" w:rsidRPr="00C50FD1" w:rsidRDefault="009B78AB" w:rsidP="009B78AB">
      <w:pPr>
        <w:spacing w:after="60"/>
        <w:rPr>
          <w:lang w:val="pt-BR"/>
        </w:rPr>
      </w:pPr>
      <w:r w:rsidRPr="00C50FD1">
        <w:rPr>
          <w:rFonts w:eastAsia="Arial" w:cs="Arial"/>
          <w:lang w:val="pt-BR"/>
        </w:rPr>
        <w:t>Uma conferência apenas para clientes com convite para Arquitetos Principais e sua equipe de gerenciamento, exclusiva para os clientes do Programa Enterprise Strategy de todo o mundo. Ela dá aos Arquitetos Principais a</w:t>
      </w:r>
      <w:r w:rsidR="00A260EC" w:rsidRPr="00C50FD1">
        <w:rPr>
          <w:rFonts w:eastAsia="Arial" w:cs="Arial"/>
          <w:lang w:val="pt-BR"/>
        </w:rPr>
        <w:t> </w:t>
      </w:r>
      <w:r w:rsidRPr="00C50FD1">
        <w:rPr>
          <w:rFonts w:eastAsia="Arial" w:cs="Arial"/>
          <w:lang w:val="pt-BR"/>
        </w:rPr>
        <w:t>oportunidade de encontrar-se com seus parceiros e executivos da Microsoft para debater alguns dos problemas de</w:t>
      </w:r>
      <w:r w:rsidR="00A260EC" w:rsidRPr="00C50FD1">
        <w:rPr>
          <w:rFonts w:eastAsia="Arial" w:cs="Arial"/>
          <w:lang w:val="pt-BR"/>
        </w:rPr>
        <w:t> </w:t>
      </w:r>
      <w:r w:rsidRPr="00C50FD1">
        <w:rPr>
          <w:rFonts w:eastAsia="Arial" w:cs="Arial"/>
          <w:lang w:val="pt-BR"/>
        </w:rPr>
        <w:t>nossos maiores clientes e como esses problemas podem ser resolvidos.</w:t>
      </w:r>
      <w:r w:rsidR="005A52A2" w:rsidRPr="00C50FD1">
        <w:rPr>
          <w:rFonts w:eastAsia="Arial" w:cs="Arial"/>
          <w:lang w:val="pt-BR"/>
        </w:rPr>
        <w:t xml:space="preserve"> </w:t>
      </w:r>
      <w:r w:rsidRPr="00C50FD1">
        <w:rPr>
          <w:rFonts w:eastAsia="Arial" w:cs="Arial"/>
          <w:lang w:val="pt-BR"/>
        </w:rPr>
        <w:t>O Cliente é responsável por arcar com os</w:t>
      </w:r>
      <w:r w:rsidR="00A260EC" w:rsidRPr="00C50FD1">
        <w:rPr>
          <w:rFonts w:eastAsia="Arial" w:cs="Arial"/>
          <w:lang w:val="pt-BR"/>
        </w:rPr>
        <w:t> </w:t>
      </w:r>
      <w:r w:rsidRPr="00C50FD1">
        <w:rPr>
          <w:rFonts w:eastAsia="Arial" w:cs="Arial"/>
          <w:lang w:val="pt-BR"/>
        </w:rPr>
        <w:t>custos de participar desses fóruns.</w:t>
      </w:r>
      <w:r w:rsidRPr="00C50FD1">
        <w:rPr>
          <w:rFonts w:ascii="Calibri" w:hAnsi="Calibri"/>
          <w:sz w:val="22"/>
          <w:lang w:val="pt-BR"/>
        </w:rPr>
        <w:t xml:space="preserve"> </w:t>
      </w:r>
    </w:p>
    <w:p w:rsidR="00C151FB" w:rsidRPr="00C50FD1" w:rsidRDefault="00C151FB" w:rsidP="00E77F1E">
      <w:pPr>
        <w:rPr>
          <w:lang w:val="pt-BR"/>
        </w:rPr>
      </w:pPr>
    </w:p>
    <w:p w:rsidR="00E77F1E" w:rsidRPr="00C50FD1" w:rsidRDefault="00C151FB" w:rsidP="00E77F1E">
      <w:pPr>
        <w:spacing w:after="60"/>
        <w:rPr>
          <w:lang w:val="pt-BR"/>
        </w:rPr>
      </w:pPr>
      <w:r w:rsidRPr="00C50FD1">
        <w:rPr>
          <w:rFonts w:cs="Tahoma"/>
          <w:b/>
          <w:bCs/>
          <w:color w:val="000000"/>
          <w:szCs w:val="18"/>
          <w:lang w:val="pt-BR"/>
        </w:rPr>
        <w:t>Enterprise Strategy Capacity Complementar</w:t>
      </w:r>
    </w:p>
    <w:p w:rsidR="00C151FB" w:rsidRPr="00C50FD1" w:rsidRDefault="00C151FB" w:rsidP="00E77F1E">
      <w:pPr>
        <w:rPr>
          <w:lang w:val="pt-BR"/>
        </w:rPr>
      </w:pPr>
      <w:r w:rsidRPr="00C50FD1">
        <w:rPr>
          <w:rFonts w:cs="Tahoma"/>
          <w:color w:val="000000"/>
          <w:szCs w:val="18"/>
          <w:lang w:val="pt-BR"/>
        </w:rPr>
        <w:t>O Cliente pode comprar blocos de 200 horas de recursos de consultoria do Microsoft Enterprise Service para aprimorar o fornecimento de capacidade para Projetos Enterprise Strategy ou para conectar intervalos entre os</w:t>
      </w:r>
      <w:r w:rsidR="00A260EC" w:rsidRPr="00C50FD1">
        <w:rPr>
          <w:rFonts w:cs="Tahoma"/>
          <w:color w:val="000000"/>
          <w:szCs w:val="18"/>
          <w:lang w:val="pt-BR"/>
        </w:rPr>
        <w:t> </w:t>
      </w:r>
      <w:r w:rsidRPr="00C50FD1">
        <w:rPr>
          <w:rFonts w:cs="Tahoma"/>
          <w:color w:val="000000"/>
          <w:szCs w:val="18"/>
          <w:lang w:val="pt-BR"/>
        </w:rPr>
        <w:t>compromissos. O Enterprise Strategy Capacity Complementar está disponível para Clientes que compraram a</w:t>
      </w:r>
      <w:r w:rsidR="00A260EC" w:rsidRPr="00C50FD1">
        <w:rPr>
          <w:rFonts w:cs="Tahoma"/>
          <w:color w:val="000000"/>
          <w:szCs w:val="18"/>
          <w:lang w:val="pt-BR"/>
        </w:rPr>
        <w:t> </w:t>
      </w:r>
      <w:r w:rsidRPr="00C50FD1">
        <w:rPr>
          <w:rFonts w:cs="Tahoma"/>
          <w:color w:val="000000"/>
          <w:szCs w:val="18"/>
          <w:lang w:val="pt-BR"/>
        </w:rPr>
        <w:t>oferta</w:t>
      </w:r>
      <w:r w:rsidR="00A260EC" w:rsidRPr="00C50FD1">
        <w:rPr>
          <w:rFonts w:cs="Tahoma"/>
          <w:color w:val="000000"/>
          <w:szCs w:val="18"/>
          <w:lang w:val="pt-BR"/>
        </w:rPr>
        <w:t> </w:t>
      </w:r>
      <w:r w:rsidRPr="00C50FD1">
        <w:rPr>
          <w:rFonts w:cs="Tahoma"/>
          <w:color w:val="000000"/>
          <w:szCs w:val="18"/>
          <w:lang w:val="pt-BR"/>
        </w:rPr>
        <w:t>Enterprise Strategy Connect, Enterprise Strategy Foundation ou Enterprise Strategy Portfolio por meio dos</w:t>
      </w:r>
      <w:r w:rsidR="00A260EC" w:rsidRPr="00C50FD1">
        <w:rPr>
          <w:rFonts w:cs="Tahoma"/>
          <w:color w:val="000000"/>
          <w:szCs w:val="18"/>
          <w:lang w:val="pt-BR"/>
        </w:rPr>
        <w:t> </w:t>
      </w:r>
      <w:r w:rsidRPr="00C50FD1">
        <w:rPr>
          <w:rFonts w:cs="Tahoma"/>
          <w:color w:val="000000"/>
          <w:szCs w:val="18"/>
          <w:lang w:val="pt-BR"/>
        </w:rPr>
        <w:t>contratos de Serviços padrão ou licenciamento por volume da Microsoft.</w:t>
      </w:r>
    </w:p>
    <w:p w:rsidR="00DD7F8E" w:rsidRPr="00C50FD1" w:rsidRDefault="00DD7F8E" w:rsidP="00E77F1E">
      <w:pPr>
        <w:rPr>
          <w:lang w:val="pt-BR"/>
        </w:rPr>
      </w:pPr>
    </w:p>
    <w:bookmarkEnd w:id="974"/>
    <w:bookmarkEnd w:id="975"/>
    <w:p w:rsidR="00DD7F8E" w:rsidRPr="00C50FD1" w:rsidRDefault="00DD7F8E" w:rsidP="00DD7F8E">
      <w:pPr>
        <w:rPr>
          <w:lang w:val="pt-BR"/>
        </w:rPr>
      </w:pPr>
      <w:r w:rsidRPr="00C50FD1">
        <w:rPr>
          <w:b/>
          <w:sz w:val="24"/>
          <w:szCs w:val="18"/>
          <w:lang w:val="pt-BR"/>
        </w:rPr>
        <w:t>Serviços Fora do Escopo</w:t>
      </w:r>
      <w:r w:rsidR="005A52A2" w:rsidRPr="00C50FD1">
        <w:rPr>
          <w:sz w:val="20"/>
          <w:szCs w:val="18"/>
          <w:lang w:val="pt-BR"/>
        </w:rPr>
        <w:t xml:space="preserve"> </w:t>
      </w:r>
    </w:p>
    <w:p w:rsidR="00DD7F8E" w:rsidRPr="00C50FD1" w:rsidRDefault="00DD7F8E" w:rsidP="00E77F1E">
      <w:pPr>
        <w:rPr>
          <w:lang w:val="pt-BR"/>
        </w:rPr>
      </w:pPr>
    </w:p>
    <w:p w:rsidR="00DD7F8E" w:rsidRPr="00C50FD1" w:rsidRDefault="00DD7F8E" w:rsidP="00DD7F8E">
      <w:pPr>
        <w:rPr>
          <w:szCs w:val="18"/>
          <w:lang w:val="pt-BR"/>
        </w:rPr>
      </w:pPr>
      <w:r w:rsidRPr="00C50FD1">
        <w:rPr>
          <w:szCs w:val="18"/>
          <w:lang w:val="pt-BR"/>
        </w:rPr>
        <w:t>O Programa Enterprise Strategy engloba exclusivamente consultoria e orientação a respeito da adoção das tecnologias da Microsoft por parte do Cliente.</w:t>
      </w:r>
      <w:r w:rsidR="005A52A2" w:rsidRPr="00C50FD1">
        <w:rPr>
          <w:szCs w:val="18"/>
          <w:lang w:val="pt-BR"/>
        </w:rPr>
        <w:t xml:space="preserve"> </w:t>
      </w:r>
      <w:r w:rsidRPr="00C50FD1">
        <w:rPr>
          <w:rFonts w:eastAsia="Arial" w:cs="Arial"/>
          <w:bCs/>
          <w:szCs w:val="18"/>
          <w:lang w:val="pt-BR"/>
        </w:rPr>
        <w:t>Fica a critério exclusivo do Cliente escolher seguir ou desconsiderar a</w:t>
      </w:r>
      <w:r w:rsidR="005723AA" w:rsidRPr="00C50FD1">
        <w:rPr>
          <w:rFonts w:eastAsia="Arial" w:cs="Arial"/>
          <w:bCs/>
          <w:szCs w:val="18"/>
          <w:lang w:val="pt-BR"/>
        </w:rPr>
        <w:t> </w:t>
      </w:r>
      <w:r w:rsidRPr="00C50FD1">
        <w:rPr>
          <w:rFonts w:eastAsia="Arial" w:cs="Arial"/>
          <w:bCs/>
          <w:szCs w:val="18"/>
          <w:lang w:val="pt-BR"/>
        </w:rPr>
        <w:t>consultoria, a orientação e as recomendações da Microsoft.</w:t>
      </w:r>
      <w:r w:rsidR="005A52A2" w:rsidRPr="00C50FD1">
        <w:rPr>
          <w:rFonts w:eastAsia="Arial" w:cs="Arial"/>
          <w:bCs/>
          <w:szCs w:val="18"/>
          <w:lang w:val="pt-BR"/>
        </w:rPr>
        <w:t xml:space="preserve"> </w:t>
      </w:r>
      <w:r w:rsidRPr="00C50FD1">
        <w:rPr>
          <w:rFonts w:eastAsia="Arial" w:cs="Arial"/>
          <w:bCs/>
          <w:szCs w:val="18"/>
          <w:lang w:val="pt-BR"/>
        </w:rPr>
        <w:t>A Microsoft não faz promessas nem oferece garantias de nenhuma forma com relação aos resultados que possam ser alcançados pelo Cliente como resultado do seguimento da consultoria, das orientações ou das recomendações da Microsoft.</w:t>
      </w:r>
      <w:r w:rsidR="005A52A2" w:rsidRPr="00C50FD1">
        <w:rPr>
          <w:rFonts w:eastAsia="Arial" w:cs="Arial"/>
          <w:bCs/>
          <w:szCs w:val="18"/>
          <w:lang w:val="pt-BR"/>
        </w:rPr>
        <w:t xml:space="preserve"> </w:t>
      </w:r>
      <w:r w:rsidRPr="00C50FD1">
        <w:rPr>
          <w:szCs w:val="18"/>
          <w:lang w:val="pt-BR"/>
        </w:rPr>
        <w:t>As licenças de produto não estão incluídas.</w:t>
      </w:r>
      <w:r w:rsidR="005A52A2" w:rsidRPr="00C50FD1">
        <w:rPr>
          <w:szCs w:val="18"/>
          <w:lang w:val="pt-BR"/>
        </w:rPr>
        <w:t xml:space="preserve"> </w:t>
      </w:r>
      <w:r w:rsidRPr="00C50FD1">
        <w:rPr>
          <w:szCs w:val="18"/>
          <w:lang w:val="pt-BR"/>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w:t>
      </w:r>
      <w:r w:rsidR="00A260EC" w:rsidRPr="00C50FD1">
        <w:rPr>
          <w:szCs w:val="18"/>
          <w:lang w:val="pt-BR"/>
        </w:rPr>
        <w:t> </w:t>
      </w:r>
      <w:r w:rsidRPr="00C50FD1">
        <w:rPr>
          <w:szCs w:val="18"/>
          <w:lang w:val="pt-BR"/>
        </w:rPr>
        <w:t>tratar de qualquer código-fonte que não seja da Microsoft, nossos Serviços serão limitados à análise de dados binários, tais como dump de processamento ou rastreamento de monitores de rede.</w:t>
      </w:r>
    </w:p>
    <w:p w:rsidR="00DD7F8E" w:rsidRPr="00C50FD1" w:rsidRDefault="00DD7F8E" w:rsidP="00E77F1E">
      <w:pPr>
        <w:rPr>
          <w:lang w:val="pt-BR"/>
        </w:rPr>
      </w:pPr>
    </w:p>
    <w:p w:rsidR="00DD7F8E" w:rsidRPr="00C50FD1" w:rsidRDefault="00DD7F8E" w:rsidP="00DD7F8E">
      <w:pPr>
        <w:rPr>
          <w:lang w:val="pt-BR"/>
        </w:rPr>
      </w:pPr>
      <w:r w:rsidRPr="00C50FD1">
        <w:rPr>
          <w:b/>
          <w:sz w:val="24"/>
          <w:szCs w:val="18"/>
          <w:lang w:val="pt-BR"/>
        </w:rPr>
        <w:t>Responsabilidades do Cliente</w:t>
      </w:r>
      <w:r w:rsidR="005A52A2" w:rsidRPr="00C50FD1">
        <w:rPr>
          <w:sz w:val="24"/>
          <w:szCs w:val="18"/>
          <w:lang w:val="pt-BR"/>
        </w:rPr>
        <w:t xml:space="preserve"> </w:t>
      </w:r>
    </w:p>
    <w:p w:rsidR="00DD7F8E" w:rsidRPr="00C50FD1" w:rsidRDefault="00DD7F8E" w:rsidP="00DD7F8E">
      <w:pPr>
        <w:rPr>
          <w:lang w:val="pt-BR"/>
        </w:rPr>
      </w:pPr>
    </w:p>
    <w:p w:rsidR="00DD7F8E" w:rsidRPr="00C50FD1" w:rsidRDefault="00DD7F8E" w:rsidP="00DD7F8E">
      <w:pPr>
        <w:rPr>
          <w:lang w:val="pt-BR"/>
        </w:rPr>
      </w:pPr>
      <w:r w:rsidRPr="00C50FD1">
        <w:rPr>
          <w:szCs w:val="18"/>
          <w:lang w:val="pt-BR"/>
        </w:rPr>
        <w:t>O sucesso do Programa Enterprise Strategy, bem como o desempenho de nossas obrigações, dependem do envolvimento do Cliente ao longo do programa, incluindo, sem limitação:</w:t>
      </w:r>
    </w:p>
    <w:p w:rsidR="00DD7F8E" w:rsidRPr="00C50FD1" w:rsidRDefault="00DD7F8E" w:rsidP="00DD7F8E">
      <w:pPr>
        <w:rPr>
          <w:lang w:val="pt-BR"/>
        </w:rPr>
      </w:pPr>
    </w:p>
    <w:p w:rsidR="00DD7F8E" w:rsidRPr="00C50FD1" w:rsidRDefault="00DD7F8E" w:rsidP="002C1048">
      <w:pPr>
        <w:numPr>
          <w:ilvl w:val="0"/>
          <w:numId w:val="96"/>
        </w:numPr>
        <w:tabs>
          <w:tab w:val="left" w:pos="1440"/>
        </w:tabs>
        <w:spacing w:after="60"/>
        <w:ind w:left="1440"/>
        <w:rPr>
          <w:lang w:val="pt-BR"/>
        </w:rPr>
      </w:pPr>
      <w:r w:rsidRPr="00C50FD1">
        <w:rPr>
          <w:color w:val="000000"/>
          <w:szCs w:val="18"/>
          <w:lang w:val="pt-BR"/>
        </w:rPr>
        <w:t xml:space="preserve">A disponibilidade de representantes, equipe de TI e recursos do Cliente, incluindo, sem limitação, hardware, software, conectividade de Internet e espaço no escritório; </w:t>
      </w:r>
    </w:p>
    <w:p w:rsidR="00DD7F8E" w:rsidRPr="00C50FD1" w:rsidRDefault="00DD7F8E" w:rsidP="002C1048">
      <w:pPr>
        <w:numPr>
          <w:ilvl w:val="0"/>
          <w:numId w:val="96"/>
        </w:numPr>
        <w:tabs>
          <w:tab w:val="left" w:pos="1440"/>
        </w:tabs>
        <w:spacing w:after="60"/>
        <w:ind w:left="1440"/>
        <w:rPr>
          <w:lang w:val="pt-BR"/>
        </w:rPr>
      </w:pPr>
      <w:r w:rsidRPr="00C50FD1">
        <w:rPr>
          <w:color w:val="000000"/>
          <w:szCs w:val="18"/>
          <w:lang w:val="pt-BR"/>
        </w:rPr>
        <w:t xml:space="preserve">Fornecimento de informações precisas e completas em tempo hábil por parte do Cliente; </w:t>
      </w:r>
    </w:p>
    <w:p w:rsidR="00DD7F8E" w:rsidRPr="00C50FD1" w:rsidRDefault="00DD7F8E" w:rsidP="002C1048">
      <w:pPr>
        <w:numPr>
          <w:ilvl w:val="0"/>
          <w:numId w:val="96"/>
        </w:numPr>
        <w:tabs>
          <w:tab w:val="left" w:pos="1440"/>
        </w:tabs>
        <w:spacing w:after="60"/>
        <w:ind w:left="1440"/>
        <w:rPr>
          <w:lang w:val="pt-BR"/>
        </w:rPr>
      </w:pPr>
      <w:r w:rsidRPr="00C50FD1">
        <w:rPr>
          <w:color w:val="000000"/>
          <w:szCs w:val="18"/>
          <w:lang w:val="pt-BR"/>
        </w:rPr>
        <w:t>Acesso a informações sobre a organização do Cliente;</w:t>
      </w:r>
    </w:p>
    <w:p w:rsidR="00DD7F8E" w:rsidRPr="00C50FD1" w:rsidRDefault="00DD7F8E" w:rsidP="002C1048">
      <w:pPr>
        <w:numPr>
          <w:ilvl w:val="0"/>
          <w:numId w:val="96"/>
        </w:numPr>
        <w:tabs>
          <w:tab w:val="left" w:pos="1440"/>
        </w:tabs>
        <w:spacing w:after="60"/>
        <w:ind w:left="1440"/>
        <w:rPr>
          <w:lang w:val="pt-BR"/>
        </w:rPr>
      </w:pPr>
      <w:r w:rsidRPr="00C50FD1">
        <w:rPr>
          <w:color w:val="000000"/>
          <w:szCs w:val="18"/>
          <w:lang w:val="pt-BR"/>
        </w:rPr>
        <w:t>Cumprimento tempestivo e eficaz das responsabilidades atribuídas ao Cliente; e</w:t>
      </w:r>
    </w:p>
    <w:p w:rsidR="00DD7F8E" w:rsidRPr="00C50FD1" w:rsidRDefault="00DD7F8E" w:rsidP="002C1048">
      <w:pPr>
        <w:numPr>
          <w:ilvl w:val="0"/>
          <w:numId w:val="96"/>
        </w:numPr>
        <w:tabs>
          <w:tab w:val="left" w:pos="1440"/>
        </w:tabs>
        <w:spacing w:after="60"/>
        <w:ind w:left="1440"/>
        <w:rPr>
          <w:lang w:val="pt-BR"/>
        </w:rPr>
      </w:pPr>
      <w:r w:rsidRPr="00C50FD1">
        <w:rPr>
          <w:color w:val="000000"/>
          <w:szCs w:val="18"/>
          <w:lang w:val="pt-BR"/>
        </w:rPr>
        <w:t>Decisões e aprovações tempestivas da administração do Cliente.</w:t>
      </w:r>
      <w:r w:rsidR="005A52A2" w:rsidRPr="00C50FD1">
        <w:rPr>
          <w:color w:val="000000"/>
          <w:szCs w:val="18"/>
          <w:lang w:val="pt-BR"/>
        </w:rPr>
        <w:t xml:space="preserve"> </w:t>
      </w:r>
    </w:p>
    <w:p w:rsidR="005723AA" w:rsidRPr="00C50FD1" w:rsidRDefault="005723AA" w:rsidP="00CA52FE">
      <w:pPr>
        <w:rPr>
          <w:b/>
          <w:szCs w:val="18"/>
          <w:lang w:val="pt-BR"/>
        </w:rPr>
      </w:pPr>
      <w:bookmarkStart w:id="976" w:name="_Toc288760404"/>
    </w:p>
    <w:p w:rsidR="00DD7F8E" w:rsidRPr="00C50FD1" w:rsidRDefault="00DD7F8E" w:rsidP="00CA52FE">
      <w:pPr>
        <w:rPr>
          <w:lang w:val="pt-BR"/>
        </w:rPr>
      </w:pPr>
      <w:r w:rsidRPr="00C50FD1">
        <w:rPr>
          <w:b/>
          <w:sz w:val="24"/>
          <w:szCs w:val="18"/>
          <w:lang w:val="pt-BR"/>
        </w:rPr>
        <w:t>Termos e Condições Adicionais dos Serviços</w:t>
      </w:r>
    </w:p>
    <w:p w:rsidR="00DD7F8E" w:rsidRPr="00C50FD1" w:rsidRDefault="00DD7F8E" w:rsidP="00CA52FE">
      <w:pPr>
        <w:rPr>
          <w:sz w:val="16"/>
          <w:szCs w:val="16"/>
          <w:lang w:val="pt-BR"/>
        </w:rPr>
      </w:pPr>
    </w:p>
    <w:p w:rsidR="00DD7F8E" w:rsidRPr="00C50FD1" w:rsidRDefault="00DB2D1E" w:rsidP="00E77F1E">
      <w:pPr>
        <w:spacing w:after="60"/>
        <w:rPr>
          <w:lang w:val="pt-BR"/>
        </w:rPr>
      </w:pPr>
      <w:bookmarkStart w:id="977" w:name="_Toc317591257"/>
      <w:bookmarkStart w:id="978" w:name="_Toc336338248"/>
      <w:bookmarkStart w:id="979" w:name="_Toc353470896"/>
      <w:r w:rsidRPr="00C50FD1">
        <w:rPr>
          <w:rStyle w:val="Heading2Char"/>
          <w:rFonts w:ascii="Tahoma" w:hAnsi="Tahoma"/>
          <w:sz w:val="20"/>
          <w:szCs w:val="20"/>
          <w:lang w:val="pt-BR"/>
        </w:rPr>
        <w:t>Direitos de uso, propriedade e licença</w:t>
      </w:r>
      <w:bookmarkEnd w:id="976"/>
      <w:bookmarkEnd w:id="977"/>
      <w:bookmarkEnd w:id="978"/>
      <w:bookmarkEnd w:id="979"/>
    </w:p>
    <w:p w:rsidR="00DB2D1E" w:rsidRPr="00C50FD1" w:rsidRDefault="00DB2D1E" w:rsidP="00CA52FE">
      <w:pPr>
        <w:pStyle w:val="normal1"/>
        <w:rPr>
          <w:lang w:val="pt-BR"/>
        </w:rPr>
      </w:pPr>
      <w:r w:rsidRPr="00C50FD1">
        <w:rPr>
          <w:rFonts w:ascii="Tahoma" w:hAnsi="Tahoma" w:cs="Tahoma"/>
          <w:b/>
          <w:bCs/>
          <w:color w:val="000000"/>
          <w:sz w:val="18"/>
          <w:szCs w:val="18"/>
          <w:lang w:val="pt-BR"/>
        </w:rPr>
        <w:t>Consertos.</w:t>
      </w:r>
      <w:r w:rsidR="005A52A2" w:rsidRPr="00C50FD1">
        <w:rPr>
          <w:rFonts w:ascii="Tahoma" w:hAnsi="Tahoma" w:cs="Tahoma"/>
          <w:b/>
          <w:bCs/>
          <w:color w:val="000000"/>
          <w:sz w:val="18"/>
          <w:szCs w:val="18"/>
          <w:lang w:val="pt-BR"/>
        </w:rPr>
        <w:t xml:space="preserve"> </w:t>
      </w:r>
      <w:r w:rsidRPr="00C50FD1">
        <w:rPr>
          <w:rFonts w:ascii="Tahoma" w:hAnsi="Tahoma" w:cs="Tahoma"/>
          <w:bCs/>
          <w:color w:val="000000"/>
          <w:sz w:val="18"/>
          <w:szCs w:val="18"/>
          <w:lang w:val="pt-BR"/>
        </w:rPr>
        <w:t>Se a Microsoft fornecer Consertos ao Cliente no decorrer da execução dos Serviços, tais</w:t>
      </w:r>
      <w:r w:rsidRPr="00C50FD1">
        <w:rPr>
          <w:rFonts w:ascii="Tahoma" w:hAnsi="Tahoma" w:cs="Tahoma"/>
          <w:b/>
          <w:bCs/>
          <w:color w:val="000000"/>
          <w:sz w:val="18"/>
          <w:szCs w:val="18"/>
          <w:lang w:val="pt-BR"/>
        </w:rPr>
        <w:t xml:space="preserve"> </w:t>
      </w:r>
      <w:r w:rsidRPr="00C50FD1">
        <w:rPr>
          <w:rFonts w:ascii="Tahoma" w:hAnsi="Tahoma" w:cs="Tahoma"/>
          <w:color w:val="000000"/>
          <w:sz w:val="18"/>
          <w:szCs w:val="18"/>
          <w:lang w:val="pt-BR"/>
        </w:rPr>
        <w:t>Consertos serão licenciados de acordo com os termos da licença aplicáveis ao Produto ao qual os Consertos estão relacionados.</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Se os</w:t>
      </w:r>
      <w:r w:rsidR="00687327" w:rsidRPr="00C50FD1">
        <w:rPr>
          <w:rFonts w:ascii="Tahoma" w:hAnsi="Tahoma" w:cs="Tahoma"/>
          <w:color w:val="000000"/>
          <w:sz w:val="18"/>
          <w:szCs w:val="18"/>
          <w:lang w:val="pt-BR"/>
        </w:rPr>
        <w:t> </w:t>
      </w:r>
      <w:r w:rsidRPr="00C50FD1">
        <w:rPr>
          <w:rFonts w:ascii="Tahoma" w:hAnsi="Tahoma" w:cs="Tahoma"/>
          <w:color w:val="000000"/>
          <w:sz w:val="18"/>
          <w:szCs w:val="18"/>
          <w:lang w:val="pt-BR"/>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687327" w:rsidRPr="00C50FD1">
        <w:rPr>
          <w:rFonts w:ascii="Tahoma" w:hAnsi="Tahoma" w:cs="Tahoma"/>
          <w:color w:val="000000"/>
          <w:sz w:val="18"/>
          <w:szCs w:val="18"/>
          <w:lang w:val="pt-BR"/>
        </w:rPr>
        <w:t> </w:t>
      </w:r>
      <w:r w:rsidRPr="00C50FD1">
        <w:rPr>
          <w:rFonts w:ascii="Tahoma" w:hAnsi="Tahoma" w:cs="Tahoma"/>
          <w:color w:val="000000"/>
          <w:sz w:val="18"/>
          <w:szCs w:val="18"/>
          <w:lang w:val="pt-BR"/>
        </w:rPr>
        <w:t>uso interno.</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O Cliente não pode modificar, alterar o nome do arquivo dos Consertos ou combinar quaisquer Consertos com nenhum código de computador que não seja da Microsoft.</w:t>
      </w:r>
    </w:p>
    <w:p w:rsidR="00DB2D1E" w:rsidRPr="00C50FD1" w:rsidRDefault="00DB2D1E" w:rsidP="00CA52FE">
      <w:pPr>
        <w:pStyle w:val="normal1"/>
        <w:rPr>
          <w:lang w:val="pt-BR"/>
        </w:rPr>
      </w:pPr>
      <w:r w:rsidRPr="00C50FD1">
        <w:rPr>
          <w:rFonts w:ascii="Tahoma" w:hAnsi="Tahoma" w:cs="Tahoma"/>
          <w:b/>
          <w:bCs/>
          <w:color w:val="000000"/>
          <w:sz w:val="18"/>
          <w:szCs w:val="18"/>
          <w:lang w:val="pt-BR"/>
        </w:rPr>
        <w:lastRenderedPageBreak/>
        <w:t>Trabalho Preexistente.</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Todos os direitos em qualquer código de computador ou materiais escritos não baseados em código desenvolvidos ou de outra forma obtidos pelas ou para as partes ou suas Afiliadas, independentemente do</w:t>
      </w:r>
      <w:r w:rsidR="00687327" w:rsidRPr="00C50FD1">
        <w:rPr>
          <w:rFonts w:ascii="Tahoma" w:hAnsi="Tahoma" w:cs="Tahoma"/>
          <w:color w:val="000000"/>
          <w:sz w:val="18"/>
          <w:szCs w:val="18"/>
          <w:lang w:val="pt-BR"/>
        </w:rPr>
        <w:t> </w:t>
      </w:r>
      <w:r w:rsidRPr="00C50FD1">
        <w:rPr>
          <w:rFonts w:ascii="Tahoma" w:hAnsi="Tahoma" w:cs="Tahoma"/>
          <w:color w:val="000000"/>
          <w:sz w:val="18"/>
          <w:szCs w:val="18"/>
          <w:lang w:val="pt-BR"/>
        </w:rPr>
        <w:t>presente contrato (“Trabalho Preexistente”), devem permanecer como propriedade exclusiva da parte que fornece o Trabalho Preexistente.</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w:t>
      </w:r>
      <w:r w:rsidR="00042D1C" w:rsidRPr="00C50FD1">
        <w:rPr>
          <w:rFonts w:ascii="Tahoma" w:hAnsi="Tahoma" w:cs="Tahoma"/>
          <w:color w:val="000000"/>
          <w:sz w:val="18"/>
          <w:szCs w:val="18"/>
          <w:lang w:val="pt-BR"/>
        </w:rPr>
        <w:t> </w:t>
      </w:r>
      <w:r w:rsidRPr="00C50FD1">
        <w:rPr>
          <w:rFonts w:ascii="Tahoma" w:hAnsi="Tahoma" w:cs="Tahoma"/>
          <w:color w:val="000000"/>
          <w:sz w:val="18"/>
          <w:szCs w:val="18"/>
          <w:lang w:val="pt-BR"/>
        </w:rPr>
        <w:t>obrigações relacionadas aos Serviços.</w:t>
      </w:r>
    </w:p>
    <w:p w:rsidR="00042D1C" w:rsidRPr="00C50FD1" w:rsidRDefault="00042D1C" w:rsidP="005723AA">
      <w:pPr>
        <w:pStyle w:val="normal1"/>
        <w:ind w:right="90"/>
        <w:rPr>
          <w:rFonts w:ascii="Tahoma" w:hAnsi="Tahoma" w:cs="Tahoma"/>
          <w:color w:val="000000"/>
          <w:sz w:val="18"/>
          <w:szCs w:val="18"/>
          <w:lang w:val="pt-BR"/>
        </w:rPr>
      </w:pPr>
    </w:p>
    <w:p w:rsidR="00DB2D1E" w:rsidRPr="00C50FD1" w:rsidRDefault="00DB2D1E" w:rsidP="005723AA">
      <w:pPr>
        <w:pStyle w:val="normal1"/>
        <w:ind w:right="90"/>
        <w:rPr>
          <w:lang w:val="pt-BR"/>
        </w:rPr>
      </w:pPr>
      <w:r w:rsidRPr="00C50FD1">
        <w:rPr>
          <w:rFonts w:ascii="Tahoma" w:hAnsi="Tahoma" w:cs="Tahoma"/>
          <w:color w:val="000000"/>
          <w:sz w:val="18"/>
          <w:szCs w:val="18"/>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w:t>
      </w:r>
      <w:r w:rsidR="00687327" w:rsidRPr="00C50FD1">
        <w:rPr>
          <w:rFonts w:ascii="Tahoma" w:hAnsi="Tahoma" w:cs="Tahoma"/>
          <w:color w:val="000000"/>
          <w:sz w:val="18"/>
          <w:szCs w:val="18"/>
          <w:lang w:val="pt-BR"/>
        </w:rPr>
        <w:t> </w:t>
      </w:r>
      <w:r w:rsidRPr="00C50FD1">
        <w:rPr>
          <w:rFonts w:ascii="Tahoma" w:hAnsi="Tahoma" w:cs="Tahoma"/>
          <w:color w:val="000000"/>
          <w:sz w:val="18"/>
          <w:szCs w:val="18"/>
          <w:lang w:val="pt-BR"/>
        </w:rPr>
        <w:t>Trabalho Preexistente da Microsoft está sujeita ao cumprimento dos termos do presente contrato por parte do Cliente.</w:t>
      </w:r>
    </w:p>
    <w:p w:rsidR="003F47CB" w:rsidRPr="00C50FD1" w:rsidRDefault="003F47CB" w:rsidP="00CA52FE">
      <w:pPr>
        <w:pStyle w:val="normal1"/>
        <w:rPr>
          <w:rFonts w:ascii="Tahoma" w:hAnsi="Tahoma" w:cs="Tahoma"/>
          <w:sz w:val="16"/>
          <w:szCs w:val="16"/>
          <w:lang w:val="pt-BR"/>
        </w:rPr>
      </w:pPr>
    </w:p>
    <w:p w:rsidR="00DB2D1E" w:rsidRPr="00C50FD1" w:rsidRDefault="00DB2D1E" w:rsidP="00CA52FE">
      <w:pPr>
        <w:pStyle w:val="normal1"/>
        <w:rPr>
          <w:lang w:val="pt-BR"/>
        </w:rPr>
      </w:pPr>
      <w:r w:rsidRPr="00C50FD1">
        <w:rPr>
          <w:rFonts w:ascii="Tahoma" w:hAnsi="Tahoma" w:cs="Tahoma"/>
          <w:b/>
          <w:bCs/>
          <w:color w:val="000000"/>
          <w:sz w:val="18"/>
          <w:szCs w:val="18"/>
          <w:lang w:val="pt-BR"/>
        </w:rPr>
        <w:t>Desenvolvimentos</w:t>
      </w:r>
      <w:r w:rsidRPr="00C50FD1">
        <w:rPr>
          <w:rFonts w:ascii="Tahoma" w:hAnsi="Tahoma" w:cs="Tahoma"/>
          <w:b/>
          <w:color w:val="000000"/>
          <w:sz w:val="18"/>
          <w:szCs w:val="18"/>
          <w:lang w:val="pt-BR"/>
        </w:rPr>
        <w:t>.</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(“Desenvolvimentos”).</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Cada uma das partes deverá ser a única proprietária de quaisquer modificações feitas a partir dos Desenvolvimentos.</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O Cliente concorda em exercer seus direitos sobre quaisquer Desenvolvimentos unicamente para as operações comerciais internas do Cliente, e não para</w:t>
      </w:r>
      <w:r w:rsidR="00687327" w:rsidRPr="00C50FD1">
        <w:rPr>
          <w:rFonts w:ascii="Tahoma" w:hAnsi="Tahoma" w:cs="Tahoma"/>
          <w:color w:val="000000"/>
          <w:sz w:val="18"/>
          <w:szCs w:val="18"/>
          <w:lang w:val="pt-BR"/>
        </w:rPr>
        <w:t> </w:t>
      </w:r>
      <w:r w:rsidRPr="00C50FD1">
        <w:rPr>
          <w:rFonts w:ascii="Tahoma" w:hAnsi="Tahoma" w:cs="Tahoma"/>
          <w:color w:val="000000"/>
          <w:sz w:val="18"/>
          <w:szCs w:val="18"/>
          <w:lang w:val="pt-BR"/>
        </w:rPr>
        <w:t>revender ou distribuir quaisquer Desenvolvimentos a terceiros.</w:t>
      </w:r>
    </w:p>
    <w:p w:rsidR="003F47CB" w:rsidRPr="00C50FD1" w:rsidRDefault="003F47CB" w:rsidP="00CA52FE">
      <w:pPr>
        <w:pStyle w:val="normal1"/>
        <w:rPr>
          <w:rFonts w:ascii="Tahoma" w:hAnsi="Tahoma" w:cs="Tahoma"/>
          <w:sz w:val="16"/>
          <w:szCs w:val="16"/>
          <w:lang w:val="pt-BR"/>
        </w:rPr>
      </w:pPr>
    </w:p>
    <w:p w:rsidR="00222641" w:rsidRPr="00C50FD1" w:rsidRDefault="00222641" w:rsidP="00CA52FE">
      <w:pPr>
        <w:rPr>
          <w:lang w:val="pt-BR"/>
        </w:rPr>
      </w:pPr>
      <w:r w:rsidRPr="00C50FD1">
        <w:rPr>
          <w:rFonts w:eastAsia="Calibri" w:cs="Tahoma"/>
          <w:b/>
          <w:bCs/>
          <w:color w:val="000000"/>
          <w:szCs w:val="18"/>
          <w:lang w:val="pt-BR"/>
        </w:rPr>
        <w:t>Materiais.</w:t>
      </w:r>
      <w:r w:rsidR="005A52A2" w:rsidRPr="00C50FD1">
        <w:rPr>
          <w:rFonts w:eastAsia="Calibri" w:cs="Tahoma"/>
          <w:b/>
          <w:bCs/>
          <w:color w:val="000000"/>
          <w:szCs w:val="18"/>
          <w:lang w:val="pt-BR"/>
        </w:rPr>
        <w:t xml:space="preserve"> </w:t>
      </w:r>
      <w:r w:rsidRPr="00C50FD1">
        <w:rPr>
          <w:rFonts w:eastAsia="Calibri" w:cs="Tahoma"/>
          <w:bCs/>
          <w:color w:val="000000"/>
          <w:szCs w:val="18"/>
          <w:lang w:val="pt-BR"/>
        </w:rPr>
        <w:t>Todos os direitos sobre os materiais desenvolvidos por Nós (que não sejam código de software) e</w:t>
      </w:r>
      <w:r w:rsidR="00687327" w:rsidRPr="00C50FD1">
        <w:rPr>
          <w:rFonts w:eastAsia="Calibri" w:cs="Tahoma"/>
          <w:bCs/>
          <w:color w:val="000000"/>
          <w:szCs w:val="18"/>
          <w:lang w:val="pt-BR"/>
        </w:rPr>
        <w:t> </w:t>
      </w:r>
      <w:r w:rsidRPr="00C50FD1">
        <w:rPr>
          <w:rFonts w:eastAsia="Calibri" w:cs="Tahoma"/>
          <w:bCs/>
          <w:color w:val="000000"/>
          <w:szCs w:val="18"/>
          <w:lang w:val="pt-BR"/>
        </w:rPr>
        <w:t>fornecidos ao cliente junto com o Suporte Profissional e Suporte para Windows Azure (</w:t>
      </w:r>
      <w:r w:rsidR="00C133AB" w:rsidRPr="00C50FD1">
        <w:rPr>
          <w:rFonts w:eastAsia="Calibri" w:cs="Tahoma"/>
          <w:bCs/>
          <w:color w:val="000000"/>
          <w:szCs w:val="18"/>
          <w:lang w:val="pt-BR"/>
        </w:rPr>
        <w:t>“</w:t>
      </w:r>
      <w:r w:rsidRPr="00C50FD1">
        <w:rPr>
          <w:rFonts w:eastAsia="Calibri" w:cs="Tahoma"/>
          <w:bCs/>
          <w:color w:val="000000"/>
          <w:szCs w:val="18"/>
          <w:lang w:val="pt-BR"/>
        </w:rPr>
        <w:t>Materiais</w:t>
      </w:r>
      <w:r w:rsidR="00C133AB" w:rsidRPr="00C50FD1">
        <w:rPr>
          <w:rFonts w:eastAsia="Calibri" w:cs="Tahoma"/>
          <w:bCs/>
          <w:color w:val="000000"/>
          <w:szCs w:val="18"/>
          <w:lang w:val="pt-BR"/>
        </w:rPr>
        <w:t>”</w:t>
      </w:r>
      <w:r w:rsidRPr="00C50FD1">
        <w:rPr>
          <w:rFonts w:eastAsia="Calibri" w:cs="Tahoma"/>
          <w:bCs/>
          <w:color w:val="000000"/>
          <w:szCs w:val="18"/>
          <w:lang w:val="pt-BR"/>
        </w:rPr>
        <w:t>) são de Nossa</w:t>
      </w:r>
      <w:r w:rsidR="00687327" w:rsidRPr="00C50FD1">
        <w:rPr>
          <w:rFonts w:eastAsia="Calibri" w:cs="Tahoma"/>
          <w:bCs/>
          <w:color w:val="000000"/>
          <w:szCs w:val="18"/>
          <w:lang w:val="pt-BR"/>
        </w:rPr>
        <w:t> </w:t>
      </w:r>
      <w:r w:rsidRPr="00C50FD1">
        <w:rPr>
          <w:rFonts w:eastAsia="Calibri" w:cs="Tahoma"/>
          <w:bCs/>
          <w:color w:val="000000"/>
          <w:szCs w:val="18"/>
          <w:lang w:val="pt-BR"/>
        </w:rPr>
        <w:t>propriedade, exceto na medida em que esses Materiais fizerem parte do Trabalho Pré-existente do cliente.</w:t>
      </w:r>
      <w:r w:rsidR="005A52A2" w:rsidRPr="00C50FD1">
        <w:rPr>
          <w:rFonts w:eastAsia="Calibri" w:cs="Tahoma"/>
          <w:bCs/>
          <w:color w:val="000000"/>
          <w:szCs w:val="18"/>
          <w:lang w:val="pt-BR"/>
        </w:rPr>
        <w:t xml:space="preserve"> </w:t>
      </w:r>
      <w:r w:rsidRPr="00C50FD1">
        <w:rPr>
          <w:rFonts w:eastAsia="Calibri" w:cs="Tahoma"/>
          <w:bCs/>
          <w:color w:val="000000"/>
          <w:szCs w:val="18"/>
          <w:lang w:val="pt-BR"/>
        </w:rPr>
        <w:t>A</w:t>
      </w:r>
      <w:r w:rsidR="00687327" w:rsidRPr="00C50FD1">
        <w:rPr>
          <w:rFonts w:eastAsia="Calibri" w:cs="Tahoma"/>
          <w:bCs/>
          <w:color w:val="000000"/>
          <w:szCs w:val="18"/>
          <w:lang w:val="pt-BR"/>
        </w:rPr>
        <w:t> </w:t>
      </w:r>
      <w:r w:rsidRPr="00C50FD1">
        <w:rPr>
          <w:rFonts w:eastAsia="Calibri" w:cs="Tahoma"/>
          <w:bCs/>
          <w:color w:val="000000"/>
          <w:szCs w:val="18"/>
          <w:lang w:val="pt-BR"/>
        </w:rPr>
        <w:t>Microsoft outorgará aos clientes uma licença não exclusiva, perpétua e totalmente quitada para uso, reprodução e</w:t>
      </w:r>
      <w:r w:rsidR="00687327" w:rsidRPr="00C50FD1">
        <w:rPr>
          <w:rFonts w:eastAsia="Calibri" w:cs="Tahoma"/>
          <w:bCs/>
          <w:color w:val="000000"/>
          <w:szCs w:val="18"/>
          <w:lang w:val="pt-BR"/>
        </w:rPr>
        <w:t> </w:t>
      </w:r>
      <w:r w:rsidRPr="00C50FD1">
        <w:rPr>
          <w:rFonts w:eastAsia="Calibri" w:cs="Tahoma"/>
          <w:bCs/>
          <w:color w:val="000000"/>
          <w:szCs w:val="18"/>
          <w:lang w:val="pt-BR"/>
        </w:rPr>
        <w:t>modificação dos Materiais somente para uso nas operações empresariais internas dos clientes e sem obrigação de</w:t>
      </w:r>
      <w:r w:rsidR="00687327" w:rsidRPr="00C50FD1">
        <w:rPr>
          <w:rFonts w:eastAsia="Calibri" w:cs="Tahoma"/>
          <w:bCs/>
          <w:color w:val="000000"/>
          <w:szCs w:val="18"/>
          <w:lang w:val="pt-BR"/>
        </w:rPr>
        <w:t> </w:t>
      </w:r>
      <w:r w:rsidRPr="00C50FD1">
        <w:rPr>
          <w:rFonts w:eastAsia="Calibri" w:cs="Tahoma"/>
          <w:bCs/>
          <w:color w:val="000000"/>
          <w:szCs w:val="18"/>
          <w:lang w:val="pt-BR"/>
        </w:rPr>
        <w:t>contabilidade ou pagamento de royalties.</w:t>
      </w:r>
      <w:r w:rsidR="005A52A2" w:rsidRPr="00C50FD1">
        <w:rPr>
          <w:rFonts w:eastAsia="Calibri" w:cs="Tahoma"/>
          <w:bCs/>
          <w:color w:val="000000"/>
          <w:szCs w:val="18"/>
          <w:lang w:val="pt-BR"/>
        </w:rPr>
        <w:t xml:space="preserve"> </w:t>
      </w:r>
      <w:r w:rsidRPr="00C50FD1">
        <w:rPr>
          <w:rFonts w:eastAsia="Calibri" w:cs="Tahoma"/>
          <w:bCs/>
          <w:color w:val="000000"/>
          <w:szCs w:val="18"/>
          <w:lang w:val="pt-BR"/>
        </w:rPr>
        <w:t>Os clientes poderão sublicenciar os direitos outorgados neste documento para suas Afiliadas.</w:t>
      </w:r>
      <w:r w:rsidR="005A52A2" w:rsidRPr="00C50FD1">
        <w:rPr>
          <w:rFonts w:eastAsia="Calibri" w:cs="Tahoma"/>
          <w:bCs/>
          <w:color w:val="000000"/>
          <w:szCs w:val="18"/>
          <w:lang w:val="pt-BR"/>
        </w:rPr>
        <w:t xml:space="preserve"> </w:t>
      </w:r>
      <w:r w:rsidRPr="00C50FD1">
        <w:rPr>
          <w:rFonts w:eastAsia="Calibri" w:cs="Tahoma"/>
          <w:bCs/>
          <w:color w:val="000000"/>
          <w:szCs w:val="18"/>
          <w:lang w:val="pt-BR"/>
        </w:rPr>
        <w:t>Todos os direitos não outorgados expressamente estão reservados.</w:t>
      </w:r>
    </w:p>
    <w:p w:rsidR="003F47CB" w:rsidRPr="00C50FD1" w:rsidRDefault="003F47CB" w:rsidP="00CA52FE">
      <w:pPr>
        <w:rPr>
          <w:rFonts w:cs="Tahoma"/>
          <w:sz w:val="16"/>
          <w:szCs w:val="16"/>
          <w:lang w:val="pt-BR"/>
        </w:rPr>
      </w:pPr>
    </w:p>
    <w:p w:rsidR="00B53C3C" w:rsidRPr="00C50FD1" w:rsidRDefault="00B53C3C" w:rsidP="00CA52FE">
      <w:pPr>
        <w:rPr>
          <w:lang w:val="pt-BR"/>
        </w:rPr>
      </w:pPr>
      <w:r w:rsidRPr="00C50FD1">
        <w:rPr>
          <w:rFonts w:eastAsia="Calibri" w:cs="Tahoma"/>
          <w:b/>
          <w:bCs/>
          <w:color w:val="000000"/>
          <w:szCs w:val="18"/>
          <w:lang w:val="pt-BR"/>
        </w:rPr>
        <w:t>Código de Amostra.</w:t>
      </w:r>
      <w:r w:rsidR="005A52A2" w:rsidRPr="00C50FD1">
        <w:rPr>
          <w:rFonts w:eastAsia="Calibri" w:cs="Tahoma"/>
          <w:b/>
          <w:bCs/>
          <w:color w:val="000000"/>
          <w:szCs w:val="18"/>
          <w:lang w:val="pt-BR"/>
        </w:rPr>
        <w:t xml:space="preserve"> </w:t>
      </w:r>
      <w:r w:rsidRPr="00C50FD1">
        <w:rPr>
          <w:rFonts w:eastAsia="Calibri" w:cs="Tahoma"/>
          <w:bCs/>
          <w:color w:val="000000"/>
          <w:szCs w:val="18"/>
          <w:lang w:val="pt-BR"/>
        </w:rPr>
        <w:t>A Microsoft concede aos clientes o direito não exclusivo, perpétuo e livre de royalties para usar e modificar códigos de software fornecidos para fins de esclarecimento (</w:t>
      </w:r>
      <w:r w:rsidR="00C133AB" w:rsidRPr="00C50FD1">
        <w:rPr>
          <w:rFonts w:eastAsia="Calibri" w:cs="Tahoma"/>
          <w:bCs/>
          <w:color w:val="000000"/>
          <w:szCs w:val="18"/>
          <w:lang w:val="pt-BR"/>
        </w:rPr>
        <w:t>“</w:t>
      </w:r>
      <w:r w:rsidRPr="00C50FD1">
        <w:rPr>
          <w:rFonts w:eastAsia="Calibri" w:cs="Tahoma"/>
          <w:bCs/>
          <w:color w:val="000000"/>
          <w:szCs w:val="18"/>
          <w:lang w:val="pt-BR"/>
        </w:rPr>
        <w:t>Código de Amostra</w:t>
      </w:r>
      <w:r w:rsidR="00C133AB" w:rsidRPr="00C50FD1">
        <w:rPr>
          <w:rFonts w:eastAsia="Calibri" w:cs="Tahoma"/>
          <w:bCs/>
          <w:color w:val="000000"/>
          <w:szCs w:val="18"/>
          <w:lang w:val="pt-BR"/>
        </w:rPr>
        <w:t>”</w:t>
      </w:r>
      <w:r w:rsidRPr="00C50FD1">
        <w:rPr>
          <w:rFonts w:eastAsia="Calibri" w:cs="Tahoma"/>
          <w:bCs/>
          <w:color w:val="000000"/>
          <w:szCs w:val="18"/>
          <w:lang w:val="pt-BR"/>
        </w:rPr>
        <w:t>) e reproduzir e</w:t>
      </w:r>
      <w:r w:rsidR="00687327" w:rsidRPr="00C50FD1">
        <w:rPr>
          <w:rFonts w:eastAsia="Calibri" w:cs="Tahoma"/>
          <w:bCs/>
          <w:color w:val="000000"/>
          <w:szCs w:val="18"/>
          <w:lang w:val="pt-BR"/>
        </w:rPr>
        <w:t> </w:t>
      </w:r>
      <w:r w:rsidRPr="00C50FD1">
        <w:rPr>
          <w:rFonts w:eastAsia="Calibri" w:cs="Tahoma"/>
          <w:bCs/>
          <w:color w:val="000000"/>
          <w:szCs w:val="18"/>
          <w:lang w:val="pt-BR"/>
        </w:rPr>
        <w:t>distribuir o formato do código-objeto do Código de Amostra desde que os clientes concordem em: (i) não usar o</w:t>
      </w:r>
      <w:r w:rsidR="00687327" w:rsidRPr="00C50FD1">
        <w:rPr>
          <w:rFonts w:eastAsia="Calibri" w:cs="Tahoma"/>
          <w:bCs/>
          <w:color w:val="000000"/>
          <w:szCs w:val="18"/>
          <w:lang w:val="pt-BR"/>
        </w:rPr>
        <w:t> </w:t>
      </w:r>
      <w:r w:rsidRPr="00C50FD1">
        <w:rPr>
          <w:rFonts w:eastAsia="Calibri" w:cs="Tahoma"/>
          <w:bCs/>
          <w:color w:val="000000"/>
          <w:szCs w:val="18"/>
          <w:lang w:val="pt-BR"/>
        </w:rPr>
        <w:t>nome, logotipo ou marcas da Microsoft para comercializar o software em que o Código de Amostra estiver incorporado; (ii) incluir uma notificação de direitos autorais válida no software em que o Código de Amostra estiver</w:t>
      </w:r>
      <w:r w:rsidR="00687327" w:rsidRPr="00C50FD1">
        <w:rPr>
          <w:rFonts w:eastAsia="Calibri" w:cs="Tahoma"/>
          <w:bCs/>
          <w:color w:val="000000"/>
          <w:szCs w:val="18"/>
          <w:lang w:val="pt-BR"/>
        </w:rPr>
        <w:t> </w:t>
      </w:r>
      <w:r w:rsidRPr="00C50FD1">
        <w:rPr>
          <w:rFonts w:eastAsia="Calibri" w:cs="Tahoma"/>
          <w:bCs/>
          <w:color w:val="000000"/>
          <w:szCs w:val="18"/>
          <w:lang w:val="pt-BR"/>
        </w:rPr>
        <w:t>incorporado e (iii) indenizar, isentar de responsabilidade e defender a Microsoft e Seus fornecedores de requerimentos judiciais ou extrajudiciais ou ações judiciais, incluindo honorários advocatícios, decorrentes de uso ou</w:t>
      </w:r>
      <w:r w:rsidR="00687327" w:rsidRPr="00C50FD1">
        <w:rPr>
          <w:rFonts w:eastAsia="Calibri" w:cs="Tahoma"/>
          <w:bCs/>
          <w:color w:val="000000"/>
          <w:szCs w:val="18"/>
          <w:lang w:val="pt-BR"/>
        </w:rPr>
        <w:t> </w:t>
      </w:r>
      <w:r w:rsidRPr="00C50FD1">
        <w:rPr>
          <w:rFonts w:eastAsia="Calibri" w:cs="Tahoma"/>
          <w:bCs/>
          <w:color w:val="000000"/>
          <w:szCs w:val="18"/>
          <w:lang w:val="pt-BR"/>
        </w:rPr>
        <w:t xml:space="preserve">distribuição do Código de Amostra. </w:t>
      </w:r>
    </w:p>
    <w:p w:rsidR="003F47CB" w:rsidRPr="00C50FD1" w:rsidRDefault="003F47CB" w:rsidP="00CA52FE">
      <w:pPr>
        <w:rPr>
          <w:rFonts w:cs="Tahoma"/>
          <w:sz w:val="16"/>
          <w:szCs w:val="16"/>
          <w:lang w:val="pt-BR"/>
        </w:rPr>
      </w:pPr>
    </w:p>
    <w:p w:rsidR="00DB2D1E" w:rsidRPr="00C50FD1" w:rsidRDefault="00DB2D1E" w:rsidP="00CA52FE">
      <w:pPr>
        <w:pStyle w:val="normal1"/>
        <w:rPr>
          <w:lang w:val="pt-BR"/>
        </w:rPr>
      </w:pPr>
      <w:r w:rsidRPr="00C50FD1">
        <w:rPr>
          <w:rFonts w:ascii="Tahoma" w:hAnsi="Tahoma" w:cs="Tahoma"/>
          <w:b/>
          <w:bCs/>
          <w:color w:val="000000"/>
          <w:sz w:val="18"/>
          <w:szCs w:val="18"/>
          <w:lang w:val="pt-BR"/>
        </w:rPr>
        <w:t>Restrições de licença de software livre</w:t>
      </w:r>
      <w:r w:rsidRPr="00C50FD1">
        <w:rPr>
          <w:rFonts w:ascii="Tahoma" w:hAnsi="Tahoma" w:cs="Tahoma"/>
          <w:b/>
          <w:color w:val="000000"/>
          <w:sz w:val="18"/>
          <w:szCs w:val="18"/>
          <w:lang w:val="pt-BR"/>
        </w:rPr>
        <w:t>.</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w:t>
      </w:r>
      <w:r w:rsidR="005723AA" w:rsidRPr="00C50FD1">
        <w:rPr>
          <w:rFonts w:ascii="Tahoma" w:hAnsi="Tahoma" w:cs="Tahoma"/>
          <w:color w:val="000000"/>
          <w:sz w:val="18"/>
          <w:szCs w:val="18"/>
          <w:lang w:val="pt-BR"/>
        </w:rPr>
        <w:t> </w:t>
      </w:r>
      <w:r w:rsidRPr="00C50FD1">
        <w:rPr>
          <w:rFonts w:ascii="Tahoma" w:hAnsi="Tahoma" w:cs="Tahoma"/>
          <w:color w:val="000000"/>
          <w:sz w:val="18"/>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Além disso, cada uma das partes garante que não fornecerá ou entregará à outra parte nenhum código de computador que seja regido pelos Termos de Licença de Software Livre.</w:t>
      </w:r>
    </w:p>
    <w:p w:rsidR="00042D1C" w:rsidRPr="00C50FD1" w:rsidRDefault="00042D1C" w:rsidP="00CA52FE">
      <w:pPr>
        <w:pStyle w:val="normal1"/>
        <w:rPr>
          <w:rFonts w:ascii="Tahoma" w:hAnsi="Tahoma" w:cs="Tahoma"/>
          <w:b/>
          <w:bCs/>
          <w:color w:val="000000"/>
          <w:sz w:val="18"/>
          <w:szCs w:val="18"/>
          <w:lang w:val="pt-BR"/>
        </w:rPr>
      </w:pPr>
    </w:p>
    <w:p w:rsidR="00DB2D1E" w:rsidRPr="00C50FD1" w:rsidRDefault="00DB2D1E" w:rsidP="00CA52FE">
      <w:pPr>
        <w:pStyle w:val="normal1"/>
        <w:rPr>
          <w:lang w:val="pt-BR"/>
        </w:rPr>
      </w:pPr>
      <w:r w:rsidRPr="00C50FD1">
        <w:rPr>
          <w:rFonts w:ascii="Tahoma" w:hAnsi="Tahoma" w:cs="Tahoma"/>
          <w:b/>
          <w:bCs/>
          <w:color w:val="000000"/>
          <w:sz w:val="18"/>
          <w:szCs w:val="18"/>
          <w:lang w:val="pt-BR"/>
        </w:rPr>
        <w:t>Direitos das Afiliadas.</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O Cliente pode sublicenciar a suas Afiliadas os direitos contidos nesta subseção relacionados</w:t>
      </w:r>
      <w:r w:rsidR="00042D1C" w:rsidRPr="00C50FD1">
        <w:rPr>
          <w:rFonts w:ascii="Tahoma" w:hAnsi="Tahoma" w:cs="Tahoma"/>
          <w:color w:val="000000"/>
          <w:sz w:val="18"/>
          <w:szCs w:val="18"/>
          <w:lang w:val="pt-BR"/>
        </w:rPr>
        <w:t> </w:t>
      </w:r>
      <w:r w:rsidRPr="00C50FD1">
        <w:rPr>
          <w:rFonts w:ascii="Tahoma" w:hAnsi="Tahoma" w:cs="Tahoma"/>
          <w:color w:val="000000"/>
          <w:sz w:val="18"/>
          <w:szCs w:val="18"/>
          <w:lang w:val="pt-BR"/>
        </w:rPr>
        <w:t xml:space="preserve">aos Serviços Entregues, mas as Afiliadas do Cliente não podem sublicenciar esses direitos </w:t>
      </w:r>
      <w:r w:rsidR="00042D1C" w:rsidRPr="00C50FD1">
        <w:rPr>
          <w:rFonts w:ascii="Tahoma" w:hAnsi="Tahoma" w:cs="Tahoma"/>
          <w:color w:val="000000"/>
          <w:sz w:val="18"/>
          <w:szCs w:val="18"/>
          <w:lang w:val="pt-BR"/>
        </w:rPr>
        <w:br/>
      </w:r>
      <w:r w:rsidRPr="00C50FD1">
        <w:rPr>
          <w:rFonts w:ascii="Tahoma" w:hAnsi="Tahoma" w:cs="Tahoma"/>
          <w:color w:val="000000"/>
          <w:sz w:val="18"/>
          <w:szCs w:val="18"/>
          <w:lang w:val="pt-BR"/>
        </w:rPr>
        <w:t>e o uso feito pelas Afiliadas do Cliente deve ser compatível com os termos de licença previstos neste contrato.</w:t>
      </w:r>
    </w:p>
    <w:p w:rsidR="001C1727" w:rsidRPr="00C50FD1" w:rsidRDefault="001C1727">
      <w:pPr>
        <w:rPr>
          <w:lang w:val="pt-BR"/>
        </w:rPr>
      </w:pPr>
    </w:p>
    <w:p w:rsidR="00DB2D1E" w:rsidRPr="00C50FD1" w:rsidRDefault="00DB2D1E" w:rsidP="00CA52FE">
      <w:pPr>
        <w:rPr>
          <w:lang w:val="pt-BR"/>
        </w:rPr>
      </w:pPr>
      <w:r w:rsidRPr="00C50FD1">
        <w:rPr>
          <w:rFonts w:cs="Tahoma"/>
          <w:b/>
          <w:bCs/>
          <w:color w:val="000000"/>
          <w:szCs w:val="18"/>
          <w:lang w:val="pt-BR"/>
        </w:rPr>
        <w:t>Reserva de direitos.</w:t>
      </w:r>
      <w:r w:rsidR="005A52A2" w:rsidRPr="00C50FD1">
        <w:rPr>
          <w:rFonts w:cs="Tahoma"/>
          <w:color w:val="000000"/>
          <w:szCs w:val="18"/>
          <w:lang w:val="pt-BR"/>
        </w:rPr>
        <w:t xml:space="preserve"> </w:t>
      </w:r>
      <w:r w:rsidRPr="00C50FD1">
        <w:rPr>
          <w:rFonts w:cs="Tahoma"/>
          <w:color w:val="000000"/>
          <w:szCs w:val="18"/>
          <w:lang w:val="pt-BR"/>
        </w:rPr>
        <w:t>Qualquer direito não concedido expressamente permanece reservado.</w:t>
      </w:r>
    </w:p>
    <w:p w:rsidR="00DB2D1E" w:rsidRPr="00C50FD1" w:rsidRDefault="00DB2D1E" w:rsidP="00CA52FE">
      <w:pPr>
        <w:rPr>
          <w:lang w:val="pt-BR"/>
        </w:rPr>
      </w:pPr>
    </w:p>
    <w:p w:rsidR="005723AA" w:rsidRPr="00C50FD1" w:rsidRDefault="005723AA" w:rsidP="00E77F1E">
      <w:pPr>
        <w:spacing w:after="60"/>
        <w:rPr>
          <w:b/>
          <w:szCs w:val="18"/>
          <w:lang w:val="pt-BR"/>
        </w:rPr>
      </w:pPr>
    </w:p>
    <w:p w:rsidR="00170677" w:rsidRPr="00C50FD1" w:rsidRDefault="00170677" w:rsidP="00E77F1E">
      <w:pPr>
        <w:spacing w:after="60"/>
        <w:rPr>
          <w:b/>
          <w:szCs w:val="18"/>
          <w:lang w:val="pt-BR"/>
        </w:rPr>
      </w:pPr>
    </w:p>
    <w:p w:rsidR="005723AA" w:rsidRPr="00C50FD1" w:rsidRDefault="005723AA" w:rsidP="00E77F1E">
      <w:pPr>
        <w:spacing w:after="60"/>
        <w:rPr>
          <w:b/>
          <w:szCs w:val="18"/>
          <w:lang w:val="pt-BR"/>
        </w:rPr>
      </w:pPr>
    </w:p>
    <w:p w:rsidR="00DD7F8E" w:rsidRPr="00C50FD1" w:rsidRDefault="00DD7F8E" w:rsidP="00E77F1E">
      <w:pPr>
        <w:spacing w:after="60"/>
        <w:rPr>
          <w:lang w:val="pt-BR"/>
        </w:rPr>
      </w:pPr>
      <w:r w:rsidRPr="00C50FD1">
        <w:rPr>
          <w:b/>
          <w:szCs w:val="18"/>
          <w:lang w:val="pt-BR"/>
        </w:rPr>
        <w:lastRenderedPageBreak/>
        <w:t>Garantias, Isenções e Limitações de Responsabilidade</w:t>
      </w:r>
    </w:p>
    <w:p w:rsidR="00DD7F8E" w:rsidRPr="00C50FD1" w:rsidRDefault="00DD7F8E" w:rsidP="00CA52FE">
      <w:pPr>
        <w:ind w:left="360"/>
        <w:rPr>
          <w:lang w:val="pt-BR"/>
        </w:rPr>
      </w:pPr>
      <w:r w:rsidRPr="00C50FD1">
        <w:rPr>
          <w:rFonts w:cs="Tahoma"/>
          <w:b/>
          <w:color w:val="000000"/>
          <w:szCs w:val="18"/>
          <w:lang w:val="pt-BR"/>
        </w:rPr>
        <w:t>Garantia dos Serviços.</w:t>
      </w:r>
      <w:r w:rsidR="005A52A2" w:rsidRPr="00C50FD1">
        <w:rPr>
          <w:rFonts w:cs="Tahoma"/>
          <w:color w:val="000000"/>
          <w:szCs w:val="18"/>
          <w:lang w:val="pt-BR"/>
        </w:rPr>
        <w:t xml:space="preserve"> </w:t>
      </w:r>
      <w:r w:rsidRPr="00C50FD1">
        <w:rPr>
          <w:rFonts w:cs="Tahoma"/>
          <w:color w:val="000000"/>
          <w:szCs w:val="18"/>
          <w:lang w:val="pt-BR"/>
        </w:rPr>
        <w:t>A Microsoft garante que todos os Serviços serão realizados com cuidado e qualificação</w:t>
      </w:r>
      <w:r w:rsidR="000F6C57" w:rsidRPr="00C50FD1">
        <w:rPr>
          <w:rFonts w:cs="Tahoma"/>
          <w:color w:val="000000"/>
          <w:szCs w:val="18"/>
          <w:lang w:val="pt-BR"/>
        </w:rPr>
        <w:t> </w:t>
      </w:r>
      <w:r w:rsidRPr="00C50FD1">
        <w:rPr>
          <w:rFonts w:cs="Tahoma"/>
          <w:color w:val="000000"/>
          <w:szCs w:val="18"/>
          <w:lang w:val="pt-BR"/>
        </w:rPr>
        <w:t>profissionais.</w:t>
      </w:r>
    </w:p>
    <w:p w:rsidR="00DD7F8E" w:rsidRPr="00C50FD1" w:rsidRDefault="00DD7F8E" w:rsidP="00CA52FE">
      <w:pPr>
        <w:ind w:left="360"/>
        <w:rPr>
          <w:lang w:val="pt-BR"/>
        </w:rPr>
      </w:pPr>
    </w:p>
    <w:p w:rsidR="00DD7F8E" w:rsidRPr="00C50FD1" w:rsidRDefault="00DD7F8E" w:rsidP="00CA52FE">
      <w:pPr>
        <w:ind w:left="360"/>
        <w:rPr>
          <w:lang w:val="pt-BR"/>
        </w:rPr>
      </w:pPr>
      <w:r w:rsidRPr="00C50FD1">
        <w:rPr>
          <w:b/>
          <w:szCs w:val="18"/>
          <w:lang w:val="pt-BR"/>
        </w:rPr>
        <w:t>AUSÊNCIA DE OUTRAS GARANTIAS.</w:t>
      </w:r>
      <w:r w:rsidR="005A52A2" w:rsidRPr="00C50FD1">
        <w:rPr>
          <w:szCs w:val="18"/>
          <w:lang w:val="pt-BR"/>
        </w:rPr>
        <w:t xml:space="preserve"> </w:t>
      </w:r>
      <w:r w:rsidRPr="00C50FD1">
        <w:rPr>
          <w:szCs w:val="18"/>
          <w:lang w:val="pt-BR"/>
        </w:rPr>
        <w:t>NO LIMITE PERMITIDO PELA LEI APLICÁVEL, A MICROSOFT EXCLUI E</w:t>
      </w:r>
      <w:r w:rsidR="000F6C57" w:rsidRPr="00C50FD1">
        <w:rPr>
          <w:szCs w:val="18"/>
          <w:lang w:val="pt-BR"/>
        </w:rPr>
        <w:t> </w:t>
      </w:r>
      <w:r w:rsidRPr="00C50FD1">
        <w:rPr>
          <w:szCs w:val="18"/>
          <w:lang w:val="pt-BR"/>
        </w:rPr>
        <w:t>ISENTA-SE DE TODAS AS DECLARAÇÕES, GARANTIAS E CONDIÇÕES, EXPRESSAS, IMPLÍCITAS OU CONTIDAS EM LEI, QUE NÃO SEJAM AQUELAS IDENTIFICADAS DE MANEIRA EXPRESSA NESTE CONTRATO.</w:t>
      </w:r>
      <w:r w:rsidR="005A52A2" w:rsidRPr="00C50FD1">
        <w:rPr>
          <w:szCs w:val="18"/>
          <w:lang w:val="pt-BR"/>
        </w:rPr>
        <w:t xml:space="preserve"> </w:t>
      </w:r>
      <w:r w:rsidRPr="00C50FD1">
        <w:rPr>
          <w:szCs w:val="18"/>
          <w:lang w:val="pt-BR"/>
        </w:rPr>
        <w:t>A ISENÇÃO DE</w:t>
      </w:r>
      <w:r w:rsidR="000F6C57" w:rsidRPr="00C50FD1">
        <w:rPr>
          <w:szCs w:val="18"/>
          <w:lang w:val="pt-BR"/>
        </w:rPr>
        <w:t> </w:t>
      </w:r>
      <w:r w:rsidRPr="00C50FD1">
        <w:rPr>
          <w:szCs w:val="18"/>
          <w:lang w:val="pt-BR"/>
        </w:rPr>
        <w:t>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5A52A2" w:rsidRPr="00C50FD1">
        <w:rPr>
          <w:szCs w:val="18"/>
          <w:lang w:val="pt-BR"/>
        </w:rPr>
        <w:t xml:space="preserve"> </w:t>
      </w:r>
    </w:p>
    <w:p w:rsidR="00DD7F8E" w:rsidRPr="00C50FD1" w:rsidRDefault="00DD7F8E" w:rsidP="00CA52FE">
      <w:pPr>
        <w:ind w:left="360"/>
        <w:rPr>
          <w:lang w:val="pt-BR"/>
        </w:rPr>
      </w:pPr>
    </w:p>
    <w:p w:rsidR="00DD7F8E" w:rsidRPr="00C50FD1" w:rsidRDefault="00DD7F8E" w:rsidP="00CA52FE">
      <w:pPr>
        <w:ind w:left="360"/>
        <w:rPr>
          <w:lang w:val="pt-BR"/>
        </w:rPr>
      </w:pPr>
      <w:r w:rsidRPr="00C50FD1">
        <w:rPr>
          <w:b/>
          <w:szCs w:val="18"/>
          <w:lang w:val="pt-BR"/>
        </w:rPr>
        <w:t>Limitação de Responsabilidade.</w:t>
      </w:r>
      <w:r w:rsidR="005A52A2" w:rsidRPr="00C50FD1">
        <w:rPr>
          <w:szCs w:val="18"/>
          <w:lang w:val="pt-BR"/>
        </w:rPr>
        <w:t xml:space="preserve"> </w:t>
      </w:r>
      <w:r w:rsidRPr="00C50FD1">
        <w:rPr>
          <w:szCs w:val="18"/>
          <w:lang w:val="pt-BR"/>
        </w:rPr>
        <w:t>A responsabilidade da Microsoft por danos diretos será limitada até a máxima extensão permitida pela lei aplicável aos valores pagos pelo Cliente pelos Serviços que originaram o</w:t>
      </w:r>
      <w:r w:rsidR="005723AA" w:rsidRPr="00C50FD1">
        <w:rPr>
          <w:szCs w:val="18"/>
          <w:lang w:val="pt-BR"/>
        </w:rPr>
        <w:t> </w:t>
      </w:r>
      <w:r w:rsidRPr="00C50FD1">
        <w:rPr>
          <w:szCs w:val="18"/>
          <w:lang w:val="pt-BR"/>
        </w:rPr>
        <w:t>requerimento judicial ou extrajudicial de violação nos 12 meses que precedem o referido requerimento.</w:t>
      </w:r>
      <w:r w:rsidR="005A52A2" w:rsidRPr="00C50FD1">
        <w:rPr>
          <w:szCs w:val="18"/>
          <w:lang w:val="pt-BR"/>
        </w:rPr>
        <w:t xml:space="preserve"> </w:t>
      </w:r>
    </w:p>
    <w:p w:rsidR="00DD7F8E" w:rsidRPr="00C50FD1" w:rsidRDefault="00DD7F8E" w:rsidP="00CA52FE">
      <w:pPr>
        <w:ind w:left="360"/>
        <w:rPr>
          <w:lang w:val="pt-BR"/>
        </w:rPr>
      </w:pPr>
    </w:p>
    <w:p w:rsidR="00DD7F8E" w:rsidRPr="00C50FD1" w:rsidRDefault="00DD7F8E" w:rsidP="00CA52FE">
      <w:pPr>
        <w:ind w:left="360"/>
        <w:rPr>
          <w:lang w:val="pt-BR"/>
        </w:rPr>
      </w:pPr>
      <w:r w:rsidRPr="00C50FD1">
        <w:rPr>
          <w:b/>
          <w:szCs w:val="18"/>
          <w:lang w:val="pt-BR"/>
        </w:rPr>
        <w:t>NENHUMA RESPONSABILIDADE POR DANOS DETERMINADOS.</w:t>
      </w:r>
      <w:r w:rsidR="005A52A2" w:rsidRPr="00C50FD1">
        <w:rPr>
          <w:szCs w:val="18"/>
          <w:lang w:val="pt-BR"/>
        </w:rPr>
        <w:t xml:space="preserve"> </w:t>
      </w:r>
      <w:r w:rsidRPr="00C50FD1">
        <w:rPr>
          <w:szCs w:val="18"/>
          <w:lang w:val="pt-BR"/>
        </w:rPr>
        <w:t>NA EXTENSÃO MÁXIMA PERMITIDA PELA</w:t>
      </w:r>
      <w:r w:rsidR="000F6C57" w:rsidRPr="00C50FD1">
        <w:rPr>
          <w:szCs w:val="18"/>
          <w:lang w:val="pt-BR"/>
        </w:rPr>
        <w:t> </w:t>
      </w:r>
      <w:r w:rsidRPr="00C50FD1">
        <w:rPr>
          <w:szCs w:val="18"/>
          <w:lang w:val="pt-BR"/>
        </w:rPr>
        <w:t>LEI APLICÁVEL, NENHUMA DAS PARTES, SUAS AFILIADAS, FORNECEDORAS OU CONTRATANTES RESPONDERÃO POR DANOS INDIRETOS (INCLUINDO, SEM LIMITAÇÃO, DANOS CONSEQUENCIAIS, ESPECIAIS</w:t>
      </w:r>
      <w:r w:rsidR="000F6C57" w:rsidRPr="00C50FD1">
        <w:rPr>
          <w:szCs w:val="18"/>
          <w:lang w:val="pt-BR"/>
        </w:rPr>
        <w:t> </w:t>
      </w:r>
      <w:r w:rsidRPr="00C50FD1">
        <w:rPr>
          <w:szCs w:val="18"/>
          <w:lang w:val="pt-BR"/>
        </w:rPr>
        <w:t>OU INCIDENTAIS, DANOS POR PERDA DE LUCRO OU RECEITA, INTERRUPÇÃO DOS NEGÓCIOS OU</w:t>
      </w:r>
      <w:r w:rsidR="000F6C57" w:rsidRPr="00C50FD1">
        <w:rPr>
          <w:szCs w:val="18"/>
          <w:lang w:val="pt-BR"/>
        </w:rPr>
        <w:t> </w:t>
      </w:r>
      <w:r w:rsidRPr="00C50FD1">
        <w:rPr>
          <w:szCs w:val="18"/>
          <w:lang w:val="pt-BR"/>
        </w:rPr>
        <w:t>PERDA DE INFORMAÇÕES DO NEGÓCIO), QUE VENHAM A SURGIR EM DECORRÊNCIA DESTE CONTRATO, AINDA QUE AVISADAS DA POSSIBILIDADE DE OCORRÊNCIA DOS REFERIDOS DANOS OU DE QUE ESSA POSSIBILIDADE POSSA SER RAZOAVELMENTE PREVISTA.</w:t>
      </w:r>
      <w:r w:rsidR="005A52A2" w:rsidRPr="00C50FD1">
        <w:rPr>
          <w:szCs w:val="18"/>
          <w:lang w:val="pt-BR"/>
        </w:rPr>
        <w:t xml:space="preserve"> </w:t>
      </w:r>
      <w:r w:rsidRPr="00C50FD1">
        <w:rPr>
          <w:szCs w:val="18"/>
          <w:lang w:val="pt-BR"/>
        </w:rPr>
        <w:t>ESSA EXCLUSÃO DE RESPONSABILIDADE NÃO SE</w:t>
      </w:r>
      <w:r w:rsidR="000F6C57" w:rsidRPr="00C50FD1">
        <w:rPr>
          <w:szCs w:val="18"/>
          <w:lang w:val="pt-BR"/>
        </w:rPr>
        <w:t> </w:t>
      </w:r>
      <w:r w:rsidRPr="00C50FD1">
        <w:rPr>
          <w:szCs w:val="18"/>
          <w:lang w:val="pt-BR"/>
        </w:rPr>
        <w:t>APLICA À RESPONSABILIDADE DE QUAISQUER DAS PARTES EM RELAÇÃO À OUTRA PELA VIOLAÇÃO DE</w:t>
      </w:r>
      <w:r w:rsidR="000F6C57" w:rsidRPr="00C50FD1">
        <w:rPr>
          <w:szCs w:val="18"/>
          <w:lang w:val="pt-BR"/>
        </w:rPr>
        <w:t> </w:t>
      </w:r>
      <w:r w:rsidRPr="00C50FD1">
        <w:rPr>
          <w:szCs w:val="18"/>
          <w:lang w:val="pt-BR"/>
        </w:rPr>
        <w:t>SUA OBRIGAÇÃO DE CONFIDENCIALIDADE OU PELA VIOLAÇÃO DE DIREITOS DE PROPRIEDADE INTELECTUAL DA OUTRA PARTE.</w:t>
      </w:r>
    </w:p>
    <w:p w:rsidR="00DD7F8E" w:rsidRPr="00C50FD1" w:rsidRDefault="00DD7F8E" w:rsidP="00CA52FE">
      <w:pPr>
        <w:ind w:left="360" w:hanging="360"/>
        <w:jc w:val="both"/>
        <w:rPr>
          <w:lang w:val="pt-BR"/>
        </w:rPr>
      </w:pPr>
    </w:p>
    <w:p w:rsidR="00DD7F8E" w:rsidRPr="00C50FD1" w:rsidRDefault="00DD7F8E" w:rsidP="00CA52FE">
      <w:pPr>
        <w:ind w:left="360"/>
        <w:rPr>
          <w:lang w:val="pt-BR"/>
        </w:rPr>
      </w:pPr>
      <w:r w:rsidRPr="00C50FD1">
        <w:rPr>
          <w:b/>
          <w:szCs w:val="18"/>
          <w:lang w:val="pt-BR"/>
        </w:rPr>
        <w:t>Aplicação.</w:t>
      </w:r>
      <w:r w:rsidR="005A52A2" w:rsidRPr="00C50FD1">
        <w:rPr>
          <w:szCs w:val="18"/>
          <w:lang w:val="pt-BR"/>
        </w:rPr>
        <w:t xml:space="preserve"> </w:t>
      </w:r>
      <w:r w:rsidRPr="00C50FD1">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023FE7" w:rsidRPr="00C50FD1" w:rsidRDefault="00023FE7">
      <w:pPr>
        <w:tabs>
          <w:tab w:val="left" w:pos="2936"/>
        </w:tabs>
        <w:rPr>
          <w:lang w:val="pt-BR"/>
        </w:rPr>
      </w:pPr>
    </w:p>
    <w:p w:rsidR="00023FE7" w:rsidRPr="00C50FD1" w:rsidRDefault="00023FE7">
      <w:pPr>
        <w:rPr>
          <w:lang w:val="pt-BR"/>
        </w:rPr>
      </w:pPr>
      <w:r w:rsidRPr="00C50FD1">
        <w:rPr>
          <w:lang w:val="pt-BR"/>
        </w:rPr>
        <w:br w:type="page"/>
      </w:r>
    </w:p>
    <w:p w:rsidR="008A1637" w:rsidRPr="00653421" w:rsidRDefault="008A1637" w:rsidP="0095190D">
      <w:pPr>
        <w:pStyle w:val="Heading1"/>
        <w:rPr>
          <w:sz w:val="36"/>
          <w:szCs w:val="36"/>
          <w:lang w:val="x-none" w:eastAsia="x-none"/>
        </w:rPr>
      </w:pPr>
      <w:bookmarkStart w:id="980" w:name="_Toc336338249"/>
      <w:bookmarkStart w:id="981" w:name="_Toc353470897"/>
      <w:r w:rsidRPr="00653421">
        <w:rPr>
          <w:sz w:val="36"/>
          <w:szCs w:val="36"/>
          <w:lang w:val="x-none" w:eastAsia="x-none"/>
        </w:rPr>
        <w:lastRenderedPageBreak/>
        <w:t>SEÇÃO 9 – termos adicionais</w:t>
      </w:r>
      <w:bookmarkEnd w:id="980"/>
      <w:bookmarkEnd w:id="981"/>
    </w:p>
    <w:p w:rsidR="008A1637" w:rsidRPr="00C50FD1" w:rsidRDefault="008A1637" w:rsidP="0095190D">
      <w:pPr>
        <w:pStyle w:val="Heading1"/>
        <w:rPr>
          <w:lang w:val="pt-BR"/>
        </w:rPr>
      </w:pPr>
      <w:r w:rsidRPr="00C50FD1">
        <w:rPr>
          <w:lang w:val="pt-BR"/>
        </w:rPr>
        <w:t xml:space="preserve"> </w:t>
      </w:r>
    </w:p>
    <w:p w:rsidR="008A1637" w:rsidRPr="00C50FD1" w:rsidRDefault="008A1637" w:rsidP="00274F1F">
      <w:pPr>
        <w:pStyle w:val="Heading3"/>
        <w:ind w:right="720" w:firstLine="10"/>
        <w:rPr>
          <w:lang w:val="pt-BR"/>
        </w:rPr>
      </w:pPr>
      <w:bookmarkStart w:id="982" w:name="_Toc323159781"/>
      <w:bookmarkStart w:id="983" w:name="_Toc336338250"/>
      <w:bookmarkStart w:id="984" w:name="_Toc353470898"/>
      <w:r w:rsidRPr="00C50FD1">
        <w:rPr>
          <w:rFonts w:ascii="Tahoma" w:eastAsia="Times New Roman" w:hAnsi="Tahoma" w:cs="Tahoma"/>
          <w:color w:val="000000"/>
          <w:sz w:val="24"/>
          <w:szCs w:val="22"/>
          <w:lang w:val="pt-BR"/>
        </w:rPr>
        <w:t>Licenças de Acesso para Cliente (CALs) e Licenças de Gerenciamento (MLs) de Cliente</w:t>
      </w:r>
      <w:bookmarkEnd w:id="982"/>
      <w:bookmarkEnd w:id="983"/>
      <w:bookmarkEnd w:id="984"/>
    </w:p>
    <w:p w:rsidR="008A1637" w:rsidRPr="00C50FD1" w:rsidRDefault="008A1637" w:rsidP="008A1637">
      <w:pPr>
        <w:pStyle w:val="AppendixFlushBulletedList"/>
        <w:tabs>
          <w:tab w:val="clear" w:pos="360"/>
        </w:tabs>
        <w:ind w:left="720" w:right="720" w:firstLine="0"/>
        <w:rPr>
          <w:lang w:val="pt-BR"/>
        </w:rPr>
      </w:pPr>
    </w:p>
    <w:p w:rsidR="008A1637" w:rsidRPr="00C50FD1" w:rsidRDefault="008A1637" w:rsidP="002C1048">
      <w:pPr>
        <w:pStyle w:val="AppendixFlushBulletedList"/>
        <w:numPr>
          <w:ilvl w:val="0"/>
          <w:numId w:val="97"/>
        </w:numPr>
        <w:ind w:left="1440" w:right="720"/>
        <w:rPr>
          <w:lang w:val="pt-BR"/>
        </w:rPr>
      </w:pPr>
      <w:r w:rsidRPr="00C50FD1">
        <w:rPr>
          <w:rFonts w:ascii="Tahoma" w:hAnsi="Tahoma" w:cs="Tahoma"/>
          <w:b/>
          <w:bCs/>
          <w:color w:val="000000"/>
          <w:sz w:val="18"/>
          <w:szCs w:val="18"/>
          <w:lang w:val="pt-BR"/>
        </w:rPr>
        <w:t>Transição entre CALs do Usuário e do Dispositivo</w:t>
      </w:r>
    </w:p>
    <w:p w:rsidR="008A1637" w:rsidRPr="00653421" w:rsidRDefault="008A1637" w:rsidP="00EF36CE">
      <w:pPr>
        <w:pStyle w:val="AppendixBodyText"/>
        <w:numPr>
          <w:ilvl w:val="0"/>
          <w:numId w:val="98"/>
        </w:numPr>
        <w:spacing w:afterLines="60" w:after="144"/>
        <w:ind w:left="1800" w:right="720"/>
      </w:pPr>
      <w:r w:rsidRPr="00C50FD1">
        <w:rPr>
          <w:rFonts w:ascii="Tahoma" w:hAnsi="Tahoma" w:cs="Tahoma"/>
          <w:color w:val="000000"/>
          <w:sz w:val="18"/>
          <w:szCs w:val="18"/>
          <w:lang w:val="pt-BR"/>
        </w:rPr>
        <w:t>Os clientes com Software Assurance atual para CALs podem alternar entre Usuário e</w:t>
      </w:r>
      <w:r w:rsidR="007B0512" w:rsidRPr="00C50FD1">
        <w:rPr>
          <w:rFonts w:ascii="Tahoma" w:hAnsi="Tahoma" w:cs="Tahoma"/>
          <w:color w:val="000000"/>
          <w:sz w:val="18"/>
          <w:szCs w:val="18"/>
          <w:lang w:val="pt-BR"/>
        </w:rPr>
        <w:t> </w:t>
      </w:r>
      <w:r w:rsidRPr="00C50FD1">
        <w:rPr>
          <w:rFonts w:ascii="Tahoma" w:hAnsi="Tahoma" w:cs="Tahoma"/>
          <w:color w:val="000000"/>
          <w:sz w:val="18"/>
          <w:szCs w:val="18"/>
          <w:lang w:val="pt-BR"/>
        </w:rPr>
        <w:t>Dispositivo na renovação da cobertura do Software Assurance.</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 xml:space="preserve">Essa transição não muda a edição da CAL (ou seja, de Standard para Empresarial). </w:t>
      </w:r>
      <w:r w:rsidRPr="00653421">
        <w:rPr>
          <w:rFonts w:ascii="Tahoma" w:hAnsi="Tahoma" w:cs="Tahoma"/>
          <w:color w:val="000000"/>
          <w:sz w:val="18"/>
          <w:szCs w:val="18"/>
        </w:rPr>
        <w:t>Consulte as Notas do</w:t>
      </w:r>
      <w:r w:rsidR="007B0512" w:rsidRPr="00653421">
        <w:rPr>
          <w:rFonts w:ascii="Tahoma" w:hAnsi="Tahoma" w:cs="Tahoma"/>
          <w:color w:val="000000"/>
          <w:sz w:val="18"/>
          <w:szCs w:val="18"/>
        </w:rPr>
        <w:t> </w:t>
      </w:r>
      <w:r w:rsidRPr="00653421">
        <w:rPr>
          <w:rFonts w:ascii="Tahoma" w:hAnsi="Tahoma" w:cs="Tahoma"/>
          <w:color w:val="000000"/>
          <w:sz w:val="18"/>
          <w:szCs w:val="18"/>
        </w:rPr>
        <w:t xml:space="preserve">Produto referentes aos produtos individuais </w:t>
      </w:r>
    </w:p>
    <w:p w:rsidR="008A1637" w:rsidRPr="00C50FD1" w:rsidRDefault="008A1637" w:rsidP="002C1048">
      <w:pPr>
        <w:pStyle w:val="AppendixFlushBulletedList"/>
        <w:numPr>
          <w:ilvl w:val="0"/>
          <w:numId w:val="97"/>
        </w:numPr>
        <w:ind w:left="1440" w:right="720"/>
        <w:rPr>
          <w:lang w:val="pt-BR"/>
        </w:rPr>
      </w:pPr>
      <w:r w:rsidRPr="00C50FD1">
        <w:rPr>
          <w:rFonts w:ascii="Tahoma" w:hAnsi="Tahoma" w:cs="Tahoma"/>
          <w:b/>
          <w:bCs/>
          <w:color w:val="000000"/>
          <w:sz w:val="18"/>
          <w:szCs w:val="18"/>
          <w:lang w:val="pt-BR"/>
        </w:rPr>
        <w:t>Transição entre MLs de cliente para Usuário e OSE</w:t>
      </w:r>
    </w:p>
    <w:p w:rsidR="008A1637" w:rsidRPr="00C50FD1" w:rsidRDefault="008A1637" w:rsidP="00EF36CE">
      <w:pPr>
        <w:pStyle w:val="AppendixBodyText"/>
        <w:numPr>
          <w:ilvl w:val="0"/>
          <w:numId w:val="98"/>
        </w:numPr>
        <w:spacing w:afterLines="60" w:after="144"/>
        <w:ind w:left="1800" w:right="720"/>
        <w:rPr>
          <w:lang w:val="pt-BR"/>
        </w:rPr>
      </w:pPr>
      <w:r w:rsidRPr="00C50FD1">
        <w:rPr>
          <w:rFonts w:ascii="Tahoma" w:hAnsi="Tahoma" w:cs="Tahoma"/>
          <w:color w:val="000000"/>
          <w:sz w:val="18"/>
          <w:szCs w:val="18"/>
          <w:lang w:val="pt-BR"/>
        </w:rPr>
        <w:t xml:space="preserve">Os clientes com Software Assurance atual para MLs de cliente podem alternar entre Usuário e OSE na renovação da cobertura do Software Assurance. Consulte as Notas do Produto referentes aos produtos individuais para obter detalhes. </w:t>
      </w:r>
    </w:p>
    <w:p w:rsidR="008A1637" w:rsidRPr="00653421" w:rsidRDefault="008A1637" w:rsidP="002C1048">
      <w:pPr>
        <w:pStyle w:val="AppendixFlushBulletedList"/>
        <w:numPr>
          <w:ilvl w:val="0"/>
          <w:numId w:val="97"/>
        </w:numPr>
        <w:ind w:left="1440" w:right="720"/>
      </w:pPr>
      <w:r w:rsidRPr="00653421">
        <w:rPr>
          <w:rFonts w:ascii="Tahoma" w:hAnsi="Tahoma" w:cs="Tahoma"/>
          <w:b/>
          <w:bCs/>
          <w:color w:val="000000"/>
          <w:sz w:val="18"/>
          <w:szCs w:val="18"/>
        </w:rPr>
        <w:t>Na renovação</w:t>
      </w:r>
    </w:p>
    <w:p w:rsidR="008A1637" w:rsidRPr="00C50FD1" w:rsidRDefault="008A1637" w:rsidP="00EF36CE">
      <w:pPr>
        <w:pStyle w:val="AppendixBodyText"/>
        <w:numPr>
          <w:ilvl w:val="0"/>
          <w:numId w:val="98"/>
        </w:numPr>
        <w:spacing w:afterLines="60" w:after="144"/>
        <w:ind w:left="1800" w:right="720"/>
        <w:rPr>
          <w:lang w:val="pt-BR"/>
        </w:rPr>
      </w:pPr>
      <w:r w:rsidRPr="00C50FD1">
        <w:rPr>
          <w:rFonts w:ascii="Tahoma" w:hAnsi="Tahoma" w:cs="Tahoma"/>
          <w:color w:val="000000"/>
          <w:sz w:val="18"/>
          <w:szCs w:val="18"/>
          <w:lang w:val="pt-BR"/>
        </w:rPr>
        <w:t>Caso estejam disponíveis CALs do Usuário e do Dispositivo, os clientes poderão renovar o Software Assurance para qualquer um dos dois tipos. Os direitos de uso de</w:t>
      </w:r>
      <w:r w:rsidR="007B0512" w:rsidRPr="00C50FD1">
        <w:rPr>
          <w:rFonts w:ascii="Tahoma" w:hAnsi="Tahoma" w:cs="Tahoma"/>
          <w:color w:val="000000"/>
          <w:sz w:val="18"/>
          <w:szCs w:val="18"/>
          <w:lang w:val="pt-BR"/>
        </w:rPr>
        <w:t> </w:t>
      </w:r>
      <w:r w:rsidRPr="00C50FD1">
        <w:rPr>
          <w:rFonts w:ascii="Tahoma" w:hAnsi="Tahoma" w:cs="Tahoma"/>
          <w:color w:val="000000"/>
          <w:sz w:val="18"/>
          <w:szCs w:val="18"/>
          <w:lang w:val="pt-BR"/>
        </w:rPr>
        <w:t>produto referentes ao tipo de CAL para a qual o Software Assurance é solicitado determinam como as CALs poderão ser alocadas e usadas.</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Os clientes de Registro Enterprise que optarem por solicitar o Software Assurance para CALs do Usuário podem adquirir CALs com base na contagem de usuários.</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 xml:space="preserve">Consulte as notas referentes aos produtos individuais para obter detalhes. </w:t>
      </w:r>
    </w:p>
    <w:p w:rsidR="008A1637" w:rsidRPr="00653421" w:rsidRDefault="008A1637" w:rsidP="002C1048">
      <w:pPr>
        <w:pStyle w:val="AppendixFlushBulletedList"/>
        <w:numPr>
          <w:ilvl w:val="0"/>
          <w:numId w:val="97"/>
        </w:numPr>
        <w:ind w:left="1440" w:right="720"/>
      </w:pPr>
      <w:r w:rsidRPr="00653421">
        <w:rPr>
          <w:rFonts w:ascii="Tahoma" w:hAnsi="Tahoma" w:cs="Tahoma"/>
          <w:b/>
          <w:bCs/>
          <w:color w:val="000000"/>
          <w:sz w:val="18"/>
          <w:szCs w:val="18"/>
        </w:rPr>
        <w:t>CALs excedentes</w:t>
      </w:r>
    </w:p>
    <w:p w:rsidR="008A1637" w:rsidRPr="00C50FD1" w:rsidRDefault="008A1637" w:rsidP="00EF36CE">
      <w:pPr>
        <w:pStyle w:val="AppendixBodyText"/>
        <w:numPr>
          <w:ilvl w:val="0"/>
          <w:numId w:val="98"/>
        </w:numPr>
        <w:spacing w:afterLines="60" w:after="144"/>
        <w:ind w:left="1800" w:right="720"/>
        <w:rPr>
          <w:lang w:val="pt-BR"/>
        </w:rPr>
      </w:pPr>
      <w:r w:rsidRPr="00C50FD1">
        <w:rPr>
          <w:rFonts w:ascii="Tahoma" w:hAnsi="Tahoma" w:cs="Tahoma"/>
          <w:color w:val="000000"/>
          <w:sz w:val="18"/>
          <w:szCs w:val="18"/>
          <w:lang w:val="pt-BR"/>
        </w:rPr>
        <w:t xml:space="preserve">A transição entre CALs do Usuário e do Dispositivo, conforme permitido acima, poderia resultar em um excesso de CALs. Os clientes poderão realocar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 </w:t>
      </w:r>
    </w:p>
    <w:p w:rsidR="008A1637" w:rsidRPr="00653421" w:rsidRDefault="008A1637" w:rsidP="002C1048">
      <w:pPr>
        <w:pStyle w:val="AppendixFlushBulletedList"/>
        <w:numPr>
          <w:ilvl w:val="0"/>
          <w:numId w:val="97"/>
        </w:numPr>
        <w:ind w:left="1440" w:right="720"/>
      </w:pPr>
      <w:r w:rsidRPr="00653421">
        <w:rPr>
          <w:rFonts w:ascii="Tahoma" w:hAnsi="Tahoma" w:cs="Tahoma"/>
          <w:b/>
          <w:bCs/>
          <w:color w:val="000000"/>
          <w:sz w:val="18"/>
          <w:szCs w:val="18"/>
        </w:rPr>
        <w:t>MLs excedentes</w:t>
      </w:r>
    </w:p>
    <w:p w:rsidR="008A1637" w:rsidRPr="00C50FD1" w:rsidRDefault="008A1637" w:rsidP="00EF36CE">
      <w:pPr>
        <w:pStyle w:val="AppendixBodyText"/>
        <w:numPr>
          <w:ilvl w:val="0"/>
          <w:numId w:val="98"/>
        </w:numPr>
        <w:spacing w:afterLines="60" w:after="144"/>
        <w:ind w:left="1800" w:right="720"/>
        <w:rPr>
          <w:lang w:val="pt-BR"/>
        </w:rPr>
      </w:pPr>
      <w:r w:rsidRPr="00C50FD1">
        <w:rPr>
          <w:rFonts w:ascii="Tahoma" w:hAnsi="Tahoma" w:cs="Tahoma"/>
          <w:color w:val="000000"/>
          <w:sz w:val="18"/>
          <w:szCs w:val="18"/>
          <w:lang w:val="pt-BR"/>
        </w:rPr>
        <w:t>A transição entre MLs de cliente para Usuário e OSE, conforme permitido acima, poderia resultar em um excesso de MLs. Os clientes poderão realocar as MLs excedentes à medida que o número de usuários ou OSEs gerenciados aumentar. Na</w:t>
      </w:r>
      <w:r w:rsidR="007B0512" w:rsidRPr="00C50FD1">
        <w:rPr>
          <w:rFonts w:ascii="Tahoma" w:hAnsi="Tahoma" w:cs="Tahoma"/>
          <w:color w:val="000000"/>
          <w:sz w:val="18"/>
          <w:szCs w:val="18"/>
          <w:lang w:val="pt-BR"/>
        </w:rPr>
        <w:t> </w:t>
      </w:r>
      <w:r w:rsidRPr="00C50FD1">
        <w:rPr>
          <w:rFonts w:ascii="Tahoma" w:hAnsi="Tahoma" w:cs="Tahoma"/>
          <w:color w:val="000000"/>
          <w:sz w:val="18"/>
          <w:szCs w:val="18"/>
          <w:lang w:val="pt-BR"/>
        </w:rPr>
        <w:t xml:space="preserve">época da renovação, os clientes poderão optar por manter o Software Assurance nas MLs excedentes. Os clientes não poderão renovar posteriormente o Software Assurance de qualquer ML excedente cuja cobertura tiver expirado. </w:t>
      </w:r>
    </w:p>
    <w:p w:rsidR="008A1637" w:rsidRPr="00653421" w:rsidRDefault="008A1637" w:rsidP="002C1048">
      <w:pPr>
        <w:pStyle w:val="AppendixFlushBulletedList"/>
        <w:numPr>
          <w:ilvl w:val="0"/>
          <w:numId w:val="97"/>
        </w:numPr>
        <w:ind w:left="1440" w:right="720"/>
      </w:pPr>
      <w:r w:rsidRPr="00653421">
        <w:rPr>
          <w:rFonts w:ascii="Tahoma" w:hAnsi="Tahoma" w:cs="Tahoma"/>
          <w:b/>
          <w:bCs/>
          <w:color w:val="000000"/>
          <w:sz w:val="18"/>
          <w:szCs w:val="18"/>
        </w:rPr>
        <w:t>Comprovante de Licenças</w:t>
      </w:r>
    </w:p>
    <w:p w:rsidR="007022C1" w:rsidRPr="00C50FD1" w:rsidRDefault="008A1637" w:rsidP="00944EE1">
      <w:pPr>
        <w:pStyle w:val="AppendixBodyText"/>
        <w:numPr>
          <w:ilvl w:val="0"/>
          <w:numId w:val="98"/>
        </w:numPr>
        <w:spacing w:after="0"/>
        <w:ind w:left="1800" w:right="720"/>
        <w:rPr>
          <w:lang w:val="pt-BR"/>
        </w:rPr>
      </w:pPr>
      <w:r w:rsidRPr="00C50FD1">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 O</w:t>
      </w:r>
      <w:r w:rsidR="007B0512" w:rsidRPr="00C50FD1">
        <w:rPr>
          <w:rFonts w:ascii="Tahoma" w:hAnsi="Tahoma" w:cs="Tahoma"/>
          <w:color w:val="000000"/>
          <w:sz w:val="18"/>
          <w:szCs w:val="18"/>
          <w:lang w:val="pt-BR"/>
        </w:rPr>
        <w:t> </w:t>
      </w:r>
      <w:r w:rsidRPr="00C50FD1">
        <w:rPr>
          <w:rFonts w:ascii="Tahoma" w:hAnsi="Tahoma" w:cs="Tahoma"/>
          <w:color w:val="000000"/>
          <w:sz w:val="18"/>
          <w:szCs w:val="18"/>
          <w:lang w:val="pt-BR"/>
        </w:rPr>
        <w:t>direito de migrar para e utilizar MLs do Usuário é comprovado por esta Lista de Produtos, pelos registros do Software Assurance e pelas MLs básicas dos clientes.</w:t>
      </w:r>
    </w:p>
    <w:p w:rsidR="007022C1" w:rsidRPr="00C50FD1" w:rsidRDefault="007022C1" w:rsidP="00944EE1">
      <w:pPr>
        <w:pStyle w:val="AppendixBodyText"/>
        <w:spacing w:after="0"/>
        <w:ind w:right="720"/>
        <w:rPr>
          <w:lang w:val="pt-BR"/>
        </w:rPr>
      </w:pPr>
    </w:p>
    <w:p w:rsidR="008A1637" w:rsidRPr="00C50FD1" w:rsidRDefault="008A1637" w:rsidP="008A1637">
      <w:pPr>
        <w:pStyle w:val="Heading3"/>
        <w:ind w:right="720"/>
        <w:rPr>
          <w:lang w:val="pt-BR"/>
        </w:rPr>
      </w:pPr>
      <w:bookmarkStart w:id="985" w:name="_Toc323159782"/>
      <w:bookmarkStart w:id="986" w:name="_Toc336338251"/>
      <w:bookmarkStart w:id="987" w:name="_Toc353470899"/>
      <w:r w:rsidRPr="00C50FD1">
        <w:rPr>
          <w:rFonts w:ascii="Tahoma" w:hAnsi="Tahoma" w:cs="Tahoma"/>
          <w:sz w:val="24"/>
          <w:szCs w:val="22"/>
          <w:lang w:val="pt-BR"/>
        </w:rPr>
        <w:t>Restrições dos Controles de EI</w:t>
      </w:r>
      <w:bookmarkEnd w:id="985"/>
      <w:bookmarkEnd w:id="986"/>
      <w:bookmarkEnd w:id="987"/>
    </w:p>
    <w:p w:rsidR="008A1637" w:rsidRPr="00C50FD1" w:rsidRDefault="008A1637" w:rsidP="008A1637">
      <w:pPr>
        <w:ind w:right="720"/>
        <w:rPr>
          <w:lang w:val="pt-BR"/>
        </w:rPr>
      </w:pPr>
    </w:p>
    <w:p w:rsidR="008A1637" w:rsidRPr="00C50FD1" w:rsidRDefault="008A1637" w:rsidP="008A1637">
      <w:pPr>
        <w:pStyle w:val="AppendixBodyText"/>
        <w:ind w:right="720"/>
        <w:rPr>
          <w:lang w:val="pt-BR"/>
        </w:rPr>
      </w:pPr>
      <w:r w:rsidRPr="00C50FD1">
        <w:rPr>
          <w:rFonts w:ascii="Tahoma" w:hAnsi="Tahoma" w:cs="Tahoma"/>
          <w:sz w:val="18"/>
          <w:lang w:val="pt-BR"/>
        </w:rPr>
        <w:t xml:space="preserve">A exportação de determinados produtos da Microsoft para fora dos Estados Unidos é regulamentada pelos “Controles de EI” das Export Administration Regulations (Normas de Administração de Exportações) (EAR, 15 CFR 730-744) emitidas pelo BXA (Bureau de Administração de Exportações) do Departamento de Comércio dos EUA. Para obter mais informações, visite: </w:t>
      </w:r>
      <w:hyperlink r:id="rId34" w:history="1">
        <w:r w:rsidRPr="00C50FD1">
          <w:rPr>
            <w:rStyle w:val="Hyperlink"/>
            <w:rFonts w:ascii="Tahoma" w:hAnsi="Tahoma" w:cs="Tahoma"/>
            <w:sz w:val="18"/>
            <w:lang w:val="pt-BR"/>
          </w:rPr>
          <w:t>www.microsoft.com/products/exporting/basics.htm</w:t>
        </w:r>
      </w:hyperlink>
    </w:p>
    <w:p w:rsidR="008A1637" w:rsidRPr="00C50FD1" w:rsidRDefault="008A1637" w:rsidP="008A1637">
      <w:pPr>
        <w:rPr>
          <w:lang w:val="pt-BR"/>
        </w:rPr>
      </w:pPr>
    </w:p>
    <w:p w:rsidR="007B0512" w:rsidRPr="00C50FD1" w:rsidRDefault="007B0512" w:rsidP="008A1637">
      <w:pPr>
        <w:rPr>
          <w:lang w:val="pt-BR"/>
        </w:rPr>
      </w:pPr>
    </w:p>
    <w:p w:rsidR="00042D1C" w:rsidRPr="00C50FD1" w:rsidRDefault="00042D1C" w:rsidP="008A1637">
      <w:pPr>
        <w:rPr>
          <w:lang w:val="pt-BR"/>
        </w:rPr>
      </w:pPr>
    </w:p>
    <w:p w:rsidR="008A1637" w:rsidRPr="00C50FD1" w:rsidRDefault="008A1637" w:rsidP="00944EE1">
      <w:pPr>
        <w:pStyle w:val="Heading3"/>
        <w:spacing w:after="60"/>
        <w:ind w:right="720"/>
        <w:rPr>
          <w:lang w:val="pt-BR"/>
        </w:rPr>
      </w:pPr>
      <w:bookmarkStart w:id="988" w:name="_Toc323159783"/>
      <w:bookmarkStart w:id="989" w:name="_Toc336338252"/>
      <w:bookmarkStart w:id="990" w:name="_Toc353470900"/>
      <w:r w:rsidRPr="00C50FD1">
        <w:rPr>
          <w:rFonts w:ascii="Tahoma" w:hAnsi="Tahoma" w:cs="Tahoma"/>
          <w:bCs/>
          <w:lang w:val="pt-BR"/>
        </w:rPr>
        <w:lastRenderedPageBreak/>
        <w:t>Pacotes Multilíngues (MLPs), funcionalidade de MUIs (Multilanguage User Interface) e direitos a novos idiomas</w:t>
      </w:r>
      <w:bookmarkEnd w:id="988"/>
      <w:bookmarkEnd w:id="989"/>
      <w:bookmarkEnd w:id="990"/>
    </w:p>
    <w:p w:rsidR="008A1637" w:rsidRPr="00C50FD1" w:rsidRDefault="008A1637" w:rsidP="008A1637">
      <w:pPr>
        <w:rPr>
          <w:lang w:val="pt-BR"/>
        </w:rPr>
      </w:pPr>
      <w:r w:rsidRPr="00C50FD1">
        <w:rPr>
          <w:lang w:val="pt-BR"/>
        </w:rPr>
        <w:t>Os MLPs e MUIs permitem que os clientes executem e alternem entre diferentes versões de idioma dos produtos licenciados.</w:t>
      </w:r>
      <w:r w:rsidR="005A52A2" w:rsidRPr="00C50FD1">
        <w:rPr>
          <w:lang w:val="pt-BR"/>
        </w:rPr>
        <w:t xml:space="preserve"> </w:t>
      </w:r>
      <w:r w:rsidRPr="00C50FD1">
        <w:rPr>
          <w:lang w:val="pt-BR"/>
        </w:rPr>
        <w:t>O direito de usar MLPs e MUIs varia de acordo com o produto, o programa e o tipo de licença.</w:t>
      </w:r>
      <w:r w:rsidR="005A52A2" w:rsidRPr="00C50FD1">
        <w:rPr>
          <w:lang w:val="pt-BR"/>
        </w:rPr>
        <w:t xml:space="preserve"> </w:t>
      </w:r>
    </w:p>
    <w:p w:rsidR="008A1637" w:rsidRPr="00C50FD1" w:rsidRDefault="008A1637" w:rsidP="008A1637">
      <w:pPr>
        <w:pStyle w:val="Heading3"/>
        <w:ind w:right="720"/>
        <w:rPr>
          <w:lang w:val="pt-BR"/>
        </w:rPr>
      </w:pPr>
    </w:p>
    <w:p w:rsidR="008A1637" w:rsidRPr="00C50FD1" w:rsidRDefault="008A1637" w:rsidP="007022C1">
      <w:pPr>
        <w:numPr>
          <w:ilvl w:val="0"/>
          <w:numId w:val="17"/>
        </w:numPr>
        <w:tabs>
          <w:tab w:val="left" w:pos="1440"/>
        </w:tabs>
        <w:spacing w:after="60"/>
        <w:rPr>
          <w:lang w:val="pt-BR"/>
        </w:rPr>
      </w:pPr>
      <w:r w:rsidRPr="00C50FD1">
        <w:rPr>
          <w:lang w:val="pt-BR"/>
        </w:rPr>
        <w:t>No caso da maioria dos produtos de servidor (por exemplo, Windows Server), o MUI está incluído no produto básico. O clientes que licenciarem esses produtos poderão usar o MUI sujeitos aos direitos de uso desses produtos.</w:t>
      </w:r>
      <w:r w:rsidR="005A52A2" w:rsidRPr="00C50FD1">
        <w:rPr>
          <w:lang w:val="pt-BR"/>
        </w:rPr>
        <w:t xml:space="preserve"> </w:t>
      </w:r>
    </w:p>
    <w:p w:rsidR="008A1637" w:rsidRPr="00C50FD1" w:rsidRDefault="008A1637" w:rsidP="007022C1">
      <w:pPr>
        <w:numPr>
          <w:ilvl w:val="0"/>
          <w:numId w:val="17"/>
        </w:numPr>
        <w:tabs>
          <w:tab w:val="left" w:pos="1440"/>
        </w:tabs>
        <w:spacing w:after="60"/>
        <w:rPr>
          <w:lang w:val="pt-BR"/>
        </w:rPr>
      </w:pPr>
      <w:r w:rsidRPr="00C50FD1">
        <w:rPr>
          <w:rFonts w:cs="Tahoma"/>
          <w:szCs w:val="18"/>
          <w:lang w:val="pt-BR"/>
        </w:rPr>
        <w:t>N</w:t>
      </w:r>
      <w:r w:rsidRPr="00C50FD1">
        <w:rPr>
          <w:lang w:val="pt-BR"/>
        </w:rPr>
        <w:t>o caso de produtos (exceto servidores) e pacotes do Office System, a partir de 1° de outubro de</w:t>
      </w:r>
      <w:r w:rsidR="007B0512" w:rsidRPr="00C50FD1">
        <w:rPr>
          <w:lang w:val="pt-BR"/>
        </w:rPr>
        <w:t> </w:t>
      </w:r>
      <w:r w:rsidRPr="00C50FD1">
        <w:rPr>
          <w:lang w:val="pt-BR"/>
        </w:rPr>
        <w:t xml:space="preserve">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separadamente fora do Software Assurance. </w:t>
      </w:r>
    </w:p>
    <w:p w:rsidR="008A1637" w:rsidRPr="00C50FD1" w:rsidRDefault="008A1637" w:rsidP="007022C1">
      <w:pPr>
        <w:numPr>
          <w:ilvl w:val="0"/>
          <w:numId w:val="17"/>
        </w:numPr>
        <w:spacing w:after="60"/>
        <w:rPr>
          <w:lang w:val="pt-BR"/>
        </w:rPr>
      </w:pPr>
      <w:r w:rsidRPr="00C50FD1">
        <w:rPr>
          <w:lang w:val="pt-BR"/>
        </w:rPr>
        <w:t>No caso do Windows 8, o MUI está incluído no Windows 8 Pro.</w:t>
      </w:r>
      <w:r w:rsidR="005A52A2" w:rsidRPr="00C50FD1">
        <w:rPr>
          <w:lang w:val="pt-BR"/>
        </w:rPr>
        <w:t xml:space="preserve"> </w:t>
      </w:r>
    </w:p>
    <w:p w:rsidR="008A1637" w:rsidRPr="00C50FD1" w:rsidRDefault="008A1637" w:rsidP="008A1637">
      <w:pPr>
        <w:rPr>
          <w:lang w:val="pt-BR"/>
        </w:rPr>
      </w:pPr>
    </w:p>
    <w:p w:rsidR="008A1637" w:rsidRPr="00C50FD1" w:rsidRDefault="008A1637" w:rsidP="008A1637">
      <w:pPr>
        <w:rPr>
          <w:lang w:val="pt-BR"/>
        </w:rPr>
      </w:pPr>
      <w:r w:rsidRPr="00C50FD1">
        <w:rPr>
          <w:lang w:val="pt-BR"/>
        </w:rPr>
        <w:t>As versões de idioma com as quais os clientes têm permissão de usar MUIs and MLPs também variam por programa, produto e região.</w:t>
      </w:r>
      <w:r w:rsidR="005A52A2" w:rsidRPr="00C50FD1">
        <w:rPr>
          <w:lang w:val="pt-BR"/>
        </w:rPr>
        <w:t xml:space="preserve"> </w:t>
      </w:r>
    </w:p>
    <w:p w:rsidR="008A1637" w:rsidRPr="00C50FD1" w:rsidRDefault="008A1637" w:rsidP="008A1637">
      <w:pPr>
        <w:pStyle w:val="Heading3"/>
        <w:ind w:right="720"/>
        <w:rPr>
          <w:lang w:val="pt-BR"/>
        </w:rPr>
      </w:pPr>
    </w:p>
    <w:p w:rsidR="008A1637" w:rsidRPr="00C50FD1" w:rsidRDefault="008A1637" w:rsidP="00024C3C">
      <w:pPr>
        <w:numPr>
          <w:ilvl w:val="0"/>
          <w:numId w:val="18"/>
        </w:numPr>
        <w:tabs>
          <w:tab w:val="clear" w:pos="1080"/>
          <w:tab w:val="num" w:pos="1440"/>
        </w:tabs>
        <w:ind w:left="1440"/>
        <w:rPr>
          <w:lang w:val="pt-BR"/>
        </w:rPr>
      </w:pPr>
      <w:r w:rsidRPr="00C50FD1">
        <w:rPr>
          <w:lang w:val="pt-BR"/>
        </w:rPr>
        <w:t>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w:t>
      </w:r>
      <w:r w:rsidRPr="00C50FD1">
        <w:rPr>
          <w:b/>
          <w:lang w:val="pt-BR"/>
        </w:rPr>
        <w:t xml:space="preserve"> </w:t>
      </w:r>
      <w:r w:rsidRPr="00C50FD1">
        <w:rPr>
          <w:b/>
          <w:u w:val="single"/>
          <w:lang w:val="pt-BR"/>
        </w:rPr>
        <w:t>em todas as versões de idioma</w:t>
      </w:r>
      <w:r w:rsidRPr="00C50FD1">
        <w:rPr>
          <w:b/>
          <w:lang w:val="pt-BR"/>
        </w:rPr>
        <w:t xml:space="preserve"> </w:t>
      </w:r>
      <w:r w:rsidRPr="00C50FD1">
        <w:rPr>
          <w:lang w:val="pt-BR"/>
        </w:rPr>
        <w:t xml:space="preserve">não obstante quaisquer limitações nesses contratos quanto ao uso de determinados idiomas. </w:t>
      </w:r>
    </w:p>
    <w:p w:rsidR="008A1637" w:rsidRPr="00C50FD1" w:rsidRDefault="008A1637" w:rsidP="008A1637">
      <w:pPr>
        <w:pStyle w:val="Heading3"/>
        <w:ind w:right="720"/>
        <w:rPr>
          <w:lang w:val="pt-BR"/>
        </w:rPr>
      </w:pPr>
    </w:p>
    <w:p w:rsidR="008A1637" w:rsidRPr="00C50FD1" w:rsidRDefault="008A1637" w:rsidP="008A1637">
      <w:pPr>
        <w:rPr>
          <w:lang w:val="pt-BR"/>
        </w:rPr>
      </w:pPr>
      <w:r w:rsidRPr="00C50FD1">
        <w:rPr>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5A52A2" w:rsidRPr="00C50FD1">
        <w:rPr>
          <w:lang w:val="pt-BR"/>
        </w:rPr>
        <w:t xml:space="preserve"> </w:t>
      </w:r>
      <w:r w:rsidRPr="00C50FD1">
        <w:rPr>
          <w:lang w:val="pt-BR"/>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5A52A2" w:rsidRPr="00C50FD1">
        <w:rPr>
          <w:lang w:val="pt-BR"/>
        </w:rPr>
        <w:t xml:space="preserve"> </w:t>
      </w:r>
      <w:r w:rsidRPr="00C50FD1">
        <w:rPr>
          <w:lang w:val="pt-BR"/>
        </w:rPr>
        <w:t>Os clientes devem examinar o Contrato de</w:t>
      </w:r>
      <w:r w:rsidR="007B0512" w:rsidRPr="00C50FD1">
        <w:rPr>
          <w:lang w:val="pt-BR"/>
        </w:rPr>
        <w:t> </w:t>
      </w:r>
      <w:r w:rsidRPr="00C50FD1">
        <w:rPr>
          <w:lang w:val="pt-BR"/>
        </w:rPr>
        <w:t xml:space="preserve">Licença ou consultar o Revendedor ou o Gerente de Conta Microsoft para obter mais informações sobre o direito de usar outros idiomas. </w:t>
      </w:r>
    </w:p>
    <w:p w:rsidR="007022C1" w:rsidRPr="00C50FD1" w:rsidRDefault="007022C1" w:rsidP="008A1637">
      <w:pPr>
        <w:rPr>
          <w:lang w:val="pt-BR"/>
        </w:rPr>
      </w:pPr>
    </w:p>
    <w:p w:rsidR="008A1637" w:rsidRPr="00C50FD1" w:rsidRDefault="008A1637" w:rsidP="007022C1">
      <w:pPr>
        <w:pStyle w:val="Heading2"/>
        <w:ind w:left="0"/>
        <w:rPr>
          <w:lang w:val="pt-BR"/>
        </w:rPr>
      </w:pPr>
      <w:bookmarkStart w:id="991" w:name="_Toc323159784"/>
      <w:bookmarkStart w:id="992" w:name="_Toc336338253"/>
      <w:bookmarkStart w:id="993" w:name="_Toc353470901"/>
      <w:r w:rsidRPr="00C50FD1">
        <w:rPr>
          <w:rFonts w:ascii="Tahoma" w:hAnsi="Tahoma" w:cs="Tahoma"/>
          <w:lang w:val="pt-BR"/>
        </w:rPr>
        <w:t>Licenças independentes da plataforma</w:t>
      </w:r>
      <w:bookmarkEnd w:id="991"/>
      <w:bookmarkEnd w:id="992"/>
      <w:bookmarkEnd w:id="993"/>
    </w:p>
    <w:p w:rsidR="008A1637" w:rsidRPr="00C50FD1" w:rsidRDefault="008A1637" w:rsidP="007022C1">
      <w:pPr>
        <w:tabs>
          <w:tab w:val="num" w:pos="0"/>
        </w:tabs>
        <w:ind w:right="720"/>
        <w:rPr>
          <w:lang w:val="pt-BR"/>
        </w:rPr>
      </w:pPr>
    </w:p>
    <w:p w:rsidR="008A1637" w:rsidRPr="00C50FD1" w:rsidRDefault="008A1637" w:rsidP="007022C1">
      <w:pPr>
        <w:pStyle w:val="AppendixBodyText"/>
        <w:spacing w:after="0"/>
        <w:ind w:right="720"/>
        <w:rPr>
          <w:lang w:val="pt-BR"/>
        </w:rPr>
      </w:pPr>
      <w:r w:rsidRPr="00C50FD1">
        <w:rPr>
          <w:rFonts w:ascii="Tahoma" w:hAnsi="Tahoma" w:cs="Tahoma"/>
          <w:color w:val="000000"/>
          <w:sz w:val="18"/>
          <w:szCs w:val="18"/>
          <w:lang w:val="pt-BR"/>
        </w:rPr>
        <w:t>Microsoft Office Standard, Office Professional Plus, Word, Excel, PowerPoint, Outlook, Lync, Office para Mac, Word para Mac, Excel para Mac, PowerPoint para Mac, Lync para Mac e Outlook para Mac são licenças “independentes da plataforma”.</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5A52A2" w:rsidRPr="00C50FD1">
        <w:rPr>
          <w:rFonts w:ascii="Tahoma" w:hAnsi="Tahoma" w:cs="Tahoma"/>
          <w:color w:val="000000"/>
          <w:sz w:val="18"/>
          <w:szCs w:val="18"/>
          <w:lang w:val="pt-BR"/>
        </w:rPr>
        <w:t xml:space="preserve"> </w:t>
      </w:r>
      <w:r w:rsidRPr="00C50FD1">
        <w:rPr>
          <w:rFonts w:ascii="Tahoma" w:hAnsi="Tahoma" w:cs="Tahoma"/>
          <w:color w:val="000000"/>
          <w:sz w:val="18"/>
          <w:szCs w:val="18"/>
          <w:lang w:val="pt-BR"/>
        </w:rPr>
        <w:t>Por exemplo, um cliente licenciado para o Office para Mac Standard 2011 pode optar pelo uso dessa licença para executar o Office Standard 2010 para Windows.</w:t>
      </w:r>
    </w:p>
    <w:p w:rsidR="008A1637" w:rsidRPr="00C50FD1" w:rsidRDefault="008A1637" w:rsidP="007022C1">
      <w:pPr>
        <w:pStyle w:val="AppendixBodyText"/>
        <w:spacing w:after="0"/>
        <w:rPr>
          <w:lang w:val="pt-BR"/>
        </w:rPr>
      </w:pPr>
    </w:p>
    <w:p w:rsidR="008A1637" w:rsidRPr="00C50FD1" w:rsidRDefault="008A1637" w:rsidP="007022C1">
      <w:pPr>
        <w:pStyle w:val="AppendixBodyText"/>
        <w:spacing w:after="0"/>
        <w:ind w:right="720"/>
        <w:rPr>
          <w:lang w:val="pt-BR"/>
        </w:rPr>
      </w:pPr>
      <w:r w:rsidRPr="00C50FD1">
        <w:rPr>
          <w:rFonts w:ascii="Tahoma" w:hAnsi="Tahoma" w:cs="Tahoma"/>
          <w:color w:val="000000"/>
          <w:sz w:val="18"/>
          <w:szCs w:val="18"/>
          <w:lang w:val="pt-BR"/>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w:t>
      </w:r>
      <w:r w:rsidR="007B0512" w:rsidRPr="00C50FD1">
        <w:rPr>
          <w:rFonts w:ascii="Tahoma" w:hAnsi="Tahoma" w:cs="Tahoma"/>
          <w:color w:val="000000"/>
          <w:sz w:val="18"/>
          <w:szCs w:val="18"/>
          <w:lang w:val="pt-BR"/>
        </w:rPr>
        <w:t> </w:t>
      </w:r>
      <w:r w:rsidRPr="00C50FD1">
        <w:rPr>
          <w:rFonts w:ascii="Tahoma" w:hAnsi="Tahoma" w:cs="Tahoma"/>
          <w:color w:val="000000"/>
          <w:sz w:val="18"/>
          <w:szCs w:val="18"/>
          <w:lang w:val="pt-BR"/>
        </w:rPr>
        <w:t>não terá o direito de executar o Lync, mas terá o direito de executar o OneNote.</w:t>
      </w:r>
    </w:p>
    <w:p w:rsidR="008A1637" w:rsidRPr="00C50FD1" w:rsidRDefault="008A1637" w:rsidP="007022C1">
      <w:pPr>
        <w:pStyle w:val="AppendixBodyText"/>
        <w:spacing w:after="0"/>
        <w:ind w:right="720"/>
        <w:rPr>
          <w:lang w:val="pt-BR"/>
        </w:rPr>
      </w:pPr>
      <w:r w:rsidRPr="00C50FD1">
        <w:rPr>
          <w:rFonts w:ascii="Tahoma" w:hAnsi="Tahoma" w:cs="Tahoma"/>
          <w:color w:val="000000"/>
          <w:sz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rsidR="008A1637" w:rsidRPr="00C50FD1" w:rsidRDefault="008A1637" w:rsidP="007022C1">
      <w:pPr>
        <w:tabs>
          <w:tab w:val="left" w:pos="360"/>
        </w:tabs>
        <w:ind w:right="720"/>
        <w:rPr>
          <w:lang w:val="pt-BR"/>
        </w:rPr>
      </w:pPr>
    </w:p>
    <w:p w:rsidR="008A1637" w:rsidRPr="00C50FD1" w:rsidRDefault="008A1637" w:rsidP="007022C1">
      <w:pPr>
        <w:pStyle w:val="AppendixBodyText"/>
        <w:spacing w:after="0"/>
        <w:ind w:right="720"/>
        <w:rPr>
          <w:lang w:val="pt-BR"/>
        </w:rPr>
      </w:pPr>
      <w:r w:rsidRPr="00C50FD1">
        <w:rPr>
          <w:rFonts w:ascii="Tahoma" w:hAnsi="Tahoma" w:cs="Tahoma"/>
          <w:sz w:val="18"/>
          <w:lang w:val="pt-BR"/>
        </w:rPr>
        <w:lastRenderedPageBreak/>
        <w:t>O Microsoft SQL Server é uma licença “independente da plataforma”. Uma licença independente da plataforma permite que um produto específico seja usado em qualquer plataforma de computador em que o</w:t>
      </w:r>
      <w:r w:rsidR="007B0512" w:rsidRPr="00C50FD1">
        <w:rPr>
          <w:rFonts w:ascii="Tahoma" w:hAnsi="Tahoma" w:cs="Tahoma"/>
          <w:sz w:val="18"/>
          <w:lang w:val="pt-BR"/>
        </w:rPr>
        <w:t> </w:t>
      </w:r>
      <w:r w:rsidRPr="00C50FD1">
        <w:rPr>
          <w:rFonts w:ascii="Tahoma" w:hAnsi="Tahoma" w:cs="Tahoma"/>
          <w:sz w:val="18"/>
          <w:lang w:val="pt-BR"/>
        </w:rPr>
        <w:t>software seja executado, desde que a versão seja igual ou anterior à versão original que foi licenciada.</w:t>
      </w:r>
    </w:p>
    <w:p w:rsidR="008A1637" w:rsidRPr="00C50FD1" w:rsidRDefault="008A1637" w:rsidP="007022C1">
      <w:pPr>
        <w:pStyle w:val="AppendixBodyText"/>
        <w:spacing w:after="0"/>
        <w:ind w:right="720"/>
        <w:rPr>
          <w:lang w:val="pt-BR"/>
        </w:rPr>
      </w:pPr>
    </w:p>
    <w:p w:rsidR="008A1637" w:rsidRPr="00C50FD1" w:rsidRDefault="008A1637" w:rsidP="007022C1">
      <w:pPr>
        <w:pStyle w:val="AppendixBodyText"/>
        <w:spacing w:after="0"/>
        <w:ind w:right="720"/>
        <w:rPr>
          <w:lang w:val="pt-BR"/>
        </w:rPr>
      </w:pPr>
      <w:r w:rsidRPr="00C50FD1">
        <w:rPr>
          <w:rFonts w:ascii="Tahoma" w:hAnsi="Tahoma" w:cs="Tahoma"/>
          <w:sz w:val="18"/>
          <w:lang w:val="pt-BR"/>
        </w:rPr>
        <w:t>Além disso, um cliente que registrar uma licença independente da plataforma no Software Assurance está qualificado para usar a versão mais atual desse produto particular que esteja disponível durante o prazo da</w:t>
      </w:r>
      <w:r w:rsidR="007B0512" w:rsidRPr="00C50FD1">
        <w:rPr>
          <w:rFonts w:ascii="Tahoma" w:hAnsi="Tahoma" w:cs="Tahoma"/>
          <w:sz w:val="18"/>
          <w:lang w:val="pt-BR"/>
        </w:rPr>
        <w:t> </w:t>
      </w:r>
      <w:r w:rsidRPr="00C50FD1">
        <w:rPr>
          <w:rFonts w:ascii="Tahoma" w:hAnsi="Tahoma" w:cs="Tahoma"/>
          <w:sz w:val="18"/>
          <w:lang w:val="pt-BR"/>
        </w:rPr>
        <w:t>cobertura de Software Assurance, seja qual for a plataforma (desde que somente uma versão seja instalada/usada de cada vez).</w:t>
      </w:r>
    </w:p>
    <w:p w:rsidR="00973A93" w:rsidRPr="00C50FD1" w:rsidRDefault="00973A93">
      <w:pPr>
        <w:rPr>
          <w:lang w:val="pt-BR"/>
        </w:rPr>
      </w:pPr>
      <w:bookmarkStart w:id="994" w:name="_Toc336338254"/>
    </w:p>
    <w:p w:rsidR="008A1637" w:rsidRPr="00C50FD1" w:rsidRDefault="008A1637" w:rsidP="008A1637">
      <w:pPr>
        <w:pStyle w:val="Heading2"/>
        <w:ind w:left="0"/>
        <w:rPr>
          <w:lang w:val="pt-BR"/>
        </w:rPr>
      </w:pPr>
      <w:bookmarkStart w:id="995" w:name="_Toc353470902"/>
      <w:r w:rsidRPr="00C50FD1">
        <w:rPr>
          <w:rFonts w:ascii="Tahoma" w:hAnsi="Tahoma" w:cs="Tahoma"/>
          <w:lang w:val="pt-BR"/>
        </w:rPr>
        <w:t>Chaves de Produto em Licenças por Volume</w:t>
      </w:r>
      <w:bookmarkEnd w:id="994"/>
      <w:bookmarkEnd w:id="995"/>
    </w:p>
    <w:p w:rsidR="008A1637" w:rsidRPr="00C50FD1" w:rsidRDefault="008A1637" w:rsidP="008A1637">
      <w:pPr>
        <w:spacing w:after="60"/>
        <w:ind w:right="720"/>
        <w:rPr>
          <w:lang w:val="pt-BR"/>
        </w:rPr>
      </w:pPr>
    </w:p>
    <w:p w:rsidR="008A1637" w:rsidRPr="00C50FD1" w:rsidRDefault="008A1637" w:rsidP="007B0512">
      <w:pPr>
        <w:ind w:right="360"/>
        <w:rPr>
          <w:lang w:val="pt-BR"/>
        </w:rPr>
      </w:pPr>
      <w:r w:rsidRPr="00C50FD1">
        <w:rPr>
          <w:rFonts w:cs="Tahoma"/>
          <w:color w:val="000000"/>
          <w:szCs w:val="18"/>
          <w:lang w:val="pt-BR"/>
        </w:rPr>
        <w:t>As chaves de produto (Product Keys) habilitam as organizações a utilizarem o software e os produtos que licenciaram.</w:t>
      </w:r>
      <w:r w:rsidR="005A52A2" w:rsidRPr="00C50FD1">
        <w:rPr>
          <w:rFonts w:cs="Tahoma"/>
          <w:color w:val="000000"/>
          <w:szCs w:val="18"/>
          <w:lang w:val="pt-BR"/>
        </w:rPr>
        <w:t xml:space="preserve"> </w:t>
      </w:r>
      <w:r w:rsidRPr="00C50FD1">
        <w:rPr>
          <w:rFonts w:cs="Tahoma"/>
          <w:color w:val="000000"/>
          <w:szCs w:val="18"/>
          <w:lang w:val="pt-BR"/>
        </w:rPr>
        <w:t>Todas as chaves de produto são emitidas para um cliente de acordo com um contrato de licença específico.</w:t>
      </w:r>
      <w:r w:rsidR="005A52A2" w:rsidRPr="00C50FD1">
        <w:rPr>
          <w:rFonts w:cs="Tahoma"/>
          <w:color w:val="000000"/>
          <w:szCs w:val="18"/>
          <w:lang w:val="pt-BR"/>
        </w:rPr>
        <w:t xml:space="preserve"> </w:t>
      </w:r>
      <w:r w:rsidRPr="00C50FD1">
        <w:rPr>
          <w:rFonts w:cs="Tahoma"/>
          <w:color w:val="000000"/>
          <w:szCs w:val="18"/>
          <w:lang w:val="pt-BR"/>
        </w:rPr>
        <w:t xml:space="preserve">Para obter as chaves de produto, visite os sites </w:t>
      </w:r>
      <w:hyperlink r:id="rId35" w:history="1">
        <w:r w:rsidRPr="00C50FD1">
          <w:rPr>
            <w:rStyle w:val="Hyperlink"/>
            <w:szCs w:val="18"/>
            <w:lang w:val="pt-BR"/>
          </w:rPr>
          <w:t>Microsoft Volume Licensing Service Center (VLSC)</w:t>
        </w:r>
      </w:hyperlink>
      <w:r w:rsidRPr="00C50FD1">
        <w:rPr>
          <w:rFonts w:cs="Tahoma"/>
          <w:color w:val="000000"/>
          <w:szCs w:val="18"/>
          <w:lang w:val="pt-BR"/>
        </w:rPr>
        <w:t xml:space="preserve">. Você também pode ligar para o </w:t>
      </w:r>
      <w:hyperlink r:id="rId36" w:history="1">
        <w:r w:rsidRPr="00C50FD1">
          <w:rPr>
            <w:rStyle w:val="Hyperlink"/>
            <w:color w:val="0070C0"/>
            <w:szCs w:val="18"/>
            <w:lang w:val="pt-BR"/>
          </w:rPr>
          <w:t>Centro de Ativação de Licenciamento por Volume da Microsoft</w:t>
        </w:r>
      </w:hyperlink>
      <w:r w:rsidRPr="00C50FD1">
        <w:rPr>
          <w:rFonts w:cs="Tahoma"/>
          <w:color w:val="0070C0"/>
          <w:szCs w:val="18"/>
          <w:lang w:val="pt-BR"/>
        </w:rPr>
        <w:t>.</w:t>
      </w:r>
      <w:r w:rsidRPr="00C50FD1">
        <w:rPr>
          <w:rFonts w:cs="Tahoma"/>
          <w:color w:val="000000"/>
          <w:szCs w:val="18"/>
          <w:lang w:val="pt-BR"/>
        </w:rPr>
        <w:t xml:space="preserve"> </w:t>
      </w:r>
    </w:p>
    <w:p w:rsidR="008A1637" w:rsidRPr="00C50FD1" w:rsidRDefault="008A1637" w:rsidP="007022C1">
      <w:pPr>
        <w:ind w:right="720"/>
        <w:rPr>
          <w:lang w:val="pt-BR"/>
        </w:rPr>
      </w:pPr>
    </w:p>
    <w:p w:rsidR="008A1637" w:rsidRPr="00C50FD1" w:rsidRDefault="008A1637" w:rsidP="007B0512">
      <w:pPr>
        <w:ind w:right="90"/>
        <w:rPr>
          <w:lang w:val="pt-BR"/>
        </w:rPr>
      </w:pPr>
      <w:r w:rsidRPr="00C50FD1">
        <w:rPr>
          <w:rFonts w:cs="Tahoma"/>
          <w:color w:val="000000"/>
          <w:szCs w:val="18"/>
          <w:lang w:val="pt-BR"/>
        </w:rPr>
        <w:t xml:space="preserve">Para ver uma lista de produtos do Licenciamento por Volume que requerem chaves de produto e obter informações adicionais, consulte: </w:t>
      </w:r>
      <w:hyperlink r:id="rId37" w:history="1">
        <w:r w:rsidRPr="00C50FD1">
          <w:rPr>
            <w:rStyle w:val="Hyperlink"/>
            <w:szCs w:val="18"/>
            <w:lang w:val="pt-BR"/>
          </w:rPr>
          <w:t>http://www.microsoft.com/licensing/resources/vol/volumelicensekey/default.mspx</w:t>
        </w:r>
      </w:hyperlink>
      <w:r w:rsidRPr="00C50FD1">
        <w:rPr>
          <w:rFonts w:cs="Tahoma"/>
          <w:szCs w:val="18"/>
          <w:lang w:val="pt-BR"/>
        </w:rPr>
        <w:t>.</w:t>
      </w:r>
      <w:r w:rsidRPr="00C50FD1">
        <w:rPr>
          <w:rFonts w:cs="Tahoma"/>
          <w:color w:val="000000"/>
          <w:szCs w:val="18"/>
          <w:lang w:val="pt-BR"/>
        </w:rPr>
        <w:t xml:space="preserve"> </w:t>
      </w:r>
    </w:p>
    <w:p w:rsidR="008A1637" w:rsidRPr="00C50FD1" w:rsidRDefault="008A1637" w:rsidP="007022C1">
      <w:pPr>
        <w:ind w:right="720"/>
        <w:rPr>
          <w:lang w:val="pt-BR"/>
        </w:rPr>
      </w:pPr>
      <w:r w:rsidRPr="00C50FD1">
        <w:rPr>
          <w:rFonts w:cs="Tahoma"/>
          <w:color w:val="1F497D"/>
          <w:szCs w:val="18"/>
          <w:lang w:val="pt-BR"/>
        </w:rPr>
        <w:br/>
      </w:r>
      <w:r w:rsidRPr="00C50FD1">
        <w:rPr>
          <w:rFonts w:cs="Tahoma"/>
          <w:color w:val="000000"/>
          <w:szCs w:val="18"/>
          <w:lang w:val="pt-BR"/>
        </w:rPr>
        <w:t>Nem todos os produtos do Licenciamento por Volume requerem uma chave de produto.</w:t>
      </w:r>
      <w:r w:rsidRPr="00C50FD1">
        <w:rPr>
          <w:rFonts w:ascii="Verdana" w:hAnsi="Verdana"/>
          <w:color w:val="333333"/>
          <w:sz w:val="17"/>
          <w:szCs w:val="17"/>
          <w:lang w:val="pt-BR"/>
        </w:rPr>
        <w:t xml:space="preserve"> </w:t>
      </w:r>
      <w:r w:rsidRPr="00C50FD1">
        <w:rPr>
          <w:rFonts w:cs="Tahoma"/>
          <w:color w:val="000000"/>
          <w:szCs w:val="18"/>
          <w:lang w:val="pt-BR"/>
        </w:rPr>
        <w:t>Se um produto não estiver listado, nenhuma chave será exigida.</w:t>
      </w:r>
    </w:p>
    <w:p w:rsidR="008A1637" w:rsidRPr="00C50FD1" w:rsidRDefault="008A1637" w:rsidP="007022C1">
      <w:pPr>
        <w:ind w:right="720"/>
        <w:rPr>
          <w:lang w:val="pt-BR"/>
        </w:rPr>
      </w:pPr>
    </w:p>
    <w:p w:rsidR="008A1637" w:rsidRPr="00C50FD1" w:rsidRDefault="008A1637" w:rsidP="007022C1">
      <w:pPr>
        <w:ind w:right="720"/>
        <w:rPr>
          <w:lang w:val="pt-BR"/>
        </w:rPr>
      </w:pPr>
      <w:r w:rsidRPr="00C50FD1">
        <w:rPr>
          <w:rFonts w:cs="Tahoma"/>
          <w:b/>
          <w:bCs/>
          <w:color w:val="000000"/>
          <w:szCs w:val="18"/>
          <w:lang w:val="pt-BR"/>
        </w:rPr>
        <w:t>Observação:</w:t>
      </w:r>
      <w:r w:rsidR="005A52A2" w:rsidRPr="00C50FD1">
        <w:rPr>
          <w:rFonts w:cs="Tahoma"/>
          <w:color w:val="000000"/>
          <w:szCs w:val="18"/>
          <w:lang w:val="pt-BR"/>
        </w:rPr>
        <w:t xml:space="preserve"> </w:t>
      </w:r>
      <w:r w:rsidRPr="00C50FD1">
        <w:rPr>
          <w:rFonts w:cs="Tahoma"/>
          <w:color w:val="000000"/>
          <w:szCs w:val="18"/>
          <w:lang w:val="pt-BR"/>
        </w:rPr>
        <w:t xml:space="preserve">as chaves de produto são cedidas e destinadas para o uso exclusivo da sua organização. Você será responsabilizado por qualquer uso não autorizado das chaves de produto emitidas de acordo com o seu contrato. Tome providências para manter suas chaves em segurança. Não as divulgue para pessoas não autorizadas. </w:t>
      </w:r>
    </w:p>
    <w:p w:rsidR="00023FE7" w:rsidRPr="00653421" w:rsidRDefault="008A1637" w:rsidP="0095190D">
      <w:pPr>
        <w:pStyle w:val="Heading1"/>
        <w:rPr>
          <w:sz w:val="36"/>
          <w:szCs w:val="36"/>
          <w:lang w:val="x-none" w:eastAsia="x-none"/>
        </w:rPr>
      </w:pPr>
      <w:r w:rsidRPr="00C50FD1">
        <w:rPr>
          <w:lang w:val="pt-BR"/>
        </w:rPr>
        <w:br w:type="page"/>
      </w:r>
      <w:bookmarkStart w:id="996" w:name="_Toc336338255"/>
      <w:bookmarkStart w:id="997" w:name="_Toc353470903"/>
      <w:r w:rsidRPr="00653421">
        <w:rPr>
          <w:sz w:val="36"/>
          <w:szCs w:val="36"/>
          <w:lang w:val="x-none" w:eastAsia="x-none"/>
        </w:rPr>
        <w:lastRenderedPageBreak/>
        <w:t>NoTAS do Produto</w:t>
      </w:r>
      <w:bookmarkEnd w:id="996"/>
      <w:bookmarkEnd w:id="997"/>
    </w:p>
    <w:p w:rsidR="00023FE7" w:rsidRPr="00C50FD1" w:rsidRDefault="00023FE7">
      <w:pPr>
        <w:pStyle w:val="Heading2"/>
        <w:ind w:hanging="540"/>
        <w:rPr>
          <w:lang w:val="pt-BR"/>
        </w:rPr>
      </w:pPr>
    </w:p>
    <w:p w:rsidR="00023FE7" w:rsidRPr="00C50FD1" w:rsidRDefault="00023FE7">
      <w:pPr>
        <w:pStyle w:val="Heading2"/>
        <w:ind w:left="0"/>
        <w:rPr>
          <w:lang w:val="pt-BR"/>
        </w:rPr>
      </w:pPr>
      <w:bookmarkStart w:id="998" w:name="_Toc336338256"/>
      <w:bookmarkStart w:id="999" w:name="_Toc353470904"/>
      <w:r w:rsidRPr="00C50FD1">
        <w:rPr>
          <w:rFonts w:ascii="Tahoma" w:hAnsi="Tahoma" w:cs="Tahoma"/>
          <w:sz w:val="28"/>
          <w:lang w:val="pt-BR"/>
        </w:rPr>
        <w:t>Pool de Aplicativos</w:t>
      </w:r>
      <w:bookmarkEnd w:id="998"/>
      <w:bookmarkEnd w:id="999"/>
    </w:p>
    <w:p w:rsidR="00023FE7" w:rsidRPr="00C50FD1" w:rsidRDefault="00023FE7" w:rsidP="00D94745">
      <w:pPr>
        <w:rPr>
          <w:lang w:val="pt-BR"/>
        </w:rPr>
      </w:pPr>
      <w:bookmarkStart w:id="1000" w:name="_1_Data_Analyzer"/>
      <w:bookmarkStart w:id="1001" w:name="Aps_1BingMapsDesktopandContentPack"/>
      <w:bookmarkEnd w:id="1000"/>
    </w:p>
    <w:p w:rsidR="004A2FC2" w:rsidRPr="00C50FD1" w:rsidRDefault="004A2FC2" w:rsidP="004A2FC2">
      <w:pPr>
        <w:rPr>
          <w:lang w:val="pt-BR"/>
        </w:rPr>
      </w:pPr>
      <w:bookmarkStart w:id="1002" w:name="Aps_ExpStudioproducts"/>
      <w:bookmarkStart w:id="1003" w:name="Aps_ExpStudio2"/>
      <w:bookmarkStart w:id="1004" w:name="Aps_1ExpStudio3"/>
      <w:bookmarkEnd w:id="1001"/>
    </w:p>
    <w:p w:rsidR="00176313" w:rsidRPr="00C50FD1" w:rsidRDefault="00B54C21" w:rsidP="004A2FC2">
      <w:pPr>
        <w:pStyle w:val="Heading3"/>
        <w:ind w:left="180" w:hanging="180"/>
        <w:rPr>
          <w:lang w:val="pt-BR"/>
        </w:rPr>
      </w:pPr>
      <w:bookmarkStart w:id="1005" w:name="_12_Expression_Encoder"/>
      <w:bookmarkStart w:id="1006" w:name="_1_Expression_Encoder"/>
      <w:bookmarkStart w:id="1007" w:name="_Toc336338258"/>
      <w:bookmarkStart w:id="1008" w:name="_Toc353470905"/>
      <w:bookmarkEnd w:id="1005"/>
      <w:bookmarkEnd w:id="1006"/>
      <w:r w:rsidRPr="00C50FD1">
        <w:rPr>
          <w:rFonts w:ascii="Tahoma" w:hAnsi="Tahoma"/>
          <w:caps/>
          <w:color w:val="F66400"/>
          <w:sz w:val="22"/>
          <w:vertAlign w:val="superscript"/>
          <w:lang w:val="pt-BR"/>
        </w:rPr>
        <w:t>1</w:t>
      </w:r>
      <w:r w:rsidRPr="00C50FD1">
        <w:rPr>
          <w:rFonts w:ascii="Tahoma" w:hAnsi="Tahoma"/>
          <w:color w:val="F66400"/>
          <w:sz w:val="22"/>
          <w:lang w:val="pt-BR"/>
        </w:rPr>
        <w:t xml:space="preserve"> Expression Encoder Pro 4</w:t>
      </w:r>
      <w:bookmarkEnd w:id="1002"/>
      <w:bookmarkEnd w:id="1007"/>
      <w:bookmarkEnd w:id="1008"/>
    </w:p>
    <w:p w:rsidR="00176313" w:rsidRPr="00C50FD1" w:rsidRDefault="00176313" w:rsidP="004A2FC2">
      <w:pPr>
        <w:rPr>
          <w:lang w:val="pt-BR"/>
        </w:rPr>
      </w:pPr>
    </w:p>
    <w:p w:rsidR="00176313" w:rsidRPr="00C50FD1" w:rsidRDefault="00176313" w:rsidP="00864B8A">
      <w:pPr>
        <w:spacing w:after="60"/>
        <w:ind w:left="720"/>
        <w:rPr>
          <w:lang w:val="pt-BR"/>
        </w:rPr>
      </w:pPr>
      <w:r w:rsidRPr="00C50FD1">
        <w:rPr>
          <w:rFonts w:cs="Tahoma"/>
          <w:b/>
          <w:szCs w:val="20"/>
          <w:lang w:val="pt-BR"/>
        </w:rPr>
        <w:t>Expression Encoder Pro 4</w:t>
      </w:r>
    </w:p>
    <w:p w:rsidR="00176313" w:rsidRPr="00C50FD1" w:rsidRDefault="00176313" w:rsidP="004A2FC2">
      <w:pPr>
        <w:ind w:left="720"/>
        <w:rPr>
          <w:lang w:val="pt-BR"/>
        </w:rPr>
      </w:pPr>
      <w:r w:rsidRPr="00C50FD1">
        <w:rPr>
          <w:rFonts w:cs="Tahoma"/>
          <w:color w:val="000000"/>
          <w:szCs w:val="18"/>
          <w:lang w:val="pt-BR"/>
        </w:rPr>
        <w:t>A linha de produtos Expression foi atualizada.</w:t>
      </w:r>
      <w:r w:rsidR="005A52A2" w:rsidRPr="00C50FD1">
        <w:rPr>
          <w:rFonts w:cs="Tahoma"/>
          <w:color w:val="000000"/>
          <w:szCs w:val="18"/>
          <w:lang w:val="pt-BR"/>
        </w:rPr>
        <w:t xml:space="preserve"> </w:t>
      </w:r>
      <w:r w:rsidRPr="00C50FD1">
        <w:rPr>
          <w:rFonts w:cs="Tahoma"/>
          <w:color w:val="000000"/>
          <w:szCs w:val="18"/>
          <w:lang w:val="pt-BR"/>
        </w:rPr>
        <w:t>Somente a marca do produto foi alterada; o software da versão 3 e o software da versão 4 são os mesmos.</w:t>
      </w:r>
      <w:r w:rsidR="005A52A2" w:rsidRPr="00C50FD1">
        <w:rPr>
          <w:rFonts w:cs="Tahoma"/>
          <w:color w:val="000000"/>
          <w:szCs w:val="18"/>
          <w:lang w:val="pt-BR"/>
        </w:rPr>
        <w:t xml:space="preserve"> </w:t>
      </w:r>
      <w:r w:rsidRPr="00C50FD1">
        <w:rPr>
          <w:rFonts w:cs="Tahoma"/>
          <w:color w:val="000000"/>
          <w:szCs w:val="18"/>
          <w:lang w:val="pt-BR"/>
        </w:rPr>
        <w:t>Dessa forma, os clientes licenciados para os produtos da</w:t>
      </w:r>
      <w:r w:rsidR="007B0512" w:rsidRPr="00C50FD1">
        <w:rPr>
          <w:rFonts w:cs="Tahoma"/>
          <w:color w:val="000000"/>
          <w:szCs w:val="18"/>
          <w:lang w:val="pt-BR"/>
        </w:rPr>
        <w:t> </w:t>
      </w:r>
      <w:r w:rsidRPr="00C50FD1">
        <w:rPr>
          <w:rFonts w:cs="Tahoma"/>
          <w:color w:val="000000"/>
          <w:szCs w:val="18"/>
          <w:lang w:val="pt-BR"/>
        </w:rPr>
        <w:t>versão 3 serão considerados licenciados para os produtos correspondentes da versão 4 (conforme apresentado abaixo) e poderão usar o software marcado como versão 4 em vez do software marcado como</w:t>
      </w:r>
      <w:r w:rsidR="007B0512" w:rsidRPr="00C50FD1">
        <w:rPr>
          <w:rFonts w:cs="Tahoma"/>
          <w:color w:val="000000"/>
          <w:szCs w:val="18"/>
          <w:lang w:val="pt-BR"/>
        </w:rPr>
        <w:t> </w:t>
      </w:r>
      <w:r w:rsidRPr="00C50FD1">
        <w:rPr>
          <w:rFonts w:cs="Tahoma"/>
          <w:color w:val="000000"/>
          <w:szCs w:val="18"/>
          <w:lang w:val="pt-BR"/>
        </w:rPr>
        <w:t>versão 3. O direito de usar o software continua a ser regido pelos termos e pelas condições do Contrato de Licenciamento por Volume do Cliente e pelos direitos de uso de produto do software conforme suplementado por esta nota de condição de produto.</w:t>
      </w:r>
      <w:r w:rsidR="005A52A2" w:rsidRPr="00C50FD1">
        <w:rPr>
          <w:rFonts w:cs="Tahoma"/>
          <w:color w:val="000000"/>
          <w:szCs w:val="18"/>
          <w:lang w:val="pt-BR"/>
        </w:rPr>
        <w:t xml:space="preserve"> </w:t>
      </w:r>
      <w:r w:rsidRPr="00C50FD1">
        <w:rPr>
          <w:rFonts w:cs="Tahoma"/>
          <w:color w:val="000000"/>
          <w:szCs w:val="18"/>
          <w:lang w:val="pt-BR"/>
        </w:rPr>
        <w:t>A atualização não abrange a garantia nem qualquer obrigação de suporte da Microsoft relacionada à cobertura de Software Assurance dos produtos.</w:t>
      </w:r>
    </w:p>
    <w:p w:rsidR="00973A93" w:rsidRPr="00C50FD1" w:rsidRDefault="00973A93">
      <w:pPr>
        <w:rPr>
          <w:lang w:val="pt-BR"/>
        </w:rPr>
      </w:pPr>
    </w:p>
    <w:p w:rsidR="004A2FC2" w:rsidRPr="00C50FD1" w:rsidRDefault="004A2FC2" w:rsidP="004A2FC2">
      <w:pPr>
        <w:rPr>
          <w:lang w:val="pt-BR"/>
        </w:rPr>
      </w:pPr>
      <w:bookmarkStart w:id="1009" w:name="_Toc254806117"/>
      <w:bookmarkStart w:id="1010" w:name="Aps_MSDNOPSystems"/>
      <w:bookmarkStart w:id="1011" w:name="Aps_3MSDNOPSystems"/>
      <w:bookmarkStart w:id="1012" w:name="Aps_5OffCommunicator07"/>
      <w:bookmarkEnd w:id="1003"/>
      <w:bookmarkEnd w:id="1004"/>
    </w:p>
    <w:p w:rsidR="00E316C2" w:rsidRPr="00C50FD1" w:rsidRDefault="00B54C21" w:rsidP="00E316C2">
      <w:pPr>
        <w:pStyle w:val="Heading3"/>
        <w:rPr>
          <w:lang w:val="pt-BR"/>
        </w:rPr>
      </w:pPr>
      <w:bookmarkStart w:id="1013" w:name="_23_Lync_for"/>
      <w:bookmarkStart w:id="1014" w:name="_2_Lync_para"/>
      <w:bookmarkStart w:id="1015" w:name="_Toc336338259"/>
      <w:bookmarkStart w:id="1016" w:name="_Toc353470906"/>
      <w:bookmarkStart w:id="1017" w:name="Aps_3Lync2010"/>
      <w:bookmarkEnd w:id="1013"/>
      <w:bookmarkEnd w:id="1014"/>
      <w:r w:rsidRPr="00C50FD1">
        <w:rPr>
          <w:rFonts w:ascii="Tahoma" w:hAnsi="Tahoma"/>
          <w:caps/>
          <w:color w:val="F66400"/>
          <w:sz w:val="22"/>
          <w:vertAlign w:val="superscript"/>
          <w:lang w:val="pt-BR"/>
        </w:rPr>
        <w:t>2</w:t>
      </w:r>
      <w:r w:rsidRPr="00C50FD1">
        <w:rPr>
          <w:rFonts w:ascii="Tahoma" w:hAnsi="Tahoma"/>
          <w:color w:val="F66400"/>
          <w:sz w:val="22"/>
          <w:lang w:val="pt-BR"/>
        </w:rPr>
        <w:t xml:space="preserve"> </w:t>
      </w:r>
      <w:bookmarkStart w:id="1018" w:name="Aps_4LyncforMac2011"/>
      <w:r w:rsidRPr="00C50FD1">
        <w:rPr>
          <w:rFonts w:ascii="Tahoma" w:hAnsi="Tahoma"/>
          <w:color w:val="F66400"/>
          <w:sz w:val="22"/>
          <w:lang w:val="pt-BR"/>
        </w:rPr>
        <w:t xml:space="preserve">Lync </w:t>
      </w:r>
      <w:bookmarkEnd w:id="1015"/>
      <w:r w:rsidRPr="00C50FD1">
        <w:rPr>
          <w:rFonts w:ascii="Tahoma" w:hAnsi="Tahoma"/>
          <w:color w:val="F66400"/>
          <w:sz w:val="22"/>
          <w:lang w:val="pt-BR"/>
        </w:rPr>
        <w:t>para Mac 2011</w:t>
      </w:r>
      <w:bookmarkEnd w:id="1016"/>
      <w:bookmarkEnd w:id="1018"/>
    </w:p>
    <w:p w:rsidR="00AE5A9F" w:rsidRPr="00C50FD1" w:rsidRDefault="00AE5A9F" w:rsidP="00AE5A9F">
      <w:pPr>
        <w:rPr>
          <w:lang w:val="pt-BR"/>
        </w:rPr>
      </w:pPr>
    </w:p>
    <w:bookmarkEnd w:id="1017"/>
    <w:p w:rsidR="004A2FC2" w:rsidRPr="00C50FD1" w:rsidRDefault="00E316C2" w:rsidP="00864B8A">
      <w:pPr>
        <w:spacing w:after="60"/>
        <w:ind w:left="720"/>
        <w:rPr>
          <w:lang w:val="pt-BR"/>
        </w:rPr>
      </w:pPr>
      <w:r w:rsidRPr="00C50FD1">
        <w:rPr>
          <w:rFonts w:cs="Tahoma"/>
          <w:b/>
          <w:szCs w:val="20"/>
          <w:lang w:val="pt-BR"/>
        </w:rPr>
        <w:t xml:space="preserve">Caminho de Migração do Software Assurance para o Communicator para Mac 2011 </w:t>
      </w:r>
    </w:p>
    <w:p w:rsidR="00B9674D" w:rsidRPr="00C50FD1" w:rsidRDefault="00E316C2" w:rsidP="004A2FC2">
      <w:pPr>
        <w:adjustRightInd w:val="0"/>
        <w:ind w:left="720"/>
        <w:textAlignment w:val="baseline"/>
        <w:rPr>
          <w:lang w:val="pt-BR"/>
        </w:rPr>
      </w:pPr>
      <w:r w:rsidRPr="00C50FD1">
        <w:rPr>
          <w:rFonts w:cs="Tahoma"/>
          <w:lang w:val="pt-BR"/>
        </w:rPr>
        <w:t>A versão substituta do Communicator para Mac 2011 é o Lync para Mac 2011.</w:t>
      </w:r>
    </w:p>
    <w:p w:rsidR="004A2FC2" w:rsidRPr="00C50FD1" w:rsidRDefault="004A2FC2" w:rsidP="004A2FC2">
      <w:pPr>
        <w:adjustRightInd w:val="0"/>
        <w:textAlignment w:val="baseline"/>
        <w:rPr>
          <w:lang w:val="pt-BR"/>
        </w:rPr>
      </w:pPr>
    </w:p>
    <w:p w:rsidR="004A2FC2" w:rsidRPr="00C50FD1" w:rsidRDefault="004A2FC2" w:rsidP="004A2FC2">
      <w:pPr>
        <w:adjustRightInd w:val="0"/>
        <w:textAlignment w:val="baseline"/>
        <w:rPr>
          <w:lang w:val="pt-BR"/>
        </w:rPr>
      </w:pPr>
    </w:p>
    <w:p w:rsidR="00DC2291" w:rsidRPr="00C50FD1" w:rsidRDefault="00B54C21" w:rsidP="00DC2291">
      <w:pPr>
        <w:pStyle w:val="Heading3"/>
        <w:rPr>
          <w:lang w:val="pt-BR"/>
        </w:rPr>
      </w:pPr>
      <w:bookmarkStart w:id="1019" w:name="_34_MSDN_Operating"/>
      <w:bookmarkStart w:id="1020" w:name="_3_Sistemas_Operacionais"/>
      <w:bookmarkStart w:id="1021" w:name="_Toc336338261"/>
      <w:bookmarkStart w:id="1022" w:name="_Toc353470907"/>
      <w:bookmarkEnd w:id="1019"/>
      <w:bookmarkEnd w:id="1020"/>
      <w:r w:rsidRPr="00C50FD1">
        <w:rPr>
          <w:rFonts w:ascii="Tahoma" w:hAnsi="Tahoma"/>
          <w:caps/>
          <w:color w:val="F66400"/>
          <w:sz w:val="22"/>
          <w:vertAlign w:val="superscript"/>
          <w:lang w:val="pt-BR"/>
        </w:rPr>
        <w:t>3</w:t>
      </w:r>
      <w:r w:rsidRPr="00C50FD1">
        <w:rPr>
          <w:rFonts w:ascii="Tahoma" w:hAnsi="Tahoma"/>
          <w:color w:val="F66400"/>
          <w:sz w:val="22"/>
          <w:lang w:val="pt-BR"/>
        </w:rPr>
        <w:t xml:space="preserve"> Sistemas Operacionais MSDN</w:t>
      </w:r>
      <w:bookmarkEnd w:id="1009"/>
      <w:bookmarkEnd w:id="1021"/>
      <w:bookmarkEnd w:id="1022"/>
    </w:p>
    <w:bookmarkEnd w:id="1010"/>
    <w:bookmarkEnd w:id="1011"/>
    <w:p w:rsidR="00D16EA8" w:rsidRPr="00C50FD1" w:rsidRDefault="00D16EA8" w:rsidP="00D16EA8">
      <w:pPr>
        <w:pStyle w:val="FootnoteBulletLevel1"/>
        <w:tabs>
          <w:tab w:val="clear" w:pos="900"/>
        </w:tabs>
        <w:spacing w:before="0" w:after="0"/>
        <w:ind w:left="720" w:firstLine="0"/>
        <w:rPr>
          <w:lang w:val="pt-BR"/>
        </w:rPr>
      </w:pPr>
    </w:p>
    <w:p w:rsidR="00D16EA8" w:rsidRPr="00C50FD1" w:rsidRDefault="00DC2291" w:rsidP="00864B8A">
      <w:pPr>
        <w:spacing w:after="60"/>
        <w:ind w:left="720"/>
        <w:rPr>
          <w:lang w:val="pt-BR"/>
        </w:rPr>
      </w:pPr>
      <w:r w:rsidRPr="00C50FD1">
        <w:rPr>
          <w:rFonts w:cs="Tahoma"/>
          <w:b/>
          <w:szCs w:val="20"/>
          <w:lang w:val="pt-BR"/>
        </w:rPr>
        <w:t>Qualificação do Software Assurance</w:t>
      </w:r>
    </w:p>
    <w:p w:rsidR="008368B4" w:rsidRPr="00C50FD1" w:rsidRDefault="00DC2291" w:rsidP="008368B4">
      <w:pPr>
        <w:pStyle w:val="EndnoteText"/>
        <w:tabs>
          <w:tab w:val="num" w:pos="1080"/>
        </w:tabs>
        <w:ind w:left="720"/>
        <w:rPr>
          <w:lang w:val="pt-BR"/>
        </w:rPr>
      </w:pPr>
      <w:r w:rsidRPr="00C50FD1">
        <w:rPr>
          <w:rFonts w:ascii="Tahoma" w:hAnsi="Tahoma" w:cs="Tahoma"/>
          <w:sz w:val="18"/>
          <w:lang w:val="pt-BR"/>
        </w:rPr>
        <w:t>Os clientes com Software Assurance próximo à data de término referente às licenças dos produtos a seguir estão qualificados a renovar suas coberturas como Software Assurance do MSDN Operating Systems. Ao renovar uma nível de assinatura MSDN diferente, os novos termos de uso substituirão os termos de uso anteriores, e qualquer software não incluído na nova assinatura MSDN deverá ser removido.</w:t>
      </w:r>
    </w:p>
    <w:p w:rsidR="00DC2291" w:rsidRPr="00C50FD1" w:rsidRDefault="00DC2291" w:rsidP="00D16EA8">
      <w:pPr>
        <w:pStyle w:val="EndnoteText"/>
        <w:tabs>
          <w:tab w:val="num" w:pos="1080"/>
        </w:tabs>
        <w:ind w:left="720"/>
        <w:rPr>
          <w:lang w:val="pt-BR"/>
        </w:rPr>
      </w:pP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Visual Studio Ultimate com MSDN</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Visual Studio Premium com MSDN</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Visual Studio Professional com MSDN</w:t>
      </w:r>
    </w:p>
    <w:p w:rsidR="00DC2291" w:rsidRPr="00C50FD1" w:rsidRDefault="00DC2291" w:rsidP="00D16EA8">
      <w:pPr>
        <w:pStyle w:val="FootnoteBulletLevel2"/>
        <w:numPr>
          <w:ilvl w:val="0"/>
          <w:numId w:val="4"/>
        </w:numPr>
        <w:spacing w:before="0" w:after="60"/>
        <w:ind w:left="1440"/>
        <w:rPr>
          <w:lang w:val="pt-BR"/>
        </w:rPr>
      </w:pPr>
      <w:r w:rsidRPr="00C50FD1">
        <w:rPr>
          <w:rFonts w:ascii="Tahoma" w:hAnsi="Tahoma" w:cs="Tahoma"/>
          <w:sz w:val="18"/>
          <w:lang w:val="pt-BR"/>
        </w:rPr>
        <w:t>Visual Studio Professional com MSDN Embedded</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Visual Studio Test Professional com MSDN</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Visual Studio Professional com MSDN Professional</w:t>
      </w:r>
    </w:p>
    <w:p w:rsidR="00DC2291" w:rsidRPr="00C50FD1" w:rsidRDefault="00DC2291" w:rsidP="00D16EA8">
      <w:pPr>
        <w:pStyle w:val="FootnoteBulletLevel2"/>
        <w:numPr>
          <w:ilvl w:val="0"/>
          <w:numId w:val="4"/>
        </w:numPr>
        <w:spacing w:before="0" w:after="60"/>
        <w:ind w:left="1440"/>
        <w:rPr>
          <w:lang w:val="pt-BR"/>
        </w:rPr>
      </w:pPr>
      <w:r w:rsidRPr="00C50FD1">
        <w:rPr>
          <w:rFonts w:ascii="Tahoma" w:hAnsi="Tahoma" w:cs="Tahoma"/>
          <w:sz w:val="18"/>
          <w:lang w:val="pt-BR"/>
        </w:rPr>
        <w:t>Visual Studio Professional com MSDN Premium</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Visual Studio Team System Team Suite com MSDN Premium</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Visual Studio Team System Test Edition com MSDN Premium</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Visual Studio Team System Development Edition com MSDN Premium</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 xml:space="preserve">Visual Studio Team System Architecture Edition com MSDN Premium </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Visual Studio Team System Database Edition com MSDN Premium</w:t>
      </w:r>
    </w:p>
    <w:p w:rsidR="00DC2291" w:rsidRPr="00653421" w:rsidRDefault="00DC2291" w:rsidP="00D16EA8">
      <w:pPr>
        <w:pStyle w:val="FootnoteBulletLevel2"/>
        <w:numPr>
          <w:ilvl w:val="0"/>
          <w:numId w:val="4"/>
        </w:numPr>
        <w:spacing w:before="0" w:after="60"/>
        <w:ind w:left="1440"/>
      </w:pPr>
      <w:r w:rsidRPr="00653421">
        <w:rPr>
          <w:rFonts w:ascii="Tahoma" w:hAnsi="Tahoma" w:cs="Tahoma"/>
          <w:sz w:val="18"/>
        </w:rPr>
        <w:t>MSDN Operating Systems</w:t>
      </w:r>
    </w:p>
    <w:p w:rsidR="00DC2291" w:rsidRPr="00C50FD1" w:rsidRDefault="00DC2291" w:rsidP="00D16EA8">
      <w:pPr>
        <w:pStyle w:val="FootnoteBulletLevel2"/>
        <w:numPr>
          <w:ilvl w:val="0"/>
          <w:numId w:val="4"/>
        </w:numPr>
        <w:spacing w:before="0" w:after="60"/>
        <w:ind w:left="1440"/>
        <w:rPr>
          <w:lang w:val="pt-BR"/>
        </w:rPr>
      </w:pPr>
      <w:r w:rsidRPr="00C50FD1">
        <w:rPr>
          <w:rFonts w:ascii="Tahoma" w:hAnsi="Tahoma" w:cs="Tahoma"/>
          <w:sz w:val="18"/>
          <w:lang w:val="pt-BR"/>
        </w:rPr>
        <w:t>Clientes com uma assinatura de varejo ativa para qualquer um dos softwares acima</w:t>
      </w:r>
    </w:p>
    <w:p w:rsidR="007B0512" w:rsidRPr="00C50FD1" w:rsidRDefault="007B0512" w:rsidP="00D16EA8">
      <w:pPr>
        <w:pStyle w:val="FootnoteBulletLevel2"/>
        <w:tabs>
          <w:tab w:val="clear" w:pos="1260"/>
        </w:tabs>
        <w:spacing w:before="0"/>
        <w:ind w:left="0" w:firstLine="0"/>
        <w:rPr>
          <w:lang w:val="pt-BR"/>
        </w:rPr>
      </w:pPr>
    </w:p>
    <w:p w:rsidR="00462A0E" w:rsidRPr="00C50FD1" w:rsidRDefault="00462A0E" w:rsidP="00D16EA8">
      <w:pPr>
        <w:pStyle w:val="FootnoteBulletLevel2"/>
        <w:tabs>
          <w:tab w:val="clear" w:pos="1260"/>
        </w:tabs>
        <w:spacing w:before="0"/>
        <w:ind w:left="0" w:firstLine="0"/>
        <w:rPr>
          <w:lang w:val="pt-BR"/>
        </w:rPr>
      </w:pPr>
    </w:p>
    <w:p w:rsidR="00462A0E" w:rsidRPr="00C50FD1" w:rsidRDefault="00462A0E" w:rsidP="00D16EA8">
      <w:pPr>
        <w:pStyle w:val="FootnoteBulletLevel2"/>
        <w:tabs>
          <w:tab w:val="clear" w:pos="1260"/>
        </w:tabs>
        <w:spacing w:before="0"/>
        <w:ind w:left="0" w:firstLine="0"/>
        <w:rPr>
          <w:lang w:val="pt-BR"/>
        </w:rPr>
      </w:pPr>
    </w:p>
    <w:p w:rsidR="00462A0E" w:rsidRPr="00C50FD1" w:rsidRDefault="00462A0E" w:rsidP="00D16EA8">
      <w:pPr>
        <w:pStyle w:val="FootnoteBulletLevel2"/>
        <w:tabs>
          <w:tab w:val="clear" w:pos="1260"/>
        </w:tabs>
        <w:spacing w:before="0"/>
        <w:ind w:left="0" w:firstLine="0"/>
        <w:rPr>
          <w:lang w:val="pt-BR"/>
        </w:rPr>
      </w:pPr>
    </w:p>
    <w:p w:rsidR="00D16EA8" w:rsidRPr="00C50FD1" w:rsidRDefault="00F51051" w:rsidP="00864B8A">
      <w:pPr>
        <w:spacing w:after="60"/>
        <w:ind w:left="720"/>
        <w:rPr>
          <w:lang w:val="pt-BR"/>
        </w:rPr>
      </w:pPr>
      <w:r w:rsidRPr="00C50FD1">
        <w:rPr>
          <w:rFonts w:cs="Tahoma"/>
          <w:b/>
          <w:szCs w:val="20"/>
          <w:lang w:val="pt-BR"/>
        </w:rPr>
        <w:lastRenderedPageBreak/>
        <w:t>Serviços de Assinatura</w:t>
      </w:r>
    </w:p>
    <w:p w:rsidR="00B26237" w:rsidRPr="00C50FD1" w:rsidRDefault="002333B5" w:rsidP="00D16EA8">
      <w:pPr>
        <w:pStyle w:val="FootnoteBulletLevel2"/>
        <w:tabs>
          <w:tab w:val="clear" w:pos="1260"/>
        </w:tabs>
        <w:spacing w:before="0"/>
        <w:ind w:left="720" w:firstLine="0"/>
        <w:rPr>
          <w:lang w:val="pt-BR"/>
        </w:rPr>
      </w:pPr>
      <w:r w:rsidRPr="00C50FD1">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D16EA8" w:rsidRPr="00C50FD1" w:rsidRDefault="00D16EA8" w:rsidP="00D16EA8">
      <w:pPr>
        <w:pStyle w:val="FootnoteBulletLevel2"/>
        <w:tabs>
          <w:tab w:val="clear" w:pos="1260"/>
        </w:tabs>
        <w:spacing w:before="0"/>
        <w:ind w:left="0" w:firstLine="0"/>
        <w:rPr>
          <w:lang w:val="pt-BR"/>
        </w:rPr>
      </w:pPr>
    </w:p>
    <w:p w:rsidR="00D16EA8" w:rsidRPr="00C50FD1" w:rsidRDefault="00D16EA8" w:rsidP="00D16EA8">
      <w:pPr>
        <w:pStyle w:val="FootnoteBulletLevel2"/>
        <w:tabs>
          <w:tab w:val="clear" w:pos="1260"/>
        </w:tabs>
        <w:spacing w:before="0"/>
        <w:ind w:left="0" w:firstLine="0"/>
        <w:rPr>
          <w:lang w:val="pt-BR"/>
        </w:rPr>
      </w:pPr>
    </w:p>
    <w:p w:rsidR="00B26237" w:rsidRPr="00C50FD1" w:rsidRDefault="00B54C21" w:rsidP="00B26237">
      <w:pPr>
        <w:pStyle w:val="Heading2"/>
        <w:ind w:left="0"/>
        <w:rPr>
          <w:lang w:val="pt-BR"/>
        </w:rPr>
      </w:pPr>
      <w:bookmarkStart w:id="1023" w:name="_6_Office_365"/>
      <w:bookmarkStart w:id="1024" w:name="_45_Office_365"/>
      <w:bookmarkStart w:id="1025" w:name="_4_Office_365"/>
      <w:bookmarkStart w:id="1026" w:name="_Toc336338262"/>
      <w:bookmarkStart w:id="1027" w:name="_Toc353470908"/>
      <w:bookmarkEnd w:id="1023"/>
      <w:bookmarkEnd w:id="1024"/>
      <w:bookmarkEnd w:id="1025"/>
      <w:r w:rsidRPr="00C50FD1">
        <w:rPr>
          <w:rFonts w:ascii="Tahoma" w:hAnsi="Tahoma" w:cs="Tahoma"/>
          <w:caps/>
          <w:color w:val="F66400"/>
          <w:sz w:val="22"/>
          <w:szCs w:val="20"/>
          <w:vertAlign w:val="superscript"/>
          <w:lang w:val="pt-BR"/>
        </w:rPr>
        <w:t>4</w:t>
      </w:r>
      <w:r w:rsidRPr="00C50FD1">
        <w:rPr>
          <w:color w:val="F66400"/>
          <w:sz w:val="22"/>
          <w:szCs w:val="20"/>
          <w:lang w:val="pt-BR"/>
        </w:rPr>
        <w:t xml:space="preserve"> </w:t>
      </w:r>
      <w:r w:rsidRPr="00C50FD1">
        <w:rPr>
          <w:rFonts w:ascii="Tahoma" w:hAnsi="Tahoma" w:cs="Tahoma"/>
          <w:color w:val="FF6600"/>
          <w:sz w:val="22"/>
          <w:szCs w:val="22"/>
          <w:lang w:val="pt-BR"/>
        </w:rPr>
        <w:t>Office 365 Education A2-A4 (SL de Usuário)</w:t>
      </w:r>
      <w:bookmarkEnd w:id="1026"/>
      <w:bookmarkEnd w:id="1027"/>
    </w:p>
    <w:p w:rsidR="00B26237" w:rsidRPr="00C50FD1" w:rsidRDefault="00B26237" w:rsidP="00AE5A9F">
      <w:pPr>
        <w:rPr>
          <w:lang w:val="pt-BR"/>
        </w:rPr>
      </w:pPr>
    </w:p>
    <w:p w:rsidR="00B26237" w:rsidRPr="00C50FD1" w:rsidRDefault="00B26237" w:rsidP="00B26237">
      <w:pPr>
        <w:ind w:left="720"/>
        <w:rPr>
          <w:lang w:val="pt-BR"/>
        </w:rPr>
      </w:pPr>
      <w:r w:rsidRPr="00C50FD1">
        <w:rPr>
          <w:rFonts w:eastAsia="Calibri" w:cs="Tahoma"/>
          <w:color w:val="000000"/>
          <w:szCs w:val="18"/>
          <w:lang w:val="pt-BR"/>
        </w:rPr>
        <w:t>O Office 365 Education A2-A4 são compostos por versões acadêmicas específicas dos mesmos serviços online que abrangem o Office 365 Enterprise E2-E4.</w:t>
      </w:r>
      <w:r w:rsidR="005A52A2" w:rsidRPr="00C50FD1">
        <w:rPr>
          <w:rFonts w:eastAsia="Calibri" w:cs="Tahoma"/>
          <w:color w:val="000000"/>
          <w:szCs w:val="18"/>
          <w:lang w:val="pt-BR"/>
        </w:rPr>
        <w:t xml:space="preserve"> </w:t>
      </w:r>
      <w:r w:rsidRPr="00C50FD1">
        <w:rPr>
          <w:rFonts w:eastAsia="Calibri" w:cs="Tahoma"/>
          <w:color w:val="000000"/>
          <w:szCs w:val="18"/>
          <w:lang w:val="pt-BR"/>
        </w:rPr>
        <w:t>Os direitos de uso para Education A2-A4 e seus componentes são equivalentes às suas contrapartidas comerciais.</w:t>
      </w:r>
      <w:r w:rsidR="005A52A2" w:rsidRPr="00C50FD1">
        <w:rPr>
          <w:rFonts w:eastAsia="Calibri" w:cs="Tahoma"/>
          <w:color w:val="000000"/>
          <w:szCs w:val="18"/>
          <w:lang w:val="pt-BR"/>
        </w:rPr>
        <w:t xml:space="preserve"> </w:t>
      </w:r>
      <w:r w:rsidRPr="00C50FD1">
        <w:rPr>
          <w:rFonts w:eastAsia="Calibri" w:cs="Tahoma"/>
          <w:color w:val="000000"/>
          <w:szCs w:val="18"/>
          <w:lang w:val="pt-BR"/>
        </w:rPr>
        <w:t>No entanto, os usuários com USLs do</w:t>
      </w:r>
      <w:r w:rsidR="007B0512" w:rsidRPr="00C50FD1">
        <w:rPr>
          <w:rFonts w:eastAsia="Calibri" w:cs="Tahoma"/>
          <w:color w:val="000000"/>
          <w:szCs w:val="18"/>
          <w:lang w:val="pt-BR"/>
        </w:rPr>
        <w:t> </w:t>
      </w:r>
      <w:r w:rsidRPr="00C50FD1">
        <w:rPr>
          <w:rFonts w:eastAsia="Calibri" w:cs="Tahoma"/>
          <w:color w:val="000000"/>
          <w:szCs w:val="18"/>
          <w:lang w:val="pt-BR"/>
        </w:rPr>
        <w:t>Office 365 Education A2 não podem acessar serviços nas instalações.</w:t>
      </w:r>
    </w:p>
    <w:p w:rsidR="00B26237" w:rsidRPr="00C50FD1" w:rsidRDefault="00B26237" w:rsidP="00B26237">
      <w:pPr>
        <w:ind w:left="720"/>
        <w:rPr>
          <w:lang w:val="pt-BR"/>
        </w:rPr>
      </w:pPr>
    </w:p>
    <w:p w:rsidR="00B26237" w:rsidRPr="00C50FD1" w:rsidRDefault="00B26237" w:rsidP="00B26237">
      <w:pPr>
        <w:ind w:left="720"/>
        <w:rPr>
          <w:lang w:val="pt-BR"/>
        </w:rPr>
      </w:pPr>
      <w:r w:rsidRPr="00C50FD1">
        <w:rPr>
          <w:rFonts w:eastAsia="Calibri" w:cs="Tahoma"/>
          <w:color w:val="000000"/>
          <w:szCs w:val="18"/>
          <w:lang w:val="pt-BR"/>
        </w:rPr>
        <w:t>No Contrato School, as licenças de assinatura do Office 365 Plans devem ser adquiridas por usuário para toda a instituição ou não extensivas a toda a Instituição. Se as Licenças de Assinatura de Usuário adicionais forem exigidas para acessar o O365 Plan a médio prazo, a Instituição deverá enviar um pedido para tais Licenças.</w:t>
      </w:r>
      <w:r w:rsidR="005A52A2" w:rsidRPr="00C50FD1">
        <w:rPr>
          <w:rFonts w:eastAsia="Calibri" w:cs="Tahoma"/>
          <w:color w:val="000000"/>
          <w:szCs w:val="18"/>
          <w:lang w:val="pt-BR"/>
        </w:rPr>
        <w:t xml:space="preserve"> </w:t>
      </w:r>
      <w:r w:rsidRPr="00C50FD1">
        <w:rPr>
          <w:rFonts w:eastAsia="Calibri" w:cs="Tahoma"/>
          <w:color w:val="000000"/>
          <w:szCs w:val="18"/>
          <w:lang w:val="pt-BR"/>
        </w:rPr>
        <w:t>A Instituição pode usar qualquer O365 Plan para atender aos requisitos mínimos do programa. Ao</w:t>
      </w:r>
      <w:r w:rsidR="007B0512" w:rsidRPr="00C50FD1">
        <w:rPr>
          <w:rFonts w:eastAsia="Calibri" w:cs="Tahoma"/>
          <w:color w:val="000000"/>
          <w:szCs w:val="18"/>
          <w:lang w:val="pt-BR"/>
        </w:rPr>
        <w:t> </w:t>
      </w:r>
      <w:r w:rsidRPr="00C50FD1">
        <w:rPr>
          <w:rFonts w:eastAsia="Calibri" w:cs="Tahoma"/>
          <w:color w:val="000000"/>
          <w:szCs w:val="18"/>
          <w:lang w:val="pt-BR"/>
        </w:rPr>
        <w:t>licenciar o Complemento O365, o produto de qualificação correspondente deverá ser licenciado sob o mesmo registro.</w:t>
      </w:r>
      <w:r w:rsidR="005A52A2" w:rsidRPr="00C50FD1">
        <w:rPr>
          <w:rFonts w:eastAsia="Calibri" w:cs="Tahoma"/>
          <w:color w:val="000000"/>
          <w:szCs w:val="18"/>
          <w:lang w:val="pt-BR"/>
        </w:rPr>
        <w:t xml:space="preserve"> </w:t>
      </w:r>
      <w:r w:rsidRPr="00C50FD1">
        <w:rPr>
          <w:color w:val="000000"/>
          <w:lang w:val="pt-BR"/>
        </w:rPr>
        <w:t>Ao fazer pedidos anuais, a Instituição poderá pedir menos licenças para Serviços Online do que a quantidade de pedido inicial desde que o pedido anual atenda aos requisitos mínimos para Serviços Online da Plataforma</w:t>
      </w:r>
    </w:p>
    <w:p w:rsidR="00B26237" w:rsidRPr="00C50FD1" w:rsidRDefault="00B26237" w:rsidP="00B26237">
      <w:pPr>
        <w:ind w:left="720"/>
        <w:rPr>
          <w:lang w:val="pt-BR"/>
        </w:rPr>
      </w:pPr>
    </w:p>
    <w:p w:rsidR="00996781" w:rsidRPr="00C50FD1" w:rsidRDefault="00996781" w:rsidP="00B26237">
      <w:pPr>
        <w:ind w:left="720"/>
        <w:rPr>
          <w:lang w:val="pt-BR"/>
        </w:rPr>
      </w:pPr>
      <w:r w:rsidRPr="00C50FD1">
        <w:rPr>
          <w:iCs/>
          <w:lang w:val="pt-BR"/>
        </w:rPr>
        <w:t>Como oferta por tempo limitado, os clientes licenciados para Office 365 Education A1, A2, A3 ou A4 receberão uma cópia licenciada gratuita do Lync 2013 (ou Lync for Mac 2011) com cada licença de avaliação de usuário para Office 365 Education A1, A2, A3 ou A4. O software só poderá ser usado com o</w:t>
      </w:r>
      <w:r w:rsidR="007B0512" w:rsidRPr="00C50FD1">
        <w:rPr>
          <w:iCs/>
          <w:lang w:val="pt-BR"/>
        </w:rPr>
        <w:t> </w:t>
      </w:r>
      <w:r w:rsidRPr="00C50FD1">
        <w:rPr>
          <w:iCs/>
          <w:lang w:val="pt-BR"/>
        </w:rPr>
        <w:t>Office 365 Education A1, A2, A3, A4 (que inclui o Lync Online), e todos os direitos de uso do software se</w:t>
      </w:r>
      <w:r w:rsidR="007B0512" w:rsidRPr="00C50FD1">
        <w:rPr>
          <w:iCs/>
          <w:lang w:val="pt-BR"/>
        </w:rPr>
        <w:t> </w:t>
      </w:r>
      <w:r w:rsidRPr="00C50FD1">
        <w:rPr>
          <w:iCs/>
          <w:lang w:val="pt-BR"/>
        </w:rPr>
        <w:t>encerrarão ao término da licença de assinatura básica ou da migração para a próxima nova versão principal do Office 365 Education A1, A2, A3, A4 e Lync Online, o que ocorrer primeiro</w:t>
      </w:r>
    </w:p>
    <w:p w:rsidR="00996781" w:rsidRPr="00C50FD1" w:rsidRDefault="00996781" w:rsidP="00B26237">
      <w:pPr>
        <w:ind w:left="720"/>
        <w:rPr>
          <w:lang w:val="pt-BR"/>
        </w:rPr>
      </w:pPr>
    </w:p>
    <w:p w:rsidR="00B26237" w:rsidRPr="00C50FD1" w:rsidRDefault="0035314F" w:rsidP="00864B8A">
      <w:pPr>
        <w:spacing w:after="60"/>
        <w:ind w:left="720"/>
        <w:rPr>
          <w:lang w:val="pt-BR"/>
        </w:rPr>
      </w:pPr>
      <w:r w:rsidRPr="00C50FD1">
        <w:rPr>
          <w:rFonts w:cs="Tahoma"/>
          <w:b/>
          <w:szCs w:val="20"/>
          <w:lang w:val="pt-BR"/>
        </w:rPr>
        <w:t>USL Complementar</w:t>
      </w:r>
    </w:p>
    <w:p w:rsidR="00B26237" w:rsidRPr="00C50FD1" w:rsidRDefault="00B26237" w:rsidP="00B26237">
      <w:pPr>
        <w:ind w:left="720"/>
        <w:rPr>
          <w:lang w:val="pt-BR"/>
        </w:rPr>
      </w:pPr>
      <w:r w:rsidRPr="00C50FD1">
        <w:rPr>
          <w:rFonts w:eastAsia="Calibri" w:cs="Tahoma"/>
          <w:color w:val="000000"/>
          <w:szCs w:val="18"/>
          <w:lang w:val="pt-BR"/>
        </w:rPr>
        <w:t>As Instituições que possuem cobertura de produtos de qualificação poderão comprar a Licença de Assinatura de Usuário correspondente para o O365 Plan Complementar, conforme detalhado na tabela a seguir.</w:t>
      </w:r>
      <w:r w:rsidR="005A52A2" w:rsidRPr="00C50FD1">
        <w:rPr>
          <w:rFonts w:eastAsia="Calibri" w:cs="Tahoma"/>
          <w:color w:val="000000"/>
          <w:szCs w:val="18"/>
          <w:lang w:val="pt-BR"/>
        </w:rPr>
        <w:t xml:space="preserve"> </w:t>
      </w:r>
      <w:r w:rsidRPr="00C50FD1">
        <w:rPr>
          <w:rFonts w:eastAsia="Calibri" w:cs="Tahoma"/>
          <w:color w:val="000000"/>
          <w:szCs w:val="18"/>
          <w:lang w:val="pt-BR"/>
        </w:rPr>
        <w:t>Instituições com um Contrato School: As Instituições poderão comprar a Licença de Assinatura de Usuário correspondente para o O365 Plan Completar para seus Usuários até uma quantidade igual à da sua</w:t>
      </w:r>
      <w:r w:rsidR="007B0512" w:rsidRPr="00C50FD1">
        <w:rPr>
          <w:rFonts w:eastAsia="Calibri" w:cs="Tahoma"/>
          <w:color w:val="000000"/>
          <w:szCs w:val="18"/>
          <w:lang w:val="pt-BR"/>
        </w:rPr>
        <w:t> </w:t>
      </w:r>
      <w:r w:rsidRPr="00C50FD1">
        <w:rPr>
          <w:rFonts w:eastAsia="Calibri" w:cs="Tahoma"/>
          <w:color w:val="000000"/>
          <w:szCs w:val="18"/>
          <w:lang w:val="pt-BR"/>
        </w:rPr>
        <w:t>contagem de PCs Qualificados, contanto que eles tenham cobertura para os produtos de qualificação.</w:t>
      </w:r>
      <w:r w:rsidR="005A52A2" w:rsidRPr="00C50FD1">
        <w:rPr>
          <w:rFonts w:eastAsia="Calibri" w:cs="Tahoma"/>
          <w:color w:val="000000"/>
          <w:szCs w:val="18"/>
          <w:lang w:val="pt-BR"/>
        </w:rPr>
        <w:t xml:space="preserve"> </w:t>
      </w:r>
    </w:p>
    <w:p w:rsidR="00B26237" w:rsidRPr="00C50FD1" w:rsidRDefault="00B26237" w:rsidP="00B26237">
      <w:pPr>
        <w:rPr>
          <w:lang w:val="pt-B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653421" w:rsidTr="00B42A20">
        <w:tc>
          <w:tcPr>
            <w:tcW w:w="4320" w:type="dxa"/>
            <w:shd w:val="clear" w:color="auto" w:fill="FABF8F"/>
          </w:tcPr>
          <w:p w:rsidR="00B26237" w:rsidRPr="00653421" w:rsidRDefault="00B26237" w:rsidP="00B42A20">
            <w:pPr>
              <w:rPr>
                <w:rFonts w:eastAsia="Calibri" w:cs="Tahoma"/>
                <w:b/>
                <w:color w:val="000000"/>
                <w:szCs w:val="18"/>
              </w:rPr>
            </w:pPr>
            <w:r w:rsidRPr="00653421">
              <w:rPr>
                <w:rFonts w:eastAsia="Calibri" w:cs="Tahoma"/>
                <w:b/>
                <w:color w:val="000000"/>
                <w:szCs w:val="18"/>
              </w:rPr>
              <w:t>Licença Qualificada</w:t>
            </w:r>
          </w:p>
        </w:tc>
        <w:tc>
          <w:tcPr>
            <w:tcW w:w="4320" w:type="dxa"/>
            <w:shd w:val="clear" w:color="auto" w:fill="FABF8F"/>
          </w:tcPr>
          <w:p w:rsidR="00B26237" w:rsidRPr="00653421" w:rsidRDefault="00B26237" w:rsidP="00B42A20">
            <w:pPr>
              <w:rPr>
                <w:rFonts w:eastAsia="Calibri" w:cs="Tahoma"/>
                <w:b/>
                <w:color w:val="000000"/>
                <w:szCs w:val="18"/>
              </w:rPr>
            </w:pPr>
            <w:r w:rsidRPr="00653421">
              <w:rPr>
                <w:rFonts w:eastAsia="Calibri" w:cs="Tahoma"/>
                <w:b/>
                <w:color w:val="000000"/>
                <w:szCs w:val="18"/>
              </w:rPr>
              <w:t>USL Complementar</w:t>
            </w:r>
          </w:p>
        </w:tc>
      </w:tr>
      <w:tr w:rsidR="00B26237" w:rsidRPr="00C50FD1" w:rsidTr="00B42A20">
        <w:tc>
          <w:tcPr>
            <w:tcW w:w="4320" w:type="dxa"/>
            <w:shd w:val="clear" w:color="auto" w:fill="auto"/>
          </w:tcPr>
          <w:p w:rsidR="00B26237" w:rsidRPr="00C50FD1" w:rsidRDefault="00B26237" w:rsidP="00B42A20">
            <w:pPr>
              <w:rPr>
                <w:rFonts w:eastAsia="Calibri" w:cs="Tahoma"/>
                <w:color w:val="000000"/>
                <w:szCs w:val="18"/>
                <w:lang w:val="pt-BR"/>
              </w:rPr>
            </w:pPr>
            <w:r w:rsidRPr="00C50FD1">
              <w:rPr>
                <w:rFonts w:eastAsia="Calibri" w:cs="Tahoma"/>
                <w:color w:val="000000"/>
                <w:szCs w:val="18"/>
                <w:lang w:val="pt-BR"/>
              </w:rPr>
              <w:t>Pacote de CALs Principais</w:t>
            </w:r>
            <w:r w:rsidRPr="00C50FD1">
              <w:rPr>
                <w:rFonts w:eastAsia="Calibri" w:cs="Tahoma"/>
                <w:color w:val="000000"/>
                <w:szCs w:val="18"/>
                <w:vertAlign w:val="superscript"/>
                <w:lang w:val="pt-BR"/>
              </w:rPr>
              <w:t>1</w:t>
            </w:r>
            <w:r w:rsidRPr="00C50FD1">
              <w:rPr>
                <w:rFonts w:eastAsia="Calibri" w:cs="Tahoma"/>
                <w:color w:val="000000"/>
                <w:szCs w:val="18"/>
                <w:lang w:val="pt-BR"/>
              </w:rPr>
              <w:t xml:space="preserve"> ou Pacote de ECAL</w:t>
            </w:r>
            <w:r w:rsidRPr="00C50FD1">
              <w:rPr>
                <w:rFonts w:eastAsia="Calibri" w:cs="Tahoma"/>
                <w:color w:val="000000"/>
                <w:szCs w:val="18"/>
                <w:vertAlign w:val="superscript"/>
                <w:lang w:val="pt-BR"/>
              </w:rPr>
              <w:t>1</w:t>
            </w:r>
          </w:p>
        </w:tc>
        <w:tc>
          <w:tcPr>
            <w:tcW w:w="4320" w:type="dxa"/>
            <w:shd w:val="clear" w:color="auto" w:fill="auto"/>
          </w:tcPr>
          <w:p w:rsidR="00B26237" w:rsidRPr="00C50FD1" w:rsidRDefault="00B26237" w:rsidP="009B3FA2">
            <w:pPr>
              <w:rPr>
                <w:rFonts w:eastAsia="Calibri" w:cs="Tahoma"/>
                <w:color w:val="000000"/>
                <w:szCs w:val="18"/>
                <w:lang w:val="pt-BR"/>
              </w:rPr>
            </w:pPr>
            <w:r w:rsidRPr="00C50FD1">
              <w:rPr>
                <w:rFonts w:eastAsia="Calibri" w:cs="Tahoma"/>
                <w:color w:val="000000"/>
                <w:szCs w:val="18"/>
                <w:lang w:val="pt-BR"/>
              </w:rPr>
              <w:t>USL Complementar do Office 365 Education A3 para CAL Principal ou ECAL</w:t>
            </w:r>
          </w:p>
        </w:tc>
      </w:tr>
      <w:tr w:rsidR="00B26237" w:rsidRPr="00653421" w:rsidTr="00B42A20">
        <w:tc>
          <w:tcPr>
            <w:tcW w:w="4320" w:type="dxa"/>
            <w:shd w:val="clear" w:color="auto" w:fill="auto"/>
          </w:tcPr>
          <w:p w:rsidR="00B26237" w:rsidRPr="00653421" w:rsidRDefault="00B26237" w:rsidP="00B42A20">
            <w:pPr>
              <w:rPr>
                <w:rFonts w:eastAsia="Calibri" w:cs="Tahoma"/>
                <w:color w:val="000000"/>
                <w:szCs w:val="18"/>
              </w:rPr>
            </w:pPr>
            <w:r w:rsidRPr="00653421">
              <w:rPr>
                <w:rFonts w:eastAsia="Calibri" w:cs="Tahoma"/>
                <w:color w:val="000000"/>
                <w:szCs w:val="18"/>
              </w:rPr>
              <w:t>Office Pro Plus</w:t>
            </w:r>
            <w:r w:rsidRPr="00653421">
              <w:rPr>
                <w:rFonts w:eastAsia="Calibri" w:cs="Tahoma"/>
                <w:color w:val="000000"/>
                <w:szCs w:val="18"/>
                <w:vertAlign w:val="superscript"/>
              </w:rPr>
              <w:t>1</w:t>
            </w:r>
          </w:p>
        </w:tc>
        <w:tc>
          <w:tcPr>
            <w:tcW w:w="4320" w:type="dxa"/>
            <w:shd w:val="clear" w:color="auto" w:fill="auto"/>
          </w:tcPr>
          <w:p w:rsidR="00B26237" w:rsidRPr="00653421" w:rsidRDefault="00B26237" w:rsidP="009B3FA2">
            <w:pPr>
              <w:rPr>
                <w:rFonts w:eastAsia="Calibri" w:cs="Tahoma"/>
                <w:color w:val="000000"/>
                <w:szCs w:val="18"/>
              </w:rPr>
            </w:pPr>
            <w:r w:rsidRPr="00653421">
              <w:rPr>
                <w:rFonts w:eastAsia="Calibri" w:cs="Tahoma"/>
                <w:color w:val="000000"/>
                <w:szCs w:val="18"/>
              </w:rPr>
              <w:t>USL Complementar do Office 365 Education A3 para Office Pro Plus</w:t>
            </w:r>
          </w:p>
        </w:tc>
      </w:tr>
      <w:tr w:rsidR="00B26237" w:rsidRPr="00653421" w:rsidTr="00B42A20">
        <w:tc>
          <w:tcPr>
            <w:tcW w:w="4320" w:type="dxa"/>
            <w:shd w:val="clear" w:color="auto" w:fill="auto"/>
          </w:tcPr>
          <w:p w:rsidR="00B26237" w:rsidRPr="00653421" w:rsidRDefault="00B26237" w:rsidP="00B42A20">
            <w:pPr>
              <w:rPr>
                <w:rFonts w:eastAsia="Calibri" w:cs="Tahoma"/>
                <w:color w:val="000000"/>
                <w:szCs w:val="18"/>
              </w:rPr>
            </w:pPr>
            <w:r w:rsidRPr="00653421">
              <w:rPr>
                <w:rFonts w:eastAsia="Calibri" w:cs="Tahoma"/>
                <w:color w:val="000000"/>
                <w:szCs w:val="18"/>
              </w:rPr>
              <w:t>Pacote de CALs Principais</w:t>
            </w:r>
            <w:r w:rsidRPr="00653421">
              <w:rPr>
                <w:rFonts w:eastAsia="Calibri" w:cs="Tahoma"/>
                <w:color w:val="000000"/>
                <w:szCs w:val="18"/>
                <w:vertAlign w:val="superscript"/>
              </w:rPr>
              <w:t>1</w:t>
            </w:r>
            <w:r w:rsidRPr="00653421">
              <w:rPr>
                <w:rFonts w:eastAsia="Calibri" w:cs="Tahoma"/>
                <w:color w:val="000000"/>
                <w:szCs w:val="18"/>
              </w:rPr>
              <w:t xml:space="preserve"> ou Pacote de ECAL</w:t>
            </w:r>
            <w:r w:rsidRPr="00653421">
              <w:rPr>
                <w:rFonts w:eastAsia="Calibri" w:cs="Tahoma"/>
                <w:color w:val="000000"/>
                <w:szCs w:val="18"/>
                <w:vertAlign w:val="superscript"/>
              </w:rPr>
              <w:t>1</w:t>
            </w:r>
            <w:r w:rsidRPr="00653421">
              <w:rPr>
                <w:rFonts w:eastAsia="Calibri" w:cs="Tahoma"/>
                <w:color w:val="000000"/>
                <w:szCs w:val="18"/>
              </w:rPr>
              <w:t xml:space="preserve"> + Office Pro Plus</w:t>
            </w:r>
            <w:r w:rsidRPr="00653421">
              <w:rPr>
                <w:rFonts w:eastAsia="Calibri" w:cs="Tahoma"/>
                <w:color w:val="000000"/>
                <w:szCs w:val="18"/>
                <w:vertAlign w:val="superscript"/>
              </w:rPr>
              <w:t>1</w:t>
            </w:r>
          </w:p>
        </w:tc>
        <w:tc>
          <w:tcPr>
            <w:tcW w:w="4320" w:type="dxa"/>
            <w:shd w:val="clear" w:color="auto" w:fill="auto"/>
          </w:tcPr>
          <w:p w:rsidR="00B26237" w:rsidRPr="00653421" w:rsidRDefault="00B26237" w:rsidP="009B3FA2">
            <w:pPr>
              <w:rPr>
                <w:rFonts w:eastAsia="Calibri" w:cs="Tahoma"/>
                <w:color w:val="000000"/>
                <w:szCs w:val="18"/>
              </w:rPr>
            </w:pPr>
            <w:r w:rsidRPr="00653421">
              <w:rPr>
                <w:rFonts w:eastAsia="Calibri" w:cs="Tahoma"/>
                <w:color w:val="000000"/>
                <w:szCs w:val="18"/>
              </w:rPr>
              <w:t>USL Complementar do Office 365 Education A3 para CAL Principal ou ECAL + Office Pro Plus</w:t>
            </w:r>
          </w:p>
        </w:tc>
      </w:tr>
      <w:tr w:rsidR="00B26237" w:rsidRPr="00C50FD1" w:rsidTr="00B42A20">
        <w:tc>
          <w:tcPr>
            <w:tcW w:w="4320" w:type="dxa"/>
            <w:shd w:val="clear" w:color="auto" w:fill="auto"/>
          </w:tcPr>
          <w:p w:rsidR="00B26237" w:rsidRPr="00C50FD1" w:rsidRDefault="00B26237" w:rsidP="00B42A20">
            <w:pPr>
              <w:rPr>
                <w:rFonts w:eastAsia="Calibri" w:cs="Tahoma"/>
                <w:color w:val="000000"/>
                <w:szCs w:val="18"/>
                <w:lang w:val="pt-BR"/>
              </w:rPr>
            </w:pPr>
            <w:r w:rsidRPr="00C50FD1">
              <w:rPr>
                <w:rFonts w:eastAsia="Calibri" w:cs="Tahoma"/>
                <w:color w:val="000000"/>
                <w:szCs w:val="18"/>
                <w:lang w:val="pt-BR"/>
              </w:rPr>
              <w:t>Pacote de CALs Principais</w:t>
            </w:r>
            <w:r w:rsidRPr="00C50FD1">
              <w:rPr>
                <w:rFonts w:eastAsia="Calibri" w:cs="Tahoma"/>
                <w:color w:val="000000"/>
                <w:szCs w:val="18"/>
                <w:vertAlign w:val="superscript"/>
                <w:lang w:val="pt-BR"/>
              </w:rPr>
              <w:t>1</w:t>
            </w:r>
            <w:r w:rsidRPr="00C50FD1">
              <w:rPr>
                <w:rFonts w:eastAsia="Calibri" w:cs="Tahoma"/>
                <w:color w:val="000000"/>
                <w:szCs w:val="18"/>
                <w:lang w:val="pt-BR"/>
              </w:rPr>
              <w:t xml:space="preserve"> ou Pacote de ECAL</w:t>
            </w:r>
            <w:r w:rsidRPr="00C50FD1">
              <w:rPr>
                <w:rFonts w:eastAsia="Calibri" w:cs="Tahoma"/>
                <w:color w:val="000000"/>
                <w:szCs w:val="18"/>
                <w:vertAlign w:val="superscript"/>
                <w:lang w:val="pt-BR"/>
              </w:rPr>
              <w:t>1</w:t>
            </w:r>
          </w:p>
        </w:tc>
        <w:tc>
          <w:tcPr>
            <w:tcW w:w="4320" w:type="dxa"/>
            <w:shd w:val="clear" w:color="auto" w:fill="auto"/>
          </w:tcPr>
          <w:p w:rsidR="00B26237" w:rsidRPr="00C50FD1" w:rsidRDefault="00B26237" w:rsidP="009B3FA2">
            <w:pPr>
              <w:rPr>
                <w:rFonts w:eastAsia="Calibri" w:cs="Tahoma"/>
                <w:color w:val="000000"/>
                <w:szCs w:val="18"/>
                <w:lang w:val="pt-BR"/>
              </w:rPr>
            </w:pPr>
            <w:r w:rsidRPr="00C50FD1">
              <w:rPr>
                <w:rFonts w:eastAsia="Calibri" w:cs="Tahoma"/>
                <w:color w:val="000000"/>
                <w:szCs w:val="18"/>
                <w:lang w:val="pt-BR"/>
              </w:rPr>
              <w:t>USL Complementar do Office 365 Education A4 para CAL Principal ou ECAL</w:t>
            </w:r>
          </w:p>
        </w:tc>
      </w:tr>
      <w:tr w:rsidR="00B26237" w:rsidRPr="00653421" w:rsidTr="00B42A20">
        <w:tc>
          <w:tcPr>
            <w:tcW w:w="4320" w:type="dxa"/>
            <w:shd w:val="clear" w:color="auto" w:fill="auto"/>
          </w:tcPr>
          <w:p w:rsidR="00B26237" w:rsidRPr="00653421" w:rsidRDefault="00B26237" w:rsidP="00B42A20">
            <w:pPr>
              <w:rPr>
                <w:rFonts w:eastAsia="Calibri" w:cs="Tahoma"/>
                <w:color w:val="000000"/>
                <w:szCs w:val="18"/>
              </w:rPr>
            </w:pPr>
            <w:r w:rsidRPr="00653421">
              <w:rPr>
                <w:rFonts w:eastAsia="Calibri" w:cs="Tahoma"/>
                <w:color w:val="000000"/>
                <w:szCs w:val="18"/>
              </w:rPr>
              <w:t>Office Pro Plus</w:t>
            </w:r>
            <w:r w:rsidRPr="00653421">
              <w:rPr>
                <w:rFonts w:eastAsia="Calibri" w:cs="Tahoma"/>
                <w:color w:val="000000"/>
                <w:szCs w:val="18"/>
                <w:vertAlign w:val="superscript"/>
              </w:rPr>
              <w:t>1</w:t>
            </w:r>
          </w:p>
        </w:tc>
        <w:tc>
          <w:tcPr>
            <w:tcW w:w="4320" w:type="dxa"/>
            <w:shd w:val="clear" w:color="auto" w:fill="auto"/>
          </w:tcPr>
          <w:p w:rsidR="00B26237" w:rsidRPr="00653421" w:rsidRDefault="00B26237" w:rsidP="009B3FA2">
            <w:pPr>
              <w:rPr>
                <w:rFonts w:eastAsia="Calibri" w:cs="Tahoma"/>
                <w:color w:val="000000"/>
                <w:szCs w:val="18"/>
              </w:rPr>
            </w:pPr>
            <w:r w:rsidRPr="00653421">
              <w:rPr>
                <w:rFonts w:eastAsia="Calibri" w:cs="Tahoma"/>
                <w:color w:val="000000"/>
                <w:szCs w:val="18"/>
              </w:rPr>
              <w:t>USL Complementar do Office 365 Education A4 para Office Pro Plus</w:t>
            </w:r>
          </w:p>
        </w:tc>
      </w:tr>
      <w:tr w:rsidR="00B26237" w:rsidRPr="00653421" w:rsidTr="00B42A20">
        <w:tc>
          <w:tcPr>
            <w:tcW w:w="4320" w:type="dxa"/>
            <w:shd w:val="clear" w:color="auto" w:fill="auto"/>
          </w:tcPr>
          <w:p w:rsidR="00B26237" w:rsidRPr="00653421" w:rsidRDefault="00B26237" w:rsidP="00B42A20">
            <w:pPr>
              <w:rPr>
                <w:rFonts w:eastAsia="Calibri" w:cs="Tahoma"/>
                <w:color w:val="000000"/>
                <w:szCs w:val="18"/>
              </w:rPr>
            </w:pPr>
            <w:r w:rsidRPr="00653421">
              <w:rPr>
                <w:rFonts w:eastAsia="Calibri" w:cs="Tahoma"/>
                <w:color w:val="000000"/>
                <w:szCs w:val="18"/>
              </w:rPr>
              <w:t>Pacote de CALs Principais ou Pacote de ECAL</w:t>
            </w:r>
            <w:r w:rsidRPr="00653421">
              <w:rPr>
                <w:rFonts w:eastAsia="Calibri" w:cs="Tahoma"/>
                <w:color w:val="000000"/>
                <w:szCs w:val="18"/>
                <w:vertAlign w:val="superscript"/>
              </w:rPr>
              <w:t>1</w:t>
            </w:r>
            <w:r w:rsidRPr="00653421">
              <w:rPr>
                <w:rFonts w:eastAsia="Calibri" w:cs="Tahoma"/>
                <w:color w:val="000000"/>
                <w:szCs w:val="18"/>
              </w:rPr>
              <w:t xml:space="preserve"> + Office Pro Plus</w:t>
            </w:r>
            <w:r w:rsidRPr="00653421">
              <w:rPr>
                <w:rFonts w:eastAsia="Calibri" w:cs="Tahoma"/>
                <w:color w:val="000000"/>
                <w:szCs w:val="18"/>
                <w:vertAlign w:val="superscript"/>
              </w:rPr>
              <w:t>1</w:t>
            </w:r>
          </w:p>
        </w:tc>
        <w:tc>
          <w:tcPr>
            <w:tcW w:w="4320" w:type="dxa"/>
            <w:shd w:val="clear" w:color="auto" w:fill="auto"/>
          </w:tcPr>
          <w:p w:rsidR="00B26237" w:rsidRPr="00653421" w:rsidRDefault="00B26237" w:rsidP="009B3FA2">
            <w:pPr>
              <w:rPr>
                <w:rFonts w:eastAsia="Calibri" w:cs="Tahoma"/>
                <w:color w:val="000000"/>
                <w:szCs w:val="18"/>
              </w:rPr>
            </w:pPr>
            <w:r w:rsidRPr="00653421">
              <w:rPr>
                <w:rFonts w:eastAsia="Calibri" w:cs="Tahoma"/>
                <w:color w:val="000000"/>
                <w:szCs w:val="18"/>
              </w:rPr>
              <w:t>USL Complementar do Office 365 Education A4 para CAL Principal ou ECAL + Office Pro Plus</w:t>
            </w:r>
          </w:p>
        </w:tc>
      </w:tr>
    </w:tbl>
    <w:p w:rsidR="00B26237" w:rsidRPr="00653421" w:rsidRDefault="00B26237" w:rsidP="00B26237">
      <w:pPr>
        <w:ind w:left="900"/>
      </w:pPr>
      <w:r w:rsidRPr="00653421">
        <w:rPr>
          <w:rFonts w:eastAsia="Calibri" w:cs="Tahoma"/>
          <w:i/>
          <w:color w:val="000000"/>
          <w:sz w:val="16"/>
          <w:szCs w:val="18"/>
          <w:vertAlign w:val="superscript"/>
        </w:rPr>
        <w:t>1</w:t>
      </w:r>
      <w:r w:rsidRPr="00653421">
        <w:rPr>
          <w:rFonts w:eastAsia="Calibri" w:cs="Tahoma"/>
          <w:i/>
          <w:color w:val="000000"/>
          <w:sz w:val="16"/>
          <w:szCs w:val="18"/>
        </w:rPr>
        <w:t>Com Software Assurance Ativo</w:t>
      </w:r>
    </w:p>
    <w:p w:rsidR="00B26237" w:rsidRPr="00653421" w:rsidRDefault="00B26237" w:rsidP="00B26237">
      <w:pPr>
        <w:ind w:left="720"/>
      </w:pPr>
    </w:p>
    <w:p w:rsidR="00B26237" w:rsidRPr="00C50FD1" w:rsidRDefault="00B26237" w:rsidP="00B26237">
      <w:pPr>
        <w:ind w:left="720"/>
        <w:rPr>
          <w:lang w:val="pt-BR"/>
        </w:rPr>
      </w:pPr>
      <w:r w:rsidRPr="00C50FD1">
        <w:rPr>
          <w:rFonts w:eastAsia="Calibri" w:cs="Tahoma"/>
          <w:iCs/>
          <w:color w:val="000000"/>
          <w:szCs w:val="18"/>
          <w:lang w:val="pt-BR"/>
        </w:rPr>
        <w:t>As Instituições com USLs do Office 365 Education A3 ou Office Education A4 cedidas para todo o corpo docente e funcionários poderão instalar o software Office Professional Plus 2010 em qualquer laboratório de</w:t>
      </w:r>
      <w:r w:rsidR="007B0512" w:rsidRPr="00C50FD1">
        <w:rPr>
          <w:rFonts w:eastAsia="Calibri" w:cs="Tahoma"/>
          <w:iCs/>
          <w:color w:val="000000"/>
          <w:szCs w:val="18"/>
          <w:lang w:val="pt-BR"/>
        </w:rPr>
        <w:t> </w:t>
      </w:r>
      <w:r w:rsidRPr="00C50FD1">
        <w:rPr>
          <w:rFonts w:eastAsia="Calibri" w:cs="Tahoma"/>
          <w:iCs/>
          <w:color w:val="000000"/>
          <w:szCs w:val="18"/>
          <w:lang w:val="pt-BR"/>
        </w:rPr>
        <w:t>acesso aberto ou biblioteca da Organização da Instituição.</w:t>
      </w:r>
      <w:r w:rsidR="005A52A2" w:rsidRPr="00C50FD1">
        <w:rPr>
          <w:rFonts w:eastAsia="Calibri" w:cs="Tahoma"/>
          <w:iCs/>
          <w:color w:val="000000"/>
          <w:szCs w:val="18"/>
          <w:lang w:val="pt-BR"/>
        </w:rPr>
        <w:t xml:space="preserve"> </w:t>
      </w:r>
      <w:r w:rsidRPr="00C50FD1">
        <w:rPr>
          <w:rFonts w:eastAsia="Calibri" w:cs="Tahoma"/>
          <w:iCs/>
          <w:color w:val="000000"/>
          <w:szCs w:val="18"/>
          <w:lang w:val="pt-BR"/>
        </w:rPr>
        <w:t>O uso do software está sujeito aos termos de</w:t>
      </w:r>
      <w:r w:rsidR="007B0512" w:rsidRPr="00C50FD1">
        <w:rPr>
          <w:rFonts w:eastAsia="Calibri" w:cs="Tahoma"/>
          <w:iCs/>
          <w:color w:val="000000"/>
          <w:szCs w:val="18"/>
          <w:lang w:val="pt-BR"/>
        </w:rPr>
        <w:t> </w:t>
      </w:r>
      <w:r w:rsidRPr="00C50FD1">
        <w:rPr>
          <w:rFonts w:eastAsia="Calibri" w:cs="Tahoma"/>
          <w:iCs/>
          <w:color w:val="000000"/>
          <w:szCs w:val="18"/>
          <w:lang w:val="pt-BR"/>
        </w:rPr>
        <w:t>licença para o Office Pro Plus 2010.</w:t>
      </w:r>
      <w:r w:rsidR="005A52A2" w:rsidRPr="00C50FD1">
        <w:rPr>
          <w:rFonts w:eastAsia="Calibri" w:cs="Tahoma"/>
          <w:iCs/>
          <w:color w:val="000000"/>
          <w:szCs w:val="18"/>
          <w:lang w:val="pt-BR"/>
        </w:rPr>
        <w:t xml:space="preserve"> </w:t>
      </w:r>
    </w:p>
    <w:p w:rsidR="00B26237" w:rsidRPr="00C50FD1" w:rsidRDefault="00B26237" w:rsidP="00B26237">
      <w:pPr>
        <w:ind w:left="720"/>
        <w:rPr>
          <w:lang w:val="pt-BR"/>
        </w:rPr>
      </w:pPr>
    </w:p>
    <w:p w:rsidR="007B0512" w:rsidRPr="00C50FD1" w:rsidRDefault="007B0512" w:rsidP="00B26237">
      <w:pPr>
        <w:ind w:left="720"/>
        <w:rPr>
          <w:lang w:val="pt-BR"/>
        </w:rPr>
      </w:pPr>
    </w:p>
    <w:p w:rsidR="00B26237" w:rsidRPr="00C50FD1" w:rsidRDefault="00B26237" w:rsidP="00810479">
      <w:pPr>
        <w:pStyle w:val="FootnoteBulletLevel2"/>
        <w:tabs>
          <w:tab w:val="clear" w:pos="1260"/>
        </w:tabs>
        <w:spacing w:before="0"/>
        <w:ind w:left="720" w:firstLine="0"/>
        <w:rPr>
          <w:lang w:val="pt-BR"/>
        </w:rPr>
      </w:pPr>
      <w:r w:rsidRPr="00C50FD1">
        <w:rPr>
          <w:rFonts w:ascii="Tahoma" w:eastAsia="Calibri" w:hAnsi="Tahoma" w:cs="Tahoma"/>
          <w:color w:val="000000"/>
          <w:sz w:val="18"/>
          <w:szCs w:val="18"/>
          <w:lang w:val="pt-BR"/>
        </w:rPr>
        <w:lastRenderedPageBreak/>
        <w:t>O Lync Online Plan 1A e Plan 2A exigem a compra e instalação separada do Microsoft Lync 2013 (ou Lync 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w:t>
      </w:r>
      <w:r w:rsidR="007B0512"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ser usado com o Lync Online, e todos os direitos de uso do software se encerrarão ao término da licença de</w:t>
      </w:r>
      <w:r w:rsidR="007B0512"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assinatura básica ou da migração para a próxima nova versão principal do Lync Online, o que ocorrer primeiro.</w:t>
      </w:r>
      <w:r w:rsidR="005A52A2" w:rsidRPr="00C50FD1">
        <w:rPr>
          <w:rFonts w:ascii="Tahoma" w:eastAsia="Calibri" w:hAnsi="Tahoma" w:cs="Tahoma"/>
          <w:color w:val="000000"/>
          <w:sz w:val="18"/>
          <w:szCs w:val="18"/>
          <w:lang w:val="pt-BR"/>
        </w:rPr>
        <w:t xml:space="preserve"> </w:t>
      </w:r>
      <w:r w:rsidRPr="00C50FD1">
        <w:rPr>
          <w:rFonts w:ascii="Tahoma" w:eastAsia="Calibri" w:hAnsi="Tahoma" w:cs="Tahoma"/>
          <w:color w:val="000000"/>
          <w:sz w:val="18"/>
          <w:szCs w:val="18"/>
          <w:lang w:val="pt-BR"/>
        </w:rPr>
        <w:t>Os clientes podem usar o cliente gratuito Lync Basic 2013 para seus usuários finais com base em Windows.</w:t>
      </w:r>
    </w:p>
    <w:p w:rsidR="00B26237" w:rsidRPr="00C50FD1" w:rsidRDefault="00B26237" w:rsidP="00E03856">
      <w:pPr>
        <w:pStyle w:val="FootnoteBulletLevel2"/>
        <w:tabs>
          <w:tab w:val="clear" w:pos="1260"/>
        </w:tabs>
        <w:spacing w:before="0"/>
        <w:ind w:left="0" w:firstLine="0"/>
        <w:rPr>
          <w:rFonts w:ascii="Tahoma" w:hAnsi="Tahoma" w:cs="Tahoma"/>
          <w:sz w:val="18"/>
          <w:szCs w:val="18"/>
          <w:lang w:val="pt-BR"/>
        </w:rPr>
      </w:pPr>
    </w:p>
    <w:p w:rsidR="00B26237" w:rsidRPr="00C50FD1" w:rsidRDefault="00B26237" w:rsidP="00D16EA8">
      <w:pPr>
        <w:pStyle w:val="FootnoteBulletLevel2"/>
        <w:tabs>
          <w:tab w:val="clear" w:pos="1260"/>
        </w:tabs>
        <w:spacing w:before="0"/>
        <w:ind w:left="0" w:firstLine="0"/>
        <w:rPr>
          <w:rFonts w:ascii="Tahoma" w:hAnsi="Tahoma" w:cs="Tahoma"/>
          <w:sz w:val="18"/>
          <w:szCs w:val="18"/>
          <w:lang w:val="pt-BR"/>
        </w:rPr>
      </w:pPr>
    </w:p>
    <w:p w:rsidR="00996781" w:rsidRPr="00C50FD1" w:rsidRDefault="00B54C21" w:rsidP="00B26237">
      <w:pPr>
        <w:pStyle w:val="Heading2"/>
        <w:ind w:left="0"/>
        <w:rPr>
          <w:lang w:val="pt-BR"/>
        </w:rPr>
      </w:pPr>
      <w:bookmarkStart w:id="1028" w:name="_7_Office_365"/>
      <w:bookmarkStart w:id="1029" w:name="_65_Office_365"/>
      <w:bookmarkStart w:id="1030" w:name="_5_Office_365"/>
      <w:bookmarkStart w:id="1031" w:name="_Toc353470909"/>
      <w:bookmarkStart w:id="1032" w:name="_Toc336338263"/>
      <w:bookmarkEnd w:id="1028"/>
      <w:bookmarkEnd w:id="1029"/>
      <w:bookmarkEnd w:id="1030"/>
      <w:r w:rsidRPr="00C50FD1">
        <w:rPr>
          <w:rFonts w:ascii="Tahoma" w:hAnsi="Tahoma" w:cs="Tahoma"/>
          <w:caps/>
          <w:color w:val="FF6600"/>
          <w:sz w:val="22"/>
          <w:szCs w:val="22"/>
          <w:vertAlign w:val="superscript"/>
          <w:lang w:val="pt-BR"/>
        </w:rPr>
        <w:t>5</w:t>
      </w:r>
      <w:r w:rsidRPr="00C50FD1">
        <w:rPr>
          <w:rFonts w:ascii="Tahoma" w:hAnsi="Tahoma" w:cs="Tahoma"/>
          <w:color w:val="FF6600"/>
          <w:lang w:val="pt-BR"/>
        </w:rPr>
        <w:t xml:space="preserve"> </w:t>
      </w:r>
      <w:r w:rsidRPr="00C50FD1">
        <w:rPr>
          <w:rFonts w:ascii="Tahoma" w:hAnsi="Tahoma" w:cs="Tahoma"/>
          <w:color w:val="FF6600"/>
          <w:sz w:val="22"/>
          <w:szCs w:val="22"/>
          <w:lang w:val="pt-BR"/>
        </w:rPr>
        <w:t>Office 365 Midsize Business</w:t>
      </w:r>
      <w:bookmarkEnd w:id="1031"/>
    </w:p>
    <w:p w:rsidR="00996781" w:rsidRPr="00C50FD1" w:rsidRDefault="00996781" w:rsidP="00996781">
      <w:pPr>
        <w:ind w:left="720"/>
        <w:rPr>
          <w:lang w:val="pt-BR"/>
        </w:rPr>
      </w:pPr>
    </w:p>
    <w:p w:rsidR="00996781" w:rsidRPr="00C50FD1" w:rsidRDefault="00996781" w:rsidP="00996781">
      <w:pPr>
        <w:ind w:left="720"/>
        <w:rPr>
          <w:lang w:val="pt-BR"/>
        </w:rPr>
      </w:pPr>
      <w:r w:rsidRPr="00C50FD1">
        <w:rPr>
          <w:color w:val="000000"/>
          <w:lang w:val="pt-BR"/>
        </w:rPr>
        <w:t>O Office 365 Midsized Business é direcionado a clientes com um tamanho de organização de 10 a 250</w:t>
      </w:r>
      <w:r w:rsidR="007B0512" w:rsidRPr="00C50FD1">
        <w:rPr>
          <w:color w:val="000000"/>
          <w:lang w:val="pt-BR"/>
        </w:rPr>
        <w:t> </w:t>
      </w:r>
      <w:r w:rsidRPr="00C50FD1">
        <w:rPr>
          <w:color w:val="000000"/>
          <w:lang w:val="pt-BR"/>
        </w:rPr>
        <w:t>posições.</w:t>
      </w:r>
      <w:r w:rsidR="005A52A2" w:rsidRPr="00C50FD1">
        <w:rPr>
          <w:color w:val="000000"/>
          <w:lang w:val="pt-BR"/>
        </w:rPr>
        <w:t xml:space="preserve"> </w:t>
      </w:r>
      <w:r w:rsidRPr="00C50FD1">
        <w:rPr>
          <w:color w:val="000000"/>
          <w:lang w:val="pt-BR"/>
        </w:rPr>
        <w:t>Ele é vendido apenas nos Programas Licença Open, Open Value e Open Value Subscription.</w:t>
      </w:r>
      <w:r w:rsidR="005A52A2" w:rsidRPr="00C50FD1">
        <w:rPr>
          <w:color w:val="000000"/>
          <w:lang w:val="pt-BR"/>
        </w:rPr>
        <w:t xml:space="preserve"> </w:t>
      </w:r>
      <w:r w:rsidRPr="00C50FD1">
        <w:rPr>
          <w:color w:val="000000"/>
          <w:lang w:val="pt-BR"/>
        </w:rPr>
        <w:t xml:space="preserve">Mediante a compra do Office 365 Midsized Business, uma chave de produto será emitida permitindo a ativação do serviço. </w:t>
      </w:r>
    </w:p>
    <w:p w:rsidR="00996781" w:rsidRPr="00C50FD1" w:rsidRDefault="00996781" w:rsidP="00996781">
      <w:pPr>
        <w:ind w:left="720"/>
        <w:rPr>
          <w:lang w:val="pt-BR"/>
        </w:rPr>
      </w:pPr>
    </w:p>
    <w:p w:rsidR="00996781" w:rsidRPr="00C50FD1" w:rsidRDefault="00996781" w:rsidP="00996781">
      <w:pPr>
        <w:ind w:left="720"/>
        <w:rPr>
          <w:lang w:val="pt-BR"/>
        </w:rPr>
      </w:pPr>
      <w:r w:rsidRPr="00C50FD1">
        <w:rPr>
          <w:color w:val="000000"/>
          <w:lang w:val="pt-BR"/>
        </w:rPr>
        <w:t>O Office 365 Midsized Business é vendido como um método de pagamento adiantado de um ano.</w:t>
      </w:r>
      <w:r w:rsidR="005A52A2" w:rsidRPr="00C50FD1">
        <w:rPr>
          <w:color w:val="000000"/>
          <w:lang w:val="pt-BR"/>
        </w:rPr>
        <w:t xml:space="preserve"> </w:t>
      </w:r>
      <w:r w:rsidRPr="00C50FD1">
        <w:rPr>
          <w:color w:val="000000"/>
          <w:lang w:val="pt-BR"/>
        </w:rPr>
        <w:t>A data de</w:t>
      </w:r>
      <w:r w:rsidR="007B0512" w:rsidRPr="00C50FD1">
        <w:rPr>
          <w:color w:val="000000"/>
          <w:lang w:val="pt-BR"/>
        </w:rPr>
        <w:t> </w:t>
      </w:r>
      <w:r w:rsidRPr="00C50FD1">
        <w:rPr>
          <w:color w:val="000000"/>
          <w:lang w:val="pt-BR"/>
        </w:rPr>
        <w:t>início e término da assinatura de serviço é independente do prazo do contrato de Licenciamento por Volume.</w:t>
      </w:r>
      <w:r w:rsidR="005A52A2" w:rsidRPr="00C50FD1">
        <w:rPr>
          <w:color w:val="000000"/>
          <w:lang w:val="pt-BR"/>
        </w:rPr>
        <w:t xml:space="preserve"> </w:t>
      </w:r>
      <w:r w:rsidRPr="00C50FD1">
        <w:rPr>
          <w:color w:val="000000"/>
          <w:lang w:val="pt-BR"/>
        </w:rPr>
        <w:t>O período de assinatura começa na hora da ativação da chave do produto e não na hora do pedido.</w:t>
      </w:r>
      <w:r w:rsidR="005A52A2" w:rsidRPr="00C50FD1">
        <w:rPr>
          <w:color w:val="000000"/>
          <w:lang w:val="pt-BR"/>
        </w:rPr>
        <w:t xml:space="preserve"> </w:t>
      </w:r>
      <w:r w:rsidRPr="00C50FD1">
        <w:rPr>
          <w:color w:val="000000"/>
          <w:lang w:val="pt-BR"/>
        </w:rPr>
        <w:t>Assim que a Chave do Produto do Office 365 for ativada, a Microsoft não aceitará solicitações de</w:t>
      </w:r>
      <w:r w:rsidR="007B0512" w:rsidRPr="00C50FD1">
        <w:rPr>
          <w:color w:val="000000"/>
          <w:lang w:val="pt-BR"/>
        </w:rPr>
        <w:t> </w:t>
      </w:r>
      <w:r w:rsidRPr="00C50FD1">
        <w:rPr>
          <w:color w:val="000000"/>
          <w:lang w:val="pt-BR"/>
        </w:rPr>
        <w:t xml:space="preserve">devolução enviadas por nossos parceiros. </w:t>
      </w:r>
    </w:p>
    <w:p w:rsidR="00996781" w:rsidRPr="00C50FD1" w:rsidRDefault="00996781" w:rsidP="00996781">
      <w:pPr>
        <w:ind w:left="720"/>
        <w:rPr>
          <w:lang w:val="pt-BR"/>
        </w:rPr>
      </w:pPr>
    </w:p>
    <w:p w:rsidR="00996781" w:rsidRPr="00C50FD1" w:rsidRDefault="00996781" w:rsidP="00996781">
      <w:pPr>
        <w:ind w:left="720"/>
        <w:rPr>
          <w:lang w:val="pt-BR"/>
        </w:rPr>
      </w:pPr>
      <w:r w:rsidRPr="00C50FD1">
        <w:rPr>
          <w:color w:val="000000"/>
          <w:lang w:val="pt-BR"/>
        </w:rPr>
        <w:t>Clientes Finais que possuem um Contrato Open Value/Open Value Subscription ativo com um compromisso em toda a organização para o Office Pro Plus e/ou Pacote de Licenças de Acesso para Cliente por um preço reduzido do Office 365 Midsized Business.</w:t>
      </w:r>
      <w:r w:rsidR="005A52A2" w:rsidRPr="00C50FD1">
        <w:rPr>
          <w:color w:val="000000"/>
          <w:lang w:val="pt-BR"/>
        </w:rPr>
        <w:t xml:space="preserve"> </w:t>
      </w:r>
      <w:r w:rsidRPr="00C50FD1">
        <w:rPr>
          <w:color w:val="000000"/>
          <w:lang w:val="pt-BR"/>
        </w:rPr>
        <w:t>Esta oferta é chamada de Oferta Open Value do Office 365, e</w:t>
      </w:r>
      <w:r w:rsidR="007B0512" w:rsidRPr="00C50FD1">
        <w:rPr>
          <w:color w:val="000000"/>
          <w:lang w:val="pt-BR"/>
        </w:rPr>
        <w:t> </w:t>
      </w:r>
      <w:r w:rsidRPr="00C50FD1">
        <w:rPr>
          <w:color w:val="000000"/>
          <w:lang w:val="pt-BR"/>
        </w:rPr>
        <w:t>o</w:t>
      </w:r>
      <w:r w:rsidR="007B0512" w:rsidRPr="00C50FD1">
        <w:rPr>
          <w:color w:val="000000"/>
          <w:lang w:val="pt-BR"/>
        </w:rPr>
        <w:t> </w:t>
      </w:r>
      <w:r w:rsidRPr="00C50FD1">
        <w:rPr>
          <w:color w:val="000000"/>
          <w:lang w:val="pt-BR"/>
        </w:rPr>
        <w:t xml:space="preserve">cliente pode entrar em contato com seu revendedor para obter detalhes adicionais. </w:t>
      </w:r>
    </w:p>
    <w:p w:rsidR="00996781" w:rsidRPr="00C50FD1" w:rsidRDefault="00996781" w:rsidP="00996781">
      <w:pPr>
        <w:ind w:left="720"/>
        <w:rPr>
          <w:lang w:val="pt-BR"/>
        </w:rPr>
      </w:pPr>
    </w:p>
    <w:p w:rsidR="00996781" w:rsidRPr="00C50FD1" w:rsidRDefault="00996781" w:rsidP="00996781">
      <w:pPr>
        <w:ind w:left="720"/>
        <w:rPr>
          <w:lang w:val="pt-BR"/>
        </w:rPr>
      </w:pPr>
      <w:r w:rsidRPr="00C50FD1">
        <w:rPr>
          <w:color w:val="000000"/>
          <w:lang w:val="pt-BR"/>
        </w:rPr>
        <w:t>Os Direitos de Uso de Produto atuais prevalecerão caso haja conflitos entre os termos da licença do Office</w:t>
      </w:r>
      <w:r w:rsidR="007B0512" w:rsidRPr="00C50FD1">
        <w:rPr>
          <w:color w:val="000000"/>
          <w:lang w:val="pt-BR"/>
        </w:rPr>
        <w:t> </w:t>
      </w:r>
      <w:r w:rsidRPr="00C50FD1">
        <w:rPr>
          <w:color w:val="000000"/>
          <w:lang w:val="pt-BR"/>
        </w:rPr>
        <w:t>365 Midsized Business e esta observação.</w:t>
      </w:r>
    </w:p>
    <w:p w:rsidR="00996781" w:rsidRPr="00C50FD1" w:rsidRDefault="00996781" w:rsidP="00B26237">
      <w:pPr>
        <w:pStyle w:val="Heading2"/>
        <w:ind w:left="0"/>
        <w:rPr>
          <w:rFonts w:ascii="Tahoma" w:hAnsi="Tahoma" w:cs="Tahoma"/>
          <w:sz w:val="18"/>
          <w:szCs w:val="18"/>
          <w:lang w:val="pt-BR"/>
        </w:rPr>
      </w:pPr>
    </w:p>
    <w:p w:rsidR="00996781" w:rsidRPr="00C50FD1" w:rsidRDefault="00996781" w:rsidP="00B26237">
      <w:pPr>
        <w:pStyle w:val="Heading2"/>
        <w:ind w:left="0"/>
        <w:rPr>
          <w:rFonts w:ascii="Tahoma" w:hAnsi="Tahoma" w:cs="Tahoma"/>
          <w:sz w:val="18"/>
          <w:szCs w:val="18"/>
          <w:lang w:val="pt-BR"/>
        </w:rPr>
      </w:pPr>
    </w:p>
    <w:p w:rsidR="00B26237" w:rsidRPr="00C50FD1" w:rsidRDefault="004668D9" w:rsidP="00B26237">
      <w:pPr>
        <w:pStyle w:val="Heading2"/>
        <w:ind w:left="0"/>
        <w:rPr>
          <w:lang w:val="pt-BR"/>
        </w:rPr>
      </w:pPr>
      <w:bookmarkStart w:id="1033" w:name="_6_Office_365_1"/>
      <w:bookmarkStart w:id="1034" w:name="_Toc353470910"/>
      <w:bookmarkEnd w:id="1033"/>
      <w:r w:rsidRPr="00C50FD1">
        <w:rPr>
          <w:rFonts w:ascii="Tahoma" w:hAnsi="Tahoma" w:cs="Tahoma"/>
          <w:caps/>
          <w:color w:val="FF6600"/>
          <w:sz w:val="22"/>
          <w:szCs w:val="22"/>
          <w:vertAlign w:val="superscript"/>
          <w:lang w:val="pt-BR"/>
        </w:rPr>
        <w:t>6</w:t>
      </w:r>
      <w:r w:rsidRPr="00C50FD1">
        <w:rPr>
          <w:rFonts w:ascii="Tahoma" w:hAnsi="Tahoma" w:cs="Tahoma"/>
          <w:caps/>
          <w:color w:val="FF6600"/>
          <w:sz w:val="22"/>
          <w:szCs w:val="22"/>
          <w:lang w:val="pt-BR"/>
        </w:rPr>
        <w:t xml:space="preserve"> </w:t>
      </w:r>
      <w:r w:rsidRPr="00C50FD1">
        <w:rPr>
          <w:rFonts w:ascii="Tahoma" w:hAnsi="Tahoma" w:cs="Tahoma"/>
          <w:color w:val="FF6600"/>
          <w:sz w:val="22"/>
          <w:szCs w:val="22"/>
          <w:lang w:val="pt-BR"/>
        </w:rPr>
        <w:t>Office 365 Enterprise E2-E4</w:t>
      </w:r>
      <w:bookmarkEnd w:id="1032"/>
      <w:bookmarkEnd w:id="1034"/>
    </w:p>
    <w:p w:rsidR="00B26237" w:rsidRPr="00C50FD1" w:rsidRDefault="00B26237" w:rsidP="00AE5A9F">
      <w:pPr>
        <w:rPr>
          <w:lang w:val="pt-BR"/>
        </w:rPr>
      </w:pPr>
    </w:p>
    <w:p w:rsidR="00B26237" w:rsidRPr="00C50FD1" w:rsidRDefault="00B26237" w:rsidP="00B26237">
      <w:pPr>
        <w:ind w:left="720"/>
        <w:rPr>
          <w:lang w:val="pt-BR"/>
        </w:rPr>
      </w:pPr>
      <w:r w:rsidRPr="00C50FD1">
        <w:rPr>
          <w:color w:val="000000"/>
          <w:lang w:val="pt-BR"/>
        </w:rPr>
        <w:t>O Office 365 Planos E2-E4 permite acesso aos seguintes Serviços Online:</w:t>
      </w:r>
    </w:p>
    <w:p w:rsidR="00B26237" w:rsidRPr="00C50FD1" w:rsidRDefault="00B26237" w:rsidP="00B26237">
      <w:pPr>
        <w:rPr>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653421" w:rsidTr="007E466C">
        <w:tc>
          <w:tcPr>
            <w:tcW w:w="2760" w:type="dxa"/>
            <w:shd w:val="clear" w:color="auto" w:fill="FABF8F"/>
          </w:tcPr>
          <w:p w:rsidR="00B26237" w:rsidRPr="00653421" w:rsidRDefault="00B26237" w:rsidP="009B3FA2">
            <w:pPr>
              <w:jc w:val="center"/>
              <w:rPr>
                <w:rFonts w:eastAsia="Calibri"/>
                <w:b/>
                <w:color w:val="000000"/>
                <w:sz w:val="20"/>
              </w:rPr>
            </w:pPr>
            <w:r w:rsidRPr="00653421">
              <w:rPr>
                <w:rFonts w:eastAsia="Calibri"/>
                <w:b/>
                <w:color w:val="000000"/>
                <w:sz w:val="20"/>
              </w:rPr>
              <w:t>Office 365 Enterprise E2</w:t>
            </w:r>
          </w:p>
        </w:tc>
        <w:tc>
          <w:tcPr>
            <w:tcW w:w="2765" w:type="dxa"/>
            <w:shd w:val="clear" w:color="auto" w:fill="FABF8F"/>
          </w:tcPr>
          <w:p w:rsidR="00B26237" w:rsidRPr="00653421" w:rsidRDefault="00B26237" w:rsidP="009B3FA2">
            <w:pPr>
              <w:jc w:val="center"/>
              <w:rPr>
                <w:rFonts w:eastAsia="Calibri"/>
                <w:b/>
                <w:color w:val="000000"/>
                <w:sz w:val="20"/>
              </w:rPr>
            </w:pPr>
            <w:r w:rsidRPr="00653421">
              <w:rPr>
                <w:rFonts w:eastAsia="Calibri"/>
                <w:b/>
                <w:color w:val="000000"/>
                <w:sz w:val="20"/>
              </w:rPr>
              <w:t>Office 365 Enterprise E3</w:t>
            </w:r>
          </w:p>
        </w:tc>
        <w:tc>
          <w:tcPr>
            <w:tcW w:w="2765" w:type="dxa"/>
            <w:shd w:val="clear" w:color="auto" w:fill="FABF8F"/>
          </w:tcPr>
          <w:p w:rsidR="00B26237" w:rsidRPr="00653421" w:rsidRDefault="00B26237" w:rsidP="009B3FA2">
            <w:pPr>
              <w:jc w:val="center"/>
              <w:rPr>
                <w:rFonts w:eastAsia="Calibri"/>
                <w:b/>
                <w:color w:val="000000"/>
                <w:sz w:val="20"/>
              </w:rPr>
            </w:pPr>
            <w:r w:rsidRPr="00653421">
              <w:rPr>
                <w:rFonts w:eastAsia="Calibri"/>
                <w:b/>
                <w:color w:val="000000"/>
                <w:sz w:val="20"/>
              </w:rPr>
              <w:t>Office 365 Enterprise E4</w:t>
            </w:r>
          </w:p>
        </w:tc>
      </w:tr>
      <w:tr w:rsidR="00B26237" w:rsidRPr="00653421" w:rsidTr="007E466C">
        <w:tc>
          <w:tcPr>
            <w:tcW w:w="2760" w:type="dxa"/>
            <w:shd w:val="clear" w:color="auto" w:fill="auto"/>
          </w:tcPr>
          <w:p w:rsidR="00B26237" w:rsidRPr="00653421" w:rsidRDefault="00B26237" w:rsidP="00B42A20">
            <w:pPr>
              <w:ind w:left="180" w:right="186"/>
              <w:rPr>
                <w:rFonts w:eastAsia="Calibri"/>
                <w:color w:val="000000"/>
              </w:rPr>
            </w:pPr>
            <w:r w:rsidRPr="00653421">
              <w:rPr>
                <w:rFonts w:eastAsia="Calibri"/>
                <w:color w:val="000000"/>
              </w:rPr>
              <w:t>Exchange Online Plano 1</w:t>
            </w:r>
          </w:p>
        </w:tc>
        <w:tc>
          <w:tcPr>
            <w:tcW w:w="2765" w:type="dxa"/>
            <w:shd w:val="clear" w:color="auto" w:fill="auto"/>
          </w:tcPr>
          <w:p w:rsidR="00B26237" w:rsidRPr="00653421" w:rsidRDefault="00B26237" w:rsidP="00B42A20">
            <w:pPr>
              <w:ind w:left="138" w:right="138"/>
              <w:rPr>
                <w:rFonts w:eastAsia="Calibri"/>
                <w:color w:val="000000"/>
              </w:rPr>
            </w:pPr>
            <w:r w:rsidRPr="00653421">
              <w:rPr>
                <w:rFonts w:eastAsia="Calibri"/>
                <w:color w:val="000000"/>
              </w:rPr>
              <w:t>Exchange Online Plano 2</w:t>
            </w:r>
          </w:p>
        </w:tc>
        <w:tc>
          <w:tcPr>
            <w:tcW w:w="2765" w:type="dxa"/>
            <w:shd w:val="clear" w:color="auto" w:fill="auto"/>
          </w:tcPr>
          <w:p w:rsidR="00B26237" w:rsidRPr="00653421" w:rsidRDefault="00B26237" w:rsidP="00B42A20">
            <w:pPr>
              <w:ind w:left="186" w:right="180"/>
              <w:rPr>
                <w:rFonts w:eastAsia="Calibri"/>
                <w:color w:val="000000"/>
              </w:rPr>
            </w:pPr>
            <w:r w:rsidRPr="00653421">
              <w:rPr>
                <w:rFonts w:eastAsia="Calibri"/>
                <w:color w:val="000000"/>
              </w:rPr>
              <w:t>Exchange Online Plano 2</w:t>
            </w:r>
          </w:p>
        </w:tc>
      </w:tr>
      <w:tr w:rsidR="00B26237" w:rsidRPr="00653421" w:rsidTr="007E466C">
        <w:tc>
          <w:tcPr>
            <w:tcW w:w="2760" w:type="dxa"/>
            <w:shd w:val="clear" w:color="auto" w:fill="auto"/>
          </w:tcPr>
          <w:p w:rsidR="00B26237" w:rsidRPr="00653421" w:rsidRDefault="00B26237" w:rsidP="00B42A20">
            <w:pPr>
              <w:ind w:left="180" w:right="186"/>
              <w:rPr>
                <w:rFonts w:eastAsia="Calibri"/>
                <w:color w:val="000000"/>
              </w:rPr>
            </w:pPr>
            <w:r w:rsidRPr="00653421">
              <w:rPr>
                <w:rFonts w:eastAsia="Calibri"/>
                <w:color w:val="000000"/>
              </w:rPr>
              <w:t>SharePoint Online Plano 1</w:t>
            </w:r>
          </w:p>
        </w:tc>
        <w:tc>
          <w:tcPr>
            <w:tcW w:w="2765" w:type="dxa"/>
            <w:shd w:val="clear" w:color="auto" w:fill="auto"/>
          </w:tcPr>
          <w:p w:rsidR="00B26237" w:rsidRPr="00653421" w:rsidRDefault="00B26237" w:rsidP="00B42A20">
            <w:pPr>
              <w:ind w:left="138" w:right="138"/>
              <w:rPr>
                <w:rFonts w:eastAsia="Calibri"/>
                <w:color w:val="000000"/>
              </w:rPr>
            </w:pPr>
            <w:r w:rsidRPr="00653421">
              <w:rPr>
                <w:rFonts w:eastAsia="Calibri"/>
                <w:color w:val="000000"/>
              </w:rPr>
              <w:t>SharePoint Online Plano 2</w:t>
            </w:r>
          </w:p>
        </w:tc>
        <w:tc>
          <w:tcPr>
            <w:tcW w:w="2765" w:type="dxa"/>
            <w:shd w:val="clear" w:color="auto" w:fill="auto"/>
          </w:tcPr>
          <w:p w:rsidR="00B26237" w:rsidRPr="00653421" w:rsidRDefault="00B26237" w:rsidP="00B42A20">
            <w:pPr>
              <w:ind w:left="186" w:right="180"/>
              <w:rPr>
                <w:rFonts w:eastAsia="Calibri"/>
                <w:color w:val="000000"/>
              </w:rPr>
            </w:pPr>
            <w:r w:rsidRPr="00653421">
              <w:rPr>
                <w:rFonts w:eastAsia="Calibri"/>
                <w:color w:val="000000"/>
              </w:rPr>
              <w:t>SharePoint Online Plano 2</w:t>
            </w:r>
          </w:p>
        </w:tc>
      </w:tr>
      <w:tr w:rsidR="00B26237" w:rsidRPr="00653421" w:rsidTr="007E466C">
        <w:tc>
          <w:tcPr>
            <w:tcW w:w="2760" w:type="dxa"/>
            <w:shd w:val="clear" w:color="auto" w:fill="auto"/>
          </w:tcPr>
          <w:p w:rsidR="00B26237" w:rsidRPr="00653421" w:rsidRDefault="00B26237" w:rsidP="00B42A20">
            <w:pPr>
              <w:ind w:left="180" w:right="186"/>
              <w:rPr>
                <w:rFonts w:eastAsia="Calibri"/>
                <w:color w:val="000000"/>
              </w:rPr>
            </w:pPr>
            <w:r w:rsidRPr="00653421">
              <w:rPr>
                <w:rFonts w:eastAsia="Calibri"/>
                <w:color w:val="000000"/>
              </w:rPr>
              <w:t>Lync Online Plano 2</w:t>
            </w:r>
          </w:p>
        </w:tc>
        <w:tc>
          <w:tcPr>
            <w:tcW w:w="2765" w:type="dxa"/>
            <w:shd w:val="clear" w:color="auto" w:fill="auto"/>
          </w:tcPr>
          <w:p w:rsidR="00B26237" w:rsidRPr="00653421" w:rsidRDefault="00B26237" w:rsidP="00B42A20">
            <w:pPr>
              <w:ind w:left="138" w:right="138"/>
              <w:rPr>
                <w:rFonts w:eastAsia="Calibri"/>
                <w:color w:val="000000"/>
              </w:rPr>
            </w:pPr>
            <w:r w:rsidRPr="00653421">
              <w:rPr>
                <w:rFonts w:eastAsia="Calibri"/>
                <w:color w:val="000000"/>
              </w:rPr>
              <w:t>Lync Online Plano 2</w:t>
            </w:r>
          </w:p>
        </w:tc>
        <w:tc>
          <w:tcPr>
            <w:tcW w:w="2765" w:type="dxa"/>
            <w:shd w:val="clear" w:color="auto" w:fill="auto"/>
          </w:tcPr>
          <w:p w:rsidR="00B26237" w:rsidRPr="00653421" w:rsidRDefault="00B26237" w:rsidP="00B42A20">
            <w:pPr>
              <w:ind w:left="186" w:right="180"/>
              <w:rPr>
                <w:rFonts w:eastAsia="Calibri"/>
                <w:color w:val="000000"/>
              </w:rPr>
            </w:pPr>
            <w:r w:rsidRPr="00653421">
              <w:rPr>
                <w:rFonts w:eastAsia="Calibri"/>
                <w:color w:val="000000"/>
              </w:rPr>
              <w:t>Lync Online Plano 2</w:t>
            </w:r>
          </w:p>
        </w:tc>
      </w:tr>
      <w:tr w:rsidR="00B26237" w:rsidRPr="00C50FD1" w:rsidTr="007E466C">
        <w:tc>
          <w:tcPr>
            <w:tcW w:w="2760" w:type="dxa"/>
            <w:shd w:val="clear" w:color="auto" w:fill="auto"/>
          </w:tcPr>
          <w:p w:rsidR="00B26237" w:rsidRPr="00C50FD1" w:rsidRDefault="00B26237" w:rsidP="007B0512">
            <w:pPr>
              <w:ind w:left="180" w:right="186"/>
              <w:rPr>
                <w:rFonts w:eastAsia="Calibri"/>
                <w:color w:val="000000"/>
                <w:lang w:val="pt-BR"/>
              </w:rPr>
            </w:pPr>
            <w:r w:rsidRPr="00C50FD1">
              <w:rPr>
                <w:rFonts w:eastAsia="Calibri"/>
                <w:color w:val="000000"/>
                <w:lang w:val="pt-BR"/>
              </w:rPr>
              <w:t>Aplicativos da Web do Office (Hospedados pela</w:t>
            </w:r>
            <w:r w:rsidR="007B0512" w:rsidRPr="00C50FD1">
              <w:rPr>
                <w:rFonts w:eastAsia="Calibri"/>
                <w:color w:val="000000"/>
                <w:lang w:val="pt-BR"/>
              </w:rPr>
              <w:t> </w:t>
            </w:r>
            <w:r w:rsidRPr="00C50FD1">
              <w:rPr>
                <w:rFonts w:eastAsia="Calibri"/>
                <w:color w:val="000000"/>
                <w:lang w:val="pt-BR"/>
              </w:rPr>
              <w:t>Microsoft)</w:t>
            </w:r>
          </w:p>
        </w:tc>
        <w:tc>
          <w:tcPr>
            <w:tcW w:w="2765" w:type="dxa"/>
            <w:shd w:val="clear" w:color="auto" w:fill="auto"/>
          </w:tcPr>
          <w:p w:rsidR="00B26237" w:rsidRPr="00C50FD1" w:rsidRDefault="00B26237" w:rsidP="00B42A20">
            <w:pPr>
              <w:ind w:left="138" w:right="138"/>
              <w:rPr>
                <w:rFonts w:eastAsia="Calibri"/>
                <w:color w:val="000000"/>
                <w:lang w:val="pt-BR"/>
              </w:rPr>
            </w:pPr>
            <w:r w:rsidRPr="00C50FD1">
              <w:rPr>
                <w:rFonts w:eastAsia="Calibri"/>
                <w:color w:val="000000"/>
                <w:lang w:val="pt-BR"/>
              </w:rPr>
              <w:t>Aplicativos da Web do Office (Hospedados pela Microsoft)</w:t>
            </w:r>
          </w:p>
        </w:tc>
        <w:tc>
          <w:tcPr>
            <w:tcW w:w="2765" w:type="dxa"/>
            <w:shd w:val="clear" w:color="auto" w:fill="auto"/>
          </w:tcPr>
          <w:p w:rsidR="00B26237" w:rsidRPr="00C50FD1" w:rsidRDefault="00B26237" w:rsidP="007B0512">
            <w:pPr>
              <w:ind w:left="186" w:right="180"/>
              <w:rPr>
                <w:rFonts w:eastAsia="Calibri"/>
                <w:color w:val="000000"/>
                <w:lang w:val="pt-BR"/>
              </w:rPr>
            </w:pPr>
            <w:r w:rsidRPr="00C50FD1">
              <w:rPr>
                <w:rFonts w:eastAsia="Calibri"/>
                <w:color w:val="000000"/>
                <w:lang w:val="pt-BR"/>
              </w:rPr>
              <w:t>Aplicativos da Web do Office (Hospedados pela</w:t>
            </w:r>
            <w:r w:rsidR="007B0512" w:rsidRPr="00C50FD1">
              <w:rPr>
                <w:rFonts w:eastAsia="Calibri"/>
                <w:color w:val="000000"/>
                <w:lang w:val="pt-BR"/>
              </w:rPr>
              <w:t> </w:t>
            </w:r>
            <w:r w:rsidRPr="00C50FD1">
              <w:rPr>
                <w:rFonts w:eastAsia="Calibri"/>
                <w:color w:val="000000"/>
                <w:lang w:val="pt-BR"/>
              </w:rPr>
              <w:t>Microsoft)</w:t>
            </w:r>
          </w:p>
        </w:tc>
      </w:tr>
      <w:tr w:rsidR="00B26237" w:rsidRPr="00653421" w:rsidTr="007E466C">
        <w:tc>
          <w:tcPr>
            <w:tcW w:w="2760" w:type="dxa"/>
            <w:shd w:val="clear" w:color="auto" w:fill="auto"/>
          </w:tcPr>
          <w:p w:rsidR="00B26237" w:rsidRPr="00C50FD1" w:rsidRDefault="00B26237" w:rsidP="00B42A20">
            <w:pPr>
              <w:ind w:left="180" w:right="186"/>
              <w:rPr>
                <w:rFonts w:eastAsia="Calibri"/>
                <w:color w:val="000000"/>
                <w:lang w:val="pt-BR"/>
              </w:rPr>
            </w:pPr>
          </w:p>
        </w:tc>
        <w:tc>
          <w:tcPr>
            <w:tcW w:w="2765" w:type="dxa"/>
            <w:shd w:val="clear" w:color="auto" w:fill="auto"/>
          </w:tcPr>
          <w:p w:rsidR="00B26237" w:rsidRPr="00653421" w:rsidRDefault="008368B4" w:rsidP="00B42A20">
            <w:pPr>
              <w:ind w:left="138" w:right="138"/>
              <w:rPr>
                <w:rFonts w:eastAsia="Calibri"/>
                <w:color w:val="000000"/>
              </w:rPr>
            </w:pPr>
            <w:r w:rsidRPr="00653421">
              <w:rPr>
                <w:rFonts w:eastAsia="Calibri"/>
                <w:color w:val="000000"/>
              </w:rPr>
              <w:t>Office 365 ProPlus</w:t>
            </w:r>
          </w:p>
        </w:tc>
        <w:tc>
          <w:tcPr>
            <w:tcW w:w="2765" w:type="dxa"/>
            <w:shd w:val="clear" w:color="auto" w:fill="auto"/>
          </w:tcPr>
          <w:p w:rsidR="00B26237" w:rsidRPr="00653421" w:rsidRDefault="008368B4" w:rsidP="008368B4">
            <w:pPr>
              <w:ind w:left="186" w:right="180"/>
              <w:rPr>
                <w:rFonts w:eastAsia="Calibri"/>
                <w:color w:val="000000"/>
              </w:rPr>
            </w:pPr>
            <w:r w:rsidRPr="00653421">
              <w:rPr>
                <w:rFonts w:eastAsia="Calibri"/>
                <w:color w:val="000000"/>
              </w:rPr>
              <w:t>Office 365 ProPlus</w:t>
            </w:r>
          </w:p>
        </w:tc>
      </w:tr>
    </w:tbl>
    <w:p w:rsidR="00B26237" w:rsidRPr="00C50FD1" w:rsidRDefault="00B26237" w:rsidP="00D16EA8">
      <w:pPr>
        <w:ind w:left="720"/>
        <w:rPr>
          <w:lang w:val="pt-BR"/>
        </w:rPr>
      </w:pPr>
      <w:r w:rsidRPr="00C50FD1">
        <w:rPr>
          <w:color w:val="000000"/>
          <w:lang w:val="pt-BR"/>
        </w:rPr>
        <w:br/>
      </w:r>
      <w:r w:rsidRPr="00C50FD1">
        <w:rPr>
          <w:rFonts w:cs="Tahoma"/>
          <w:color w:val="000000"/>
          <w:szCs w:val="18"/>
          <w:lang w:val="pt-BR"/>
        </w:rPr>
        <w:t>Essa lista está sujeita a alterações.</w:t>
      </w:r>
      <w:r w:rsidR="005A52A2" w:rsidRPr="00C50FD1">
        <w:rPr>
          <w:rFonts w:cs="Tahoma"/>
          <w:color w:val="000000"/>
          <w:szCs w:val="18"/>
          <w:lang w:val="pt-BR"/>
        </w:rPr>
        <w:t xml:space="preserve"> </w:t>
      </w:r>
      <w:r w:rsidRPr="00C50FD1">
        <w:rPr>
          <w:rFonts w:cs="Tahoma"/>
          <w:color w:val="000000"/>
          <w:szCs w:val="18"/>
          <w:lang w:val="pt-BR"/>
        </w:rPr>
        <w:t>Os Direitos de Uso de Produto atuais prevalecerão caso haja conflitos entre os termos da licença do Office 365 Enterprise E2 - E4 e esta observação.</w:t>
      </w:r>
      <w:r w:rsidR="005A52A2" w:rsidRPr="00C50FD1">
        <w:rPr>
          <w:rFonts w:cs="Tahoma"/>
          <w:color w:val="000000"/>
          <w:szCs w:val="18"/>
          <w:lang w:val="pt-BR"/>
        </w:rPr>
        <w:t xml:space="preserve"> </w:t>
      </w:r>
      <w:r w:rsidRPr="00C50FD1">
        <w:rPr>
          <w:rFonts w:cs="Tahoma"/>
          <w:color w:val="000000"/>
          <w:szCs w:val="18"/>
          <w:lang w:val="pt-BR"/>
        </w:rPr>
        <w:t>Os direitos de acesso adicionais, se houver, a softwares locais licenciados separadamente estão especificados nos Direitos de Uso</w:t>
      </w:r>
      <w:r w:rsidR="007B0512" w:rsidRPr="00C50FD1">
        <w:rPr>
          <w:rFonts w:cs="Tahoma"/>
          <w:color w:val="000000"/>
          <w:szCs w:val="18"/>
          <w:lang w:val="pt-BR"/>
        </w:rPr>
        <w:t> </w:t>
      </w:r>
      <w:r w:rsidRPr="00C50FD1">
        <w:rPr>
          <w:rFonts w:cs="Tahoma"/>
          <w:color w:val="000000"/>
          <w:szCs w:val="18"/>
          <w:lang w:val="pt-BR"/>
        </w:rPr>
        <w:t>de Produto.</w:t>
      </w:r>
      <w:r w:rsidR="005A52A2" w:rsidRPr="00C50FD1">
        <w:rPr>
          <w:rFonts w:cs="Tahoma"/>
          <w:color w:val="000000"/>
          <w:szCs w:val="18"/>
          <w:lang w:val="pt-BR"/>
        </w:rPr>
        <w:t xml:space="preserve"> </w:t>
      </w:r>
    </w:p>
    <w:p w:rsidR="00B26237" w:rsidRPr="00C50FD1" w:rsidRDefault="00B26237" w:rsidP="00D16EA8">
      <w:pPr>
        <w:ind w:left="720"/>
        <w:rPr>
          <w:lang w:val="pt-BR"/>
        </w:rPr>
      </w:pPr>
    </w:p>
    <w:p w:rsidR="00DC2291" w:rsidRPr="00C50FD1" w:rsidRDefault="00B26237" w:rsidP="00D16EA8">
      <w:pPr>
        <w:pStyle w:val="FootnoteBulletLevel1"/>
        <w:tabs>
          <w:tab w:val="clear" w:pos="900"/>
        </w:tabs>
        <w:spacing w:before="0" w:after="0"/>
        <w:ind w:left="720" w:firstLine="0"/>
        <w:rPr>
          <w:lang w:val="pt-BR"/>
        </w:rPr>
      </w:pPr>
      <w:r w:rsidRPr="00C50FD1">
        <w:rPr>
          <w:rFonts w:ascii="Tahoma" w:hAnsi="Tahoma" w:cs="Tahoma"/>
          <w:color w:val="000000"/>
          <w:sz w:val="18"/>
          <w:szCs w:val="18"/>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 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rsidR="00704723" w:rsidRPr="00653421" w:rsidRDefault="004668D9" w:rsidP="000429EF">
      <w:pPr>
        <w:pStyle w:val="Heading3"/>
      </w:pPr>
      <w:bookmarkStart w:id="1035" w:name="_76_Office_for"/>
      <w:bookmarkStart w:id="1036" w:name="_7_Office_para"/>
      <w:bookmarkStart w:id="1037" w:name="_Toc336338264"/>
      <w:bookmarkStart w:id="1038" w:name="_Toc353470911"/>
      <w:bookmarkStart w:id="1039" w:name="Srv_4OfficeMacStandard2011"/>
      <w:bookmarkEnd w:id="1012"/>
      <w:bookmarkEnd w:id="1035"/>
      <w:bookmarkEnd w:id="1036"/>
      <w:r w:rsidRPr="00653421">
        <w:rPr>
          <w:rFonts w:ascii="Tahoma" w:hAnsi="Tahoma"/>
          <w:caps/>
          <w:color w:val="F66400"/>
          <w:sz w:val="22"/>
          <w:vertAlign w:val="superscript"/>
        </w:rPr>
        <w:lastRenderedPageBreak/>
        <w:t>7</w:t>
      </w:r>
      <w:r w:rsidRPr="00653421">
        <w:rPr>
          <w:rFonts w:ascii="Tahoma" w:hAnsi="Tahoma"/>
          <w:caps/>
          <w:color w:val="F66400"/>
          <w:sz w:val="22"/>
        </w:rPr>
        <w:t xml:space="preserve"> </w:t>
      </w:r>
      <w:r w:rsidRPr="00653421">
        <w:rPr>
          <w:rFonts w:ascii="Tahoma" w:hAnsi="Tahoma"/>
          <w:color w:val="F66400"/>
          <w:sz w:val="22"/>
        </w:rPr>
        <w:t>Office para Mac Standard 2011</w:t>
      </w:r>
      <w:bookmarkEnd w:id="1037"/>
      <w:bookmarkEnd w:id="1038"/>
      <w:r w:rsidRPr="00653421">
        <w:rPr>
          <w:rFonts w:ascii="Tahoma" w:hAnsi="Tahoma"/>
          <w:color w:val="F66400"/>
          <w:sz w:val="22"/>
        </w:rPr>
        <w:t xml:space="preserve"> </w:t>
      </w:r>
      <w:bookmarkEnd w:id="1039"/>
    </w:p>
    <w:p w:rsidR="00FD5FBA" w:rsidRPr="00653421" w:rsidRDefault="00FD5FBA" w:rsidP="00AE5A9F"/>
    <w:p w:rsidR="00FD5FBA" w:rsidRPr="00653421" w:rsidRDefault="00FD5FBA" w:rsidP="002C1048">
      <w:pPr>
        <w:pStyle w:val="EndnoteText"/>
        <w:numPr>
          <w:ilvl w:val="0"/>
          <w:numId w:val="140"/>
        </w:numPr>
        <w:ind w:left="990"/>
      </w:pPr>
      <w:r w:rsidRPr="00653421">
        <w:rPr>
          <w:rFonts w:ascii="Tahoma" w:hAnsi="Tahoma" w:cs="Tahoma"/>
          <w:sz w:val="18"/>
          <w:szCs w:val="20"/>
        </w:rPr>
        <w:t xml:space="preserve">Licença WAH (Work at Home) disponível para Clientes Select </w:t>
      </w:r>
      <w:r w:rsidRPr="00653421">
        <w:rPr>
          <w:rFonts w:ascii="Tahoma" w:hAnsi="Tahoma" w:cs="Tahoma"/>
          <w:sz w:val="18"/>
          <w:szCs w:val="18"/>
        </w:rPr>
        <w:t>e Select Plus</w:t>
      </w:r>
      <w:r w:rsidRPr="00653421">
        <w:rPr>
          <w:rFonts w:ascii="Tahoma" w:hAnsi="Tahoma" w:cs="Tahoma"/>
          <w:sz w:val="18"/>
          <w:szCs w:val="20"/>
        </w:rPr>
        <w:t xml:space="preserve"> </w:t>
      </w:r>
    </w:p>
    <w:p w:rsidR="00CA6122" w:rsidRPr="00653421" w:rsidRDefault="00CA6122" w:rsidP="00CA6122">
      <w:pPr>
        <w:adjustRightInd w:val="0"/>
        <w:ind w:left="720"/>
        <w:textAlignment w:val="baseline"/>
      </w:pPr>
    </w:p>
    <w:p w:rsidR="00864B8A" w:rsidRPr="00653421" w:rsidRDefault="00704723" w:rsidP="00864B8A">
      <w:pPr>
        <w:spacing w:after="60"/>
        <w:ind w:left="720"/>
      </w:pPr>
      <w:r w:rsidRPr="00653421">
        <w:rPr>
          <w:rFonts w:cs="Tahoma"/>
          <w:b/>
          <w:szCs w:val="20"/>
        </w:rPr>
        <w:t>Office para Mac Standard 2011</w:t>
      </w:r>
    </w:p>
    <w:p w:rsidR="00704723" w:rsidRPr="00653421" w:rsidRDefault="00704723" w:rsidP="00864B8A">
      <w:pPr>
        <w:spacing w:after="60"/>
        <w:ind w:left="720"/>
      </w:pPr>
      <w:r w:rsidRPr="00653421">
        <w:rPr>
          <w:rFonts w:cs="Tahoma"/>
          <w:szCs w:val="20"/>
        </w:rPr>
        <w:t>A Licença do Office para Mac Standard 2011 consiste no seguinte: Lync para Mac 2011, Excel para Mac</w:t>
      </w:r>
      <w:r w:rsidR="005723AA" w:rsidRPr="00653421">
        <w:rPr>
          <w:rFonts w:cs="Tahoma"/>
          <w:szCs w:val="20"/>
        </w:rPr>
        <w:t> </w:t>
      </w:r>
      <w:r w:rsidRPr="00653421">
        <w:rPr>
          <w:rFonts w:cs="Tahoma"/>
          <w:szCs w:val="20"/>
        </w:rPr>
        <w:t xml:space="preserve">2011, Outlook para Mac 2011, </w:t>
      </w:r>
      <w:r w:rsidRPr="00653421">
        <w:rPr>
          <w:rFonts w:cs="Tahoma"/>
        </w:rPr>
        <w:t>Office Home and Student RT 2013 – Uso Comercial,</w:t>
      </w:r>
      <w:r w:rsidRPr="00653421">
        <w:rPr>
          <w:rFonts w:cs="Tahoma"/>
          <w:szCs w:val="20"/>
        </w:rPr>
        <w:t xml:space="preserve"> Office Web Apps</w:t>
      </w:r>
      <w:r w:rsidR="005723AA" w:rsidRPr="00653421">
        <w:rPr>
          <w:rFonts w:cs="Tahoma"/>
          <w:szCs w:val="20"/>
        </w:rPr>
        <w:t> </w:t>
      </w:r>
      <w:r w:rsidRPr="00653421">
        <w:rPr>
          <w:rFonts w:cs="Tahoma"/>
          <w:szCs w:val="20"/>
        </w:rPr>
        <w:t>2010, PowerPoint para Mac 2011 e Word para Mac 2011.</w:t>
      </w:r>
    </w:p>
    <w:p w:rsidR="00CA6122" w:rsidRPr="00653421" w:rsidRDefault="00CA6122" w:rsidP="00CA6122">
      <w:pPr>
        <w:adjustRightInd w:val="0"/>
        <w:ind w:left="720"/>
        <w:textAlignment w:val="baseline"/>
      </w:pPr>
    </w:p>
    <w:p w:rsidR="00864B8A" w:rsidRPr="00C50FD1" w:rsidRDefault="00704723" w:rsidP="00864B8A">
      <w:pPr>
        <w:spacing w:after="60"/>
        <w:ind w:left="720"/>
        <w:rPr>
          <w:lang w:val="pt-BR"/>
        </w:rPr>
      </w:pPr>
      <w:r w:rsidRPr="00C50FD1">
        <w:rPr>
          <w:rFonts w:cs="Tahoma"/>
          <w:b/>
          <w:szCs w:val="20"/>
          <w:lang w:val="pt-BR"/>
        </w:rPr>
        <w:t>Incapacidade de Separar o Microsoft Office para Mac Standard 2011</w:t>
      </w:r>
    </w:p>
    <w:p w:rsidR="00704723" w:rsidRPr="00C50FD1" w:rsidRDefault="00704723" w:rsidP="00864B8A">
      <w:pPr>
        <w:spacing w:after="60"/>
        <w:ind w:left="720"/>
        <w:rPr>
          <w:lang w:val="pt-BR"/>
        </w:rPr>
      </w:pPr>
      <w:r w:rsidRPr="00C50FD1">
        <w:rPr>
          <w:rFonts w:cs="Tahoma"/>
          <w:szCs w:val="20"/>
          <w:lang w:val="pt-BR"/>
        </w:rPr>
        <w:t>O Office para Mac Standard 2011 consiste em mais de um produto oferecido sob uma única licença. O</w:t>
      </w:r>
      <w:r w:rsidR="007B0512" w:rsidRPr="00C50FD1">
        <w:rPr>
          <w:rFonts w:cs="Tahoma"/>
          <w:szCs w:val="20"/>
          <w:lang w:val="pt-BR"/>
        </w:rPr>
        <w:t> </w:t>
      </w:r>
      <w:r w:rsidRPr="00C50FD1">
        <w:rPr>
          <w:rFonts w:cs="Tahoma"/>
          <w:szCs w:val="20"/>
          <w:lang w:val="pt-BR"/>
        </w:rPr>
        <w:t>software não deverá ser separado para uso em mais de um computador.</w:t>
      </w:r>
    </w:p>
    <w:p w:rsidR="00CA6122" w:rsidRPr="00C50FD1" w:rsidRDefault="00CA6122" w:rsidP="00CA6122">
      <w:pPr>
        <w:adjustRightInd w:val="0"/>
        <w:ind w:left="720"/>
        <w:textAlignment w:val="baseline"/>
        <w:rPr>
          <w:lang w:val="pt-BR"/>
        </w:rPr>
      </w:pPr>
    </w:p>
    <w:p w:rsidR="00704723" w:rsidRPr="00C50FD1" w:rsidRDefault="0035314F" w:rsidP="00864B8A">
      <w:pPr>
        <w:spacing w:after="60"/>
        <w:ind w:left="720"/>
        <w:rPr>
          <w:lang w:val="pt-BR"/>
        </w:rPr>
      </w:pPr>
      <w:r w:rsidRPr="00C50FD1">
        <w:rPr>
          <w:rFonts w:cs="Tahoma"/>
          <w:b/>
          <w:szCs w:val="20"/>
          <w:lang w:val="pt-BR"/>
        </w:rPr>
        <w:t>Direitos de Uso do Lync para Mac 2011</w:t>
      </w:r>
    </w:p>
    <w:p w:rsidR="00CA6122" w:rsidRPr="00C50FD1" w:rsidRDefault="00F14B59" w:rsidP="00737831">
      <w:pPr>
        <w:adjustRightInd w:val="0"/>
        <w:ind w:left="720"/>
        <w:textAlignment w:val="baseline"/>
        <w:rPr>
          <w:lang w:val="pt-BR"/>
        </w:rPr>
      </w:pPr>
      <w:r w:rsidRPr="00C50FD1">
        <w:rPr>
          <w:rFonts w:cs="Tahoma"/>
          <w:szCs w:val="20"/>
          <w:lang w:val="pt-BR"/>
        </w:rPr>
        <w:t>Os clientes que comprarem o Office para Mac Standard 2011 em ou depois de 1º de outubro de 2011 terão</w:t>
      </w:r>
      <w:r w:rsidR="007B0512" w:rsidRPr="00C50FD1">
        <w:rPr>
          <w:rFonts w:cs="Tahoma"/>
          <w:szCs w:val="20"/>
          <w:lang w:val="pt-BR"/>
        </w:rPr>
        <w:t> </w:t>
      </w:r>
      <w:r w:rsidRPr="00C50FD1">
        <w:rPr>
          <w:rFonts w:cs="Tahoma"/>
          <w:szCs w:val="20"/>
          <w:lang w:val="pt-BR"/>
        </w:rPr>
        <w:t>um pacote Office que inclui o Lync para 2011 em vez do Communicator para Mac 2011. Os</w:t>
      </w:r>
      <w:r w:rsidR="007B0512" w:rsidRPr="00C50FD1">
        <w:rPr>
          <w:rFonts w:cs="Tahoma"/>
          <w:szCs w:val="20"/>
          <w:lang w:val="pt-BR"/>
        </w:rPr>
        <w:t> </w:t>
      </w:r>
      <w:r w:rsidRPr="00C50FD1">
        <w:rPr>
          <w:rFonts w:cs="Tahoma"/>
          <w:szCs w:val="20"/>
          <w:lang w:val="pt-BR"/>
        </w:rPr>
        <w:t>clientes</w:t>
      </w:r>
      <w:r w:rsidR="007B0512" w:rsidRPr="00C50FD1">
        <w:rPr>
          <w:rFonts w:cs="Tahoma"/>
          <w:szCs w:val="20"/>
          <w:lang w:val="pt-BR"/>
        </w:rPr>
        <w:t> </w:t>
      </w:r>
      <w:r w:rsidRPr="00C50FD1">
        <w:rPr>
          <w:rFonts w:cs="Tahoma"/>
          <w:szCs w:val="20"/>
          <w:lang w:val="pt-BR"/>
        </w:rPr>
        <w:t>com cobertura do Software Assurance do Office para Mac Standard 2011 em ou depois de 1º</w:t>
      </w:r>
      <w:r w:rsidR="007B0512" w:rsidRPr="00C50FD1">
        <w:rPr>
          <w:rFonts w:cs="Tahoma"/>
          <w:szCs w:val="20"/>
          <w:lang w:val="pt-BR"/>
        </w:rPr>
        <w:t> </w:t>
      </w:r>
      <w:r w:rsidRPr="00C50FD1">
        <w:rPr>
          <w:rFonts w:cs="Tahoma"/>
          <w:szCs w:val="20"/>
          <w:lang w:val="pt-BR"/>
        </w:rPr>
        <w:t>de</w:t>
      </w:r>
      <w:r w:rsidR="007B0512" w:rsidRPr="00C50FD1">
        <w:rPr>
          <w:rFonts w:cs="Tahoma"/>
          <w:szCs w:val="20"/>
          <w:lang w:val="pt-BR"/>
        </w:rPr>
        <w:t> </w:t>
      </w:r>
      <w:r w:rsidRPr="00C50FD1">
        <w:rPr>
          <w:rFonts w:cs="Tahoma"/>
          <w:szCs w:val="20"/>
          <w:lang w:val="pt-BR"/>
        </w:rPr>
        <w:t xml:space="preserve">outubro de 2011 podem usar o Communicator para Mac 2011 ou atualizar para Lync para Mac 2011. </w:t>
      </w:r>
    </w:p>
    <w:p w:rsidR="007631EF" w:rsidRPr="00C50FD1" w:rsidRDefault="007631EF">
      <w:pPr>
        <w:rPr>
          <w:lang w:val="pt-BR"/>
        </w:rPr>
      </w:pPr>
    </w:p>
    <w:p w:rsidR="00697E59" w:rsidRPr="00C50FD1" w:rsidRDefault="00697E59">
      <w:pPr>
        <w:rPr>
          <w:lang w:val="pt-BR"/>
        </w:rPr>
      </w:pPr>
      <w:bookmarkStart w:id="1040" w:name="_Toc336338265"/>
    </w:p>
    <w:p w:rsidR="00023FE7" w:rsidRPr="00C50FD1" w:rsidRDefault="004668D9">
      <w:pPr>
        <w:pStyle w:val="Heading3"/>
        <w:rPr>
          <w:lang w:val="pt-BR"/>
        </w:rPr>
      </w:pPr>
      <w:bookmarkStart w:id="1041" w:name="_5_Office_Multi-Language"/>
      <w:bookmarkStart w:id="1042" w:name="_7_Office_Multi-Language"/>
      <w:bookmarkStart w:id="1043" w:name="_87_Office_Multi-Language"/>
      <w:bookmarkStart w:id="1044" w:name="_8_Pacote_Multilíngue"/>
      <w:bookmarkStart w:id="1045" w:name="Aps_8OffMultiLangPack07"/>
      <w:bookmarkStart w:id="1046" w:name="Aps_6OfficeMultiLangPack2010"/>
      <w:bookmarkStart w:id="1047" w:name="Aps_5OfficeMultiLangPack2010"/>
      <w:bookmarkStart w:id="1048" w:name="_Toc353470912"/>
      <w:bookmarkEnd w:id="1041"/>
      <w:bookmarkEnd w:id="1042"/>
      <w:bookmarkEnd w:id="1043"/>
      <w:bookmarkEnd w:id="1044"/>
      <w:r w:rsidRPr="00C50FD1">
        <w:rPr>
          <w:rFonts w:ascii="Tahoma" w:hAnsi="Tahoma"/>
          <w:caps/>
          <w:color w:val="F66400"/>
          <w:sz w:val="22"/>
          <w:vertAlign w:val="superscript"/>
          <w:lang w:val="pt-BR"/>
        </w:rPr>
        <w:t>8</w:t>
      </w:r>
      <w:r w:rsidRPr="00C50FD1">
        <w:rPr>
          <w:rFonts w:ascii="Tahoma" w:hAnsi="Tahoma"/>
          <w:color w:val="F66400"/>
          <w:sz w:val="22"/>
          <w:lang w:val="pt-BR"/>
        </w:rPr>
        <w:t xml:space="preserve"> Pacote Multilíngue do Office </w:t>
      </w:r>
      <w:bookmarkEnd w:id="1040"/>
      <w:bookmarkEnd w:id="1045"/>
      <w:bookmarkEnd w:id="1046"/>
      <w:bookmarkEnd w:id="1047"/>
      <w:r w:rsidRPr="00C50FD1">
        <w:rPr>
          <w:rFonts w:ascii="Tahoma" w:hAnsi="Tahoma"/>
          <w:color w:val="F66400"/>
          <w:sz w:val="22"/>
          <w:lang w:val="pt-BR"/>
        </w:rPr>
        <w:t>2013</w:t>
      </w:r>
      <w:bookmarkEnd w:id="1048"/>
    </w:p>
    <w:p w:rsidR="00023FE7" w:rsidRPr="00C50FD1" w:rsidRDefault="00023FE7" w:rsidP="00AE5A9F">
      <w:pPr>
        <w:rPr>
          <w:lang w:val="pt-BR"/>
        </w:rPr>
      </w:pPr>
    </w:p>
    <w:p w:rsidR="00223A77" w:rsidRPr="00C50FD1" w:rsidRDefault="0035314F" w:rsidP="00864B8A">
      <w:pPr>
        <w:spacing w:after="60"/>
        <w:ind w:left="720"/>
        <w:rPr>
          <w:lang w:val="pt-BR"/>
        </w:rPr>
      </w:pPr>
      <w:r w:rsidRPr="00C50FD1">
        <w:rPr>
          <w:rFonts w:cs="Tahoma"/>
          <w:b/>
          <w:szCs w:val="20"/>
          <w:lang w:val="pt-BR"/>
        </w:rPr>
        <w:t>Direito de Downgrade para o Pacote Multilíngue do Office 2013</w:t>
      </w:r>
    </w:p>
    <w:p w:rsidR="00223A77" w:rsidRPr="00C50FD1" w:rsidRDefault="00223A77" w:rsidP="00CA6122">
      <w:pPr>
        <w:ind w:left="720"/>
        <w:rPr>
          <w:lang w:val="pt-BR"/>
        </w:rPr>
      </w:pPr>
      <w:r w:rsidRPr="00C50FD1">
        <w:rPr>
          <w:rFonts w:cs="Tahoma"/>
          <w:szCs w:val="18"/>
          <w:lang w:val="pt-BR"/>
        </w:rPr>
        <w:t>Os clientes de licenças por volume com uma licença do Pacote Multilíngue do Office 2013 e uma licença de</w:t>
      </w:r>
      <w:r w:rsidR="007B0512" w:rsidRPr="00C50FD1">
        <w:rPr>
          <w:rFonts w:cs="Tahoma"/>
          <w:szCs w:val="18"/>
          <w:lang w:val="pt-BR"/>
        </w:rPr>
        <w:t> </w:t>
      </w:r>
      <w:r w:rsidRPr="00C50FD1">
        <w:rPr>
          <w:rFonts w:cs="Tahoma"/>
          <w:szCs w:val="18"/>
          <w:lang w:val="pt-BR"/>
        </w:rPr>
        <w:t>qualquer um dos seguintes:</w:t>
      </w:r>
    </w:p>
    <w:p w:rsidR="00C2130B" w:rsidRPr="00C50FD1" w:rsidRDefault="00C2130B" w:rsidP="00CA6122">
      <w:pPr>
        <w:ind w:left="900"/>
        <w:rPr>
          <w:lang w:val="pt-BR"/>
        </w:rPr>
      </w:pPr>
    </w:p>
    <w:p w:rsidR="00223A77" w:rsidRPr="00653421" w:rsidRDefault="00223A77" w:rsidP="00CA6122">
      <w:pPr>
        <w:numPr>
          <w:ilvl w:val="0"/>
          <w:numId w:val="9"/>
        </w:numPr>
        <w:spacing w:after="60"/>
        <w:ind w:left="1440"/>
      </w:pPr>
      <w:r w:rsidRPr="00653421">
        <w:rPr>
          <w:rFonts w:cs="Tahoma"/>
          <w:szCs w:val="18"/>
        </w:rPr>
        <w:t>Office Standard 2013</w:t>
      </w:r>
    </w:p>
    <w:p w:rsidR="00223A77" w:rsidRPr="00653421" w:rsidRDefault="00223A77" w:rsidP="00CA6122">
      <w:pPr>
        <w:numPr>
          <w:ilvl w:val="0"/>
          <w:numId w:val="9"/>
        </w:numPr>
        <w:spacing w:after="60"/>
        <w:ind w:left="1440"/>
      </w:pPr>
      <w:r w:rsidRPr="00653421">
        <w:rPr>
          <w:rFonts w:cs="Tahoma"/>
          <w:szCs w:val="18"/>
        </w:rPr>
        <w:t>Office Professional Plus 2013</w:t>
      </w:r>
    </w:p>
    <w:p w:rsidR="00223A77" w:rsidRPr="00653421" w:rsidRDefault="00223A77" w:rsidP="00CA6122">
      <w:pPr>
        <w:numPr>
          <w:ilvl w:val="0"/>
          <w:numId w:val="9"/>
        </w:numPr>
        <w:spacing w:after="60"/>
        <w:ind w:left="1440"/>
      </w:pPr>
      <w:r w:rsidRPr="00653421">
        <w:rPr>
          <w:rFonts w:cs="Tahoma"/>
          <w:szCs w:val="18"/>
        </w:rPr>
        <w:t>Project Standard 2013</w:t>
      </w:r>
    </w:p>
    <w:p w:rsidR="00223A77" w:rsidRPr="00653421" w:rsidRDefault="00223A77" w:rsidP="00CA6122">
      <w:pPr>
        <w:numPr>
          <w:ilvl w:val="0"/>
          <w:numId w:val="9"/>
        </w:numPr>
        <w:spacing w:after="60"/>
        <w:ind w:left="1440"/>
      </w:pPr>
      <w:r w:rsidRPr="00653421">
        <w:rPr>
          <w:rFonts w:cs="Tahoma"/>
          <w:szCs w:val="18"/>
        </w:rPr>
        <w:t>Project Professional 2013</w:t>
      </w:r>
    </w:p>
    <w:p w:rsidR="00223A77" w:rsidRPr="00653421" w:rsidRDefault="00223A77" w:rsidP="00CA6122">
      <w:pPr>
        <w:numPr>
          <w:ilvl w:val="0"/>
          <w:numId w:val="9"/>
        </w:numPr>
        <w:spacing w:after="60"/>
        <w:ind w:left="1440"/>
      </w:pPr>
      <w:r w:rsidRPr="00653421">
        <w:rPr>
          <w:rFonts w:cs="Tahoma"/>
          <w:szCs w:val="18"/>
        </w:rPr>
        <w:t>Visio Standard 2013</w:t>
      </w:r>
    </w:p>
    <w:p w:rsidR="00223A77" w:rsidRPr="00653421" w:rsidRDefault="00223A77" w:rsidP="00CA6122">
      <w:pPr>
        <w:numPr>
          <w:ilvl w:val="0"/>
          <w:numId w:val="9"/>
        </w:numPr>
        <w:spacing w:after="60"/>
        <w:ind w:left="1440"/>
      </w:pPr>
      <w:r w:rsidRPr="00653421">
        <w:rPr>
          <w:rFonts w:cs="Tahoma"/>
          <w:szCs w:val="18"/>
        </w:rPr>
        <w:t>Visio Professional 2013</w:t>
      </w:r>
    </w:p>
    <w:p w:rsidR="00223A77" w:rsidRPr="00653421" w:rsidRDefault="00223A77" w:rsidP="00CA6122">
      <w:pPr>
        <w:ind w:left="1260"/>
      </w:pPr>
    </w:p>
    <w:p w:rsidR="00223A77" w:rsidRPr="00C50FD1" w:rsidRDefault="00223A77" w:rsidP="00CA6122">
      <w:pPr>
        <w:ind w:left="720"/>
        <w:rPr>
          <w:lang w:val="pt-BR"/>
        </w:rPr>
      </w:pPr>
      <w:r w:rsidRPr="00C50FD1">
        <w:rPr>
          <w:rFonts w:cs="Tahoma"/>
          <w:szCs w:val="18"/>
          <w:lang w:val="pt-BR"/>
        </w:rPr>
        <w:t>estão qualificados a usar a versão em inglês/multilíngue de uma versão com downgrade do produto, em vez da versão licenciada</w:t>
      </w:r>
      <w:r w:rsidRPr="00C50FD1">
        <w:rPr>
          <w:rFonts w:cs="Tahoma"/>
          <w:i/>
          <w:iCs/>
          <w:szCs w:val="18"/>
          <w:lang w:val="pt-BR"/>
        </w:rPr>
        <w:t>.</w:t>
      </w:r>
      <w:r w:rsidRPr="00C50FD1">
        <w:rPr>
          <w:rFonts w:cs="Tahoma"/>
          <w:szCs w:val="18"/>
          <w:lang w:val="pt-BR"/>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p>
    <w:p w:rsidR="00CA6122" w:rsidRPr="00C50FD1" w:rsidRDefault="00CA6122">
      <w:pPr>
        <w:pStyle w:val="Heading3"/>
        <w:rPr>
          <w:lang w:val="pt-BR"/>
        </w:rPr>
      </w:pPr>
      <w:bookmarkStart w:id="1049" w:name="_Toc336338266"/>
      <w:bookmarkStart w:id="1050" w:name="Aps_9OffProPlus07forWin"/>
      <w:bookmarkStart w:id="1051" w:name="Aps_7OfficeProPlus2010"/>
      <w:bookmarkStart w:id="1052" w:name="Aps_6OfficeProPlus2010"/>
    </w:p>
    <w:p w:rsidR="00CA6122" w:rsidRPr="00C50FD1" w:rsidRDefault="00CA6122">
      <w:pPr>
        <w:pStyle w:val="Heading3"/>
        <w:rPr>
          <w:lang w:val="pt-BR"/>
        </w:rPr>
      </w:pPr>
    </w:p>
    <w:p w:rsidR="00023FE7" w:rsidRPr="00653421" w:rsidRDefault="004668D9">
      <w:pPr>
        <w:pStyle w:val="Heading3"/>
      </w:pPr>
      <w:bookmarkStart w:id="1053" w:name="_98_Office_Professional"/>
      <w:bookmarkStart w:id="1054" w:name="_9_Office_Professional"/>
      <w:bookmarkStart w:id="1055" w:name="_Toc353470913"/>
      <w:bookmarkEnd w:id="1053"/>
      <w:bookmarkEnd w:id="1054"/>
      <w:r w:rsidRPr="00653421">
        <w:rPr>
          <w:rFonts w:ascii="Tahoma" w:hAnsi="Tahoma"/>
          <w:caps/>
          <w:color w:val="F66400"/>
          <w:sz w:val="22"/>
          <w:vertAlign w:val="superscript"/>
        </w:rPr>
        <w:t>9</w:t>
      </w:r>
      <w:r w:rsidRPr="00653421">
        <w:rPr>
          <w:rFonts w:ascii="Tahoma" w:hAnsi="Tahoma"/>
          <w:color w:val="F66400"/>
          <w:sz w:val="22"/>
        </w:rPr>
        <w:t xml:space="preserve"> Office Professional Plus </w:t>
      </w:r>
      <w:bookmarkEnd w:id="1049"/>
      <w:r w:rsidRPr="00653421">
        <w:rPr>
          <w:rFonts w:ascii="Tahoma" w:hAnsi="Tahoma"/>
          <w:color w:val="F66400"/>
          <w:sz w:val="22"/>
        </w:rPr>
        <w:t>2013</w:t>
      </w:r>
      <w:bookmarkEnd w:id="1055"/>
    </w:p>
    <w:bookmarkEnd w:id="1050"/>
    <w:bookmarkEnd w:id="1051"/>
    <w:bookmarkEnd w:id="1052"/>
    <w:p w:rsidR="00023FE7" w:rsidRPr="00653421" w:rsidRDefault="00023FE7" w:rsidP="00AE5A9F"/>
    <w:p w:rsidR="00223A77" w:rsidRPr="00653421" w:rsidRDefault="00223A77" w:rsidP="002C1048">
      <w:pPr>
        <w:pStyle w:val="EndnoteText"/>
        <w:numPr>
          <w:ilvl w:val="0"/>
          <w:numId w:val="140"/>
        </w:numPr>
        <w:ind w:left="1080"/>
      </w:pPr>
      <w:r w:rsidRPr="00653421">
        <w:rPr>
          <w:rFonts w:ascii="Tahoma" w:hAnsi="Tahoma" w:cs="Tahoma"/>
          <w:sz w:val="18"/>
          <w:szCs w:val="20"/>
        </w:rPr>
        <w:t xml:space="preserve">Licença WAH (Work at Home) disponível para Clientes Select </w:t>
      </w:r>
      <w:r w:rsidRPr="00653421">
        <w:rPr>
          <w:rFonts w:ascii="Tahoma" w:hAnsi="Tahoma" w:cs="Tahoma"/>
          <w:sz w:val="18"/>
          <w:szCs w:val="18"/>
        </w:rPr>
        <w:t>e Select Plus</w:t>
      </w:r>
      <w:r w:rsidRPr="00653421">
        <w:rPr>
          <w:rFonts w:ascii="Tahoma" w:hAnsi="Tahoma" w:cs="Tahoma"/>
          <w:sz w:val="18"/>
          <w:szCs w:val="20"/>
        </w:rPr>
        <w:t xml:space="preserve"> </w:t>
      </w:r>
    </w:p>
    <w:p w:rsidR="00223A77" w:rsidRPr="00C50FD1" w:rsidRDefault="00223A77" w:rsidP="002C1048">
      <w:pPr>
        <w:pStyle w:val="EndnoteText"/>
        <w:numPr>
          <w:ilvl w:val="0"/>
          <w:numId w:val="140"/>
        </w:numPr>
        <w:ind w:left="1080"/>
        <w:rPr>
          <w:lang w:val="pt-BR"/>
        </w:rPr>
      </w:pPr>
      <w:r w:rsidRPr="00C50FD1">
        <w:rPr>
          <w:rFonts w:ascii="Tahoma" w:hAnsi="Tahoma" w:cs="Tahoma"/>
          <w:sz w:val="18"/>
          <w:szCs w:val="20"/>
          <w:lang w:val="pt-BR"/>
        </w:rPr>
        <w:t>Licença WAH (Work at Home) disponível para Clientes do Contrato Enterprise</w:t>
      </w:r>
    </w:p>
    <w:p w:rsidR="00223A77" w:rsidRPr="00C50FD1" w:rsidRDefault="00223A77" w:rsidP="00D16C5F">
      <w:pPr>
        <w:pStyle w:val="FootnoteBulletLevel1"/>
        <w:tabs>
          <w:tab w:val="clear" w:pos="900"/>
        </w:tabs>
        <w:spacing w:before="0" w:after="0"/>
        <w:ind w:left="720" w:firstLine="0"/>
        <w:rPr>
          <w:lang w:val="pt-BR"/>
        </w:rPr>
      </w:pPr>
    </w:p>
    <w:p w:rsidR="00864B8A" w:rsidRPr="00C50FD1" w:rsidRDefault="00223A77" w:rsidP="00864B8A">
      <w:pPr>
        <w:spacing w:after="60"/>
        <w:ind w:left="720"/>
        <w:rPr>
          <w:lang w:val="pt-BR"/>
        </w:rPr>
      </w:pPr>
      <w:r w:rsidRPr="00C50FD1">
        <w:rPr>
          <w:rFonts w:cs="Tahoma"/>
          <w:b/>
          <w:lang w:val="pt-BR"/>
        </w:rPr>
        <w:t>Office Professional Plus 2013</w:t>
      </w:r>
    </w:p>
    <w:p w:rsidR="00223A77" w:rsidRPr="00C50FD1" w:rsidRDefault="00223A77" w:rsidP="00864B8A">
      <w:pPr>
        <w:spacing w:after="60"/>
        <w:ind w:left="720"/>
        <w:rPr>
          <w:lang w:val="pt-BR"/>
        </w:rPr>
      </w:pPr>
      <w:r w:rsidRPr="00C50FD1">
        <w:rPr>
          <w:rFonts w:cs="Tahoma"/>
          <w:lang w:val="pt-BR"/>
        </w:rPr>
        <w:t>A Licença para Office Professional Plus 2013 consiste no seguinte: Access 2013, Lync 2013, Excel 2013,</w:t>
      </w:r>
      <w:r w:rsidR="005A52A2" w:rsidRPr="00C50FD1">
        <w:rPr>
          <w:rFonts w:cs="Tahoma"/>
          <w:lang w:val="pt-BR"/>
        </w:rPr>
        <w:t xml:space="preserve"> </w:t>
      </w:r>
      <w:r w:rsidRPr="00C50FD1">
        <w:rPr>
          <w:rFonts w:cs="Tahoma"/>
          <w:lang w:val="pt-BR"/>
        </w:rPr>
        <w:t>InfoPath 2013, OneNote 2013, Outlook 2013, Office Home and Student RT 2013 – Uso Comercial, Office Web Apps, PowerPoint 2013, Publisher 2013 e Word 2013.</w:t>
      </w:r>
    </w:p>
    <w:p w:rsidR="00973A93" w:rsidRPr="00C50FD1" w:rsidRDefault="00973A93">
      <w:pPr>
        <w:rPr>
          <w:lang w:val="pt-BR"/>
        </w:rPr>
      </w:pPr>
    </w:p>
    <w:p w:rsidR="00223A77" w:rsidRPr="00C50FD1" w:rsidRDefault="00223A77" w:rsidP="00864B8A">
      <w:pPr>
        <w:spacing w:after="60"/>
        <w:ind w:left="720"/>
        <w:rPr>
          <w:lang w:val="pt-BR"/>
        </w:rPr>
      </w:pPr>
      <w:r w:rsidRPr="00C50FD1">
        <w:rPr>
          <w:rFonts w:cs="Tahoma"/>
          <w:b/>
          <w:lang w:val="pt-BR"/>
        </w:rPr>
        <w:t>Incapacidade de Separar o Office Professional Plus 2013</w:t>
      </w:r>
    </w:p>
    <w:p w:rsidR="00223A77" w:rsidRPr="00C50FD1" w:rsidRDefault="00223A77" w:rsidP="00D16C5F">
      <w:pPr>
        <w:pStyle w:val="FootnoteBulletLevel1"/>
        <w:tabs>
          <w:tab w:val="clear" w:pos="900"/>
        </w:tabs>
        <w:spacing w:before="0" w:after="0"/>
        <w:ind w:left="720" w:firstLine="0"/>
        <w:rPr>
          <w:lang w:val="pt-BR"/>
        </w:rPr>
      </w:pPr>
      <w:r w:rsidRPr="00C50FD1">
        <w:rPr>
          <w:rFonts w:ascii="Tahoma" w:hAnsi="Tahoma" w:cs="Tahoma"/>
          <w:sz w:val="18"/>
          <w:lang w:val="pt-BR"/>
        </w:rPr>
        <w:t>O Microsoft Office Professional Plus 2013 consiste em mais de um produto oferecido sob uma única licença. O software não deverá ser separado para uso em mais de um computador.</w:t>
      </w:r>
    </w:p>
    <w:p w:rsidR="00952A87" w:rsidRPr="00C50FD1" w:rsidRDefault="00952A87" w:rsidP="00D16C5F">
      <w:pPr>
        <w:ind w:left="720"/>
        <w:rPr>
          <w:lang w:val="pt-BR"/>
        </w:rPr>
      </w:pPr>
    </w:p>
    <w:p w:rsidR="007B0512" w:rsidRPr="00C50FD1" w:rsidRDefault="007B0512" w:rsidP="00D16C5F">
      <w:pPr>
        <w:ind w:left="720"/>
        <w:rPr>
          <w:lang w:val="pt-BR"/>
        </w:rPr>
      </w:pPr>
    </w:p>
    <w:p w:rsidR="00952A87" w:rsidRPr="00C50FD1" w:rsidRDefault="00952A87" w:rsidP="00864B8A">
      <w:pPr>
        <w:spacing w:after="60"/>
        <w:ind w:left="720"/>
        <w:rPr>
          <w:lang w:val="pt-BR"/>
        </w:rPr>
      </w:pPr>
      <w:r w:rsidRPr="00C50FD1">
        <w:rPr>
          <w:rFonts w:cs="Tahoma"/>
          <w:b/>
          <w:lang w:val="pt-BR"/>
        </w:rPr>
        <w:lastRenderedPageBreak/>
        <w:t>Contrato para Campus e School</w:t>
      </w:r>
    </w:p>
    <w:p w:rsidR="00001A9A" w:rsidRPr="00C50FD1" w:rsidRDefault="00952A87" w:rsidP="00D16C5F">
      <w:pPr>
        <w:ind w:left="720"/>
        <w:rPr>
          <w:lang w:val="pt-BR"/>
        </w:rPr>
      </w:pPr>
      <w:r w:rsidRPr="00C50FD1">
        <w:rPr>
          <w:rFonts w:eastAsia="Calibri" w:cs="Tahoma"/>
          <w:iCs/>
          <w:color w:val="000000"/>
          <w:szCs w:val="18"/>
          <w:lang w:val="pt-BR"/>
        </w:rPr>
        <w:t>As Instituições com USL de Assinatura do Office Professional Plus atribuídas a todo o corpo docente e funcionários poderão instalar o software Office Professional Plus 2013 em qualquer laboratório de acesso aberto ou biblioteca da Organização da Instituição.</w:t>
      </w:r>
      <w:r w:rsidR="005A52A2" w:rsidRPr="00C50FD1">
        <w:rPr>
          <w:rFonts w:eastAsia="Calibri" w:cs="Tahoma"/>
          <w:iCs/>
          <w:color w:val="000000"/>
          <w:szCs w:val="18"/>
          <w:lang w:val="pt-BR"/>
        </w:rPr>
        <w:t xml:space="preserve"> </w:t>
      </w:r>
      <w:r w:rsidRPr="00C50FD1">
        <w:rPr>
          <w:rFonts w:eastAsia="Calibri" w:cs="Tahoma"/>
          <w:iCs/>
          <w:color w:val="000000"/>
          <w:szCs w:val="18"/>
          <w:lang w:val="pt-BR"/>
        </w:rPr>
        <w:t>O uso do software está sujeito aos termos de licença para o Office Pro Plus 2013.</w:t>
      </w:r>
    </w:p>
    <w:p w:rsidR="00952A87" w:rsidRPr="00C50FD1" w:rsidRDefault="00952A87" w:rsidP="00D16C5F">
      <w:pPr>
        <w:rPr>
          <w:sz w:val="16"/>
          <w:szCs w:val="16"/>
          <w:lang w:val="pt-BR"/>
        </w:rPr>
      </w:pPr>
    </w:p>
    <w:p w:rsidR="00133069" w:rsidRPr="00C50FD1" w:rsidRDefault="00133069" w:rsidP="00133069">
      <w:pPr>
        <w:rPr>
          <w:sz w:val="16"/>
          <w:szCs w:val="16"/>
          <w:lang w:val="pt-BR"/>
        </w:rPr>
      </w:pPr>
    </w:p>
    <w:p w:rsidR="00223A77" w:rsidRPr="00653421" w:rsidRDefault="004668D9" w:rsidP="00223A77">
      <w:pPr>
        <w:pStyle w:val="Heading3"/>
      </w:pPr>
      <w:bookmarkStart w:id="1056" w:name="_109_Office_Standard"/>
      <w:bookmarkStart w:id="1057" w:name="_10_Office_Standard"/>
      <w:bookmarkStart w:id="1058" w:name="Aps_OfficeStandard2010"/>
      <w:bookmarkStart w:id="1059" w:name="_Toc254806115"/>
      <w:bookmarkStart w:id="1060" w:name="_Toc328146032"/>
      <w:bookmarkStart w:id="1061" w:name="_Toc353470914"/>
      <w:bookmarkStart w:id="1062" w:name="Aps_7OfficeStandard2010"/>
      <w:bookmarkStart w:id="1063" w:name="_Toc336338268"/>
      <w:bookmarkEnd w:id="1056"/>
      <w:bookmarkEnd w:id="1057"/>
      <w:r w:rsidRPr="00653421">
        <w:rPr>
          <w:rFonts w:ascii="Tahoma" w:hAnsi="Tahoma"/>
          <w:caps/>
          <w:color w:val="F66400"/>
          <w:sz w:val="22"/>
          <w:vertAlign w:val="superscript"/>
        </w:rPr>
        <w:t>10</w:t>
      </w:r>
      <w:r w:rsidRPr="00653421">
        <w:rPr>
          <w:rFonts w:ascii="Tahoma" w:hAnsi="Tahoma"/>
          <w:color w:val="F66400"/>
          <w:sz w:val="22"/>
        </w:rPr>
        <w:t xml:space="preserve"> Office Standard </w:t>
      </w:r>
      <w:bookmarkEnd w:id="1058"/>
      <w:bookmarkEnd w:id="1059"/>
      <w:bookmarkEnd w:id="1060"/>
      <w:r w:rsidRPr="00653421">
        <w:rPr>
          <w:rFonts w:ascii="Tahoma" w:hAnsi="Tahoma"/>
          <w:color w:val="F66400"/>
          <w:sz w:val="22"/>
        </w:rPr>
        <w:t>2013</w:t>
      </w:r>
      <w:bookmarkEnd w:id="1061"/>
    </w:p>
    <w:bookmarkEnd w:id="1062"/>
    <w:p w:rsidR="00223A77" w:rsidRPr="00653421" w:rsidRDefault="00223A77" w:rsidP="00AE5A9F">
      <w:pPr>
        <w:rPr>
          <w:sz w:val="16"/>
          <w:szCs w:val="16"/>
        </w:rPr>
      </w:pPr>
    </w:p>
    <w:p w:rsidR="00223A77" w:rsidRPr="00653421" w:rsidRDefault="00223A77" w:rsidP="002C1048">
      <w:pPr>
        <w:pStyle w:val="EndnoteText"/>
        <w:numPr>
          <w:ilvl w:val="3"/>
          <w:numId w:val="99"/>
        </w:numPr>
        <w:ind w:left="990"/>
      </w:pPr>
      <w:r w:rsidRPr="00653421">
        <w:rPr>
          <w:rFonts w:ascii="Tahoma" w:hAnsi="Tahoma" w:cs="Tahoma"/>
          <w:sz w:val="18"/>
          <w:szCs w:val="20"/>
        </w:rPr>
        <w:t>Licença WAH (Work at Home)</w:t>
      </w:r>
      <w:r w:rsidRPr="00653421">
        <w:rPr>
          <w:rFonts w:ascii="Tahoma" w:hAnsi="Tahoma" w:cs="Tahoma"/>
          <w:sz w:val="18"/>
        </w:rPr>
        <w:t xml:space="preserve"> disponível para Clientes Select </w:t>
      </w:r>
      <w:r w:rsidRPr="00653421">
        <w:rPr>
          <w:rFonts w:ascii="Tahoma" w:hAnsi="Tahoma" w:cs="Tahoma"/>
        </w:rPr>
        <w:t>e Select Plus</w:t>
      </w:r>
      <w:r w:rsidRPr="00653421">
        <w:rPr>
          <w:rFonts w:ascii="Tahoma" w:hAnsi="Tahoma" w:cs="Tahoma"/>
          <w:sz w:val="18"/>
        </w:rPr>
        <w:t xml:space="preserve"> </w:t>
      </w:r>
    </w:p>
    <w:p w:rsidR="00223A77" w:rsidRPr="00C50FD1" w:rsidRDefault="00223A77" w:rsidP="002C1048">
      <w:pPr>
        <w:pStyle w:val="EndnoteText"/>
        <w:numPr>
          <w:ilvl w:val="3"/>
          <w:numId w:val="99"/>
        </w:numPr>
        <w:ind w:left="990"/>
        <w:rPr>
          <w:lang w:val="pt-BR"/>
        </w:rPr>
      </w:pPr>
      <w:r w:rsidRPr="00C50FD1">
        <w:rPr>
          <w:rFonts w:ascii="Tahoma" w:hAnsi="Tahoma" w:cs="Tahoma"/>
          <w:sz w:val="18"/>
          <w:lang w:val="pt-BR"/>
        </w:rPr>
        <w:t>Licença WAH (Work at Home) disponível para Clientes do Contrato Enterprise</w:t>
      </w:r>
    </w:p>
    <w:p w:rsidR="00223A77" w:rsidRPr="00C50FD1" w:rsidRDefault="00223A77" w:rsidP="00DF0E39">
      <w:pPr>
        <w:pStyle w:val="FootnoteBulletLevel1"/>
        <w:tabs>
          <w:tab w:val="clear" w:pos="900"/>
        </w:tabs>
        <w:spacing w:before="0" w:after="0"/>
        <w:ind w:left="720" w:firstLine="0"/>
        <w:rPr>
          <w:rFonts w:ascii="Tahoma" w:hAnsi="Tahoma" w:cs="Tahoma"/>
          <w:sz w:val="16"/>
          <w:szCs w:val="16"/>
          <w:lang w:val="pt-BR"/>
        </w:rPr>
      </w:pPr>
    </w:p>
    <w:p w:rsidR="00864B8A" w:rsidRPr="00653421" w:rsidRDefault="00223A77" w:rsidP="00864B8A">
      <w:pPr>
        <w:spacing w:after="60"/>
        <w:ind w:left="720"/>
      </w:pPr>
      <w:r w:rsidRPr="00653421">
        <w:rPr>
          <w:rFonts w:cs="Tahoma"/>
          <w:b/>
        </w:rPr>
        <w:t>Office Standard 2013</w:t>
      </w:r>
    </w:p>
    <w:p w:rsidR="00223A77" w:rsidRPr="00653421" w:rsidRDefault="00223A77" w:rsidP="00DF0E39">
      <w:pPr>
        <w:pStyle w:val="FootnoteBulletLevel1"/>
        <w:tabs>
          <w:tab w:val="clear" w:pos="900"/>
        </w:tabs>
        <w:spacing w:before="0" w:after="0"/>
        <w:ind w:left="720" w:firstLine="0"/>
      </w:pPr>
      <w:r w:rsidRPr="00653421">
        <w:rPr>
          <w:rFonts w:ascii="Tahoma" w:hAnsi="Tahoma" w:cs="Tahoma"/>
          <w:sz w:val="18"/>
        </w:rPr>
        <w:t>A Licença do Office Standard 2013 consiste no seguinte: Excel 2013, OneNote 2013, Outlook 2013,</w:t>
      </w:r>
      <w:r w:rsidRPr="00653421">
        <w:rPr>
          <w:rFonts w:cs="Tahoma"/>
        </w:rPr>
        <w:t xml:space="preserve"> Office Home and Student RT 2013 – Uso Comercial,</w:t>
      </w:r>
      <w:r w:rsidRPr="00653421">
        <w:rPr>
          <w:rFonts w:ascii="Tahoma" w:hAnsi="Tahoma" w:cs="Tahoma"/>
          <w:sz w:val="18"/>
        </w:rPr>
        <w:t xml:space="preserve"> Office Web Apps, PowerPoint 2013, Publisher 2013 e</w:t>
      </w:r>
      <w:r w:rsidR="007B0512" w:rsidRPr="00653421">
        <w:rPr>
          <w:rFonts w:ascii="Tahoma" w:hAnsi="Tahoma" w:cs="Tahoma"/>
          <w:sz w:val="18"/>
        </w:rPr>
        <w:t> </w:t>
      </w:r>
      <w:r w:rsidRPr="00653421">
        <w:rPr>
          <w:rFonts w:ascii="Tahoma" w:hAnsi="Tahoma" w:cs="Tahoma"/>
          <w:sz w:val="18"/>
        </w:rPr>
        <w:t>Word 2013.</w:t>
      </w:r>
    </w:p>
    <w:p w:rsidR="00DF0E39" w:rsidRPr="00653421" w:rsidRDefault="00DF0E39" w:rsidP="00DF0E39">
      <w:pPr>
        <w:pStyle w:val="FootnoteBulletLevel1"/>
        <w:tabs>
          <w:tab w:val="clear" w:pos="900"/>
        </w:tabs>
        <w:spacing w:before="0" w:after="0"/>
        <w:ind w:left="720" w:firstLine="0"/>
        <w:rPr>
          <w:rFonts w:ascii="Tahoma" w:hAnsi="Tahoma" w:cs="Tahoma"/>
          <w:sz w:val="16"/>
          <w:szCs w:val="16"/>
        </w:rPr>
      </w:pPr>
    </w:p>
    <w:p w:rsidR="00864B8A" w:rsidRPr="00C50FD1" w:rsidRDefault="00223A77" w:rsidP="00864B8A">
      <w:pPr>
        <w:spacing w:after="60"/>
        <w:ind w:left="720"/>
        <w:rPr>
          <w:lang w:val="pt-BR"/>
        </w:rPr>
      </w:pPr>
      <w:r w:rsidRPr="00C50FD1">
        <w:rPr>
          <w:rFonts w:cs="Tahoma"/>
          <w:b/>
          <w:lang w:val="pt-BR"/>
        </w:rPr>
        <w:t>Incapacidade de Separar o Microsoft Office Standard 2013</w:t>
      </w:r>
    </w:p>
    <w:p w:rsidR="00223A77" w:rsidRPr="00C50FD1" w:rsidRDefault="00223A77" w:rsidP="002F39A5">
      <w:pPr>
        <w:spacing w:after="60"/>
        <w:ind w:left="720"/>
        <w:rPr>
          <w:lang w:val="pt-BR"/>
        </w:rPr>
      </w:pPr>
      <w:r w:rsidRPr="00C50FD1">
        <w:rPr>
          <w:rFonts w:cs="Tahoma"/>
          <w:lang w:val="pt-BR"/>
        </w:rPr>
        <w:t xml:space="preserve">O Office Standard 2013 consiste em mais de um produto oferecido sob uma única licença. O software </w:t>
      </w:r>
      <w:r w:rsidR="00581A82" w:rsidRPr="00C50FD1">
        <w:rPr>
          <w:rFonts w:cs="Tahoma"/>
          <w:lang w:val="pt-BR"/>
        </w:rPr>
        <w:br/>
      </w:r>
      <w:r w:rsidRPr="00C50FD1">
        <w:rPr>
          <w:rFonts w:cs="Tahoma"/>
          <w:lang w:val="pt-BR"/>
        </w:rPr>
        <w:t>não deverá ser separado para uso em mais de um computador.</w:t>
      </w:r>
    </w:p>
    <w:p w:rsidR="002F39A5" w:rsidRPr="00C50FD1" w:rsidRDefault="002F39A5" w:rsidP="002F39A5">
      <w:pPr>
        <w:rPr>
          <w:sz w:val="16"/>
          <w:szCs w:val="16"/>
          <w:lang w:val="pt-BR"/>
        </w:rPr>
      </w:pPr>
    </w:p>
    <w:p w:rsidR="002F39A5" w:rsidRPr="00C50FD1" w:rsidRDefault="002F39A5" w:rsidP="002F39A5">
      <w:pPr>
        <w:rPr>
          <w:sz w:val="16"/>
          <w:szCs w:val="16"/>
          <w:lang w:val="pt-BR"/>
        </w:rPr>
      </w:pPr>
    </w:p>
    <w:p w:rsidR="00B2182D" w:rsidRPr="00C50FD1" w:rsidRDefault="004668D9" w:rsidP="00461CA9">
      <w:pPr>
        <w:pStyle w:val="Heading3"/>
        <w:rPr>
          <w:lang w:val="pt-BR"/>
        </w:rPr>
      </w:pPr>
      <w:bookmarkStart w:id="1064" w:name="_110_Office_365"/>
      <w:bookmarkStart w:id="1065" w:name="_11_Office_365"/>
      <w:bookmarkStart w:id="1066" w:name="_Toc353470915"/>
      <w:bookmarkStart w:id="1067" w:name="Aps_9OfficeProPlusSubUserSL"/>
      <w:bookmarkEnd w:id="1064"/>
      <w:bookmarkEnd w:id="1065"/>
      <w:r w:rsidRPr="00C50FD1">
        <w:rPr>
          <w:rFonts w:ascii="Tahoma" w:hAnsi="Tahoma" w:cs="Tahoma"/>
          <w:caps/>
          <w:color w:val="F26200"/>
          <w:sz w:val="22"/>
          <w:vertAlign w:val="superscript"/>
          <w:lang w:val="pt-BR"/>
        </w:rPr>
        <w:t>11</w:t>
      </w:r>
      <w:r w:rsidRPr="00C50FD1">
        <w:rPr>
          <w:rFonts w:ascii="Tahoma" w:hAnsi="Tahoma" w:cs="Tahoma"/>
          <w:color w:val="F26200"/>
          <w:sz w:val="22"/>
          <w:lang w:val="pt-BR"/>
        </w:rPr>
        <w:t xml:space="preserve"> Office 365 ProPlus (SL de Usuário)</w:t>
      </w:r>
      <w:bookmarkEnd w:id="1063"/>
      <w:bookmarkEnd w:id="1066"/>
    </w:p>
    <w:bookmarkEnd w:id="1067"/>
    <w:p w:rsidR="00B2182D" w:rsidRPr="00C50FD1" w:rsidRDefault="00B2182D" w:rsidP="00AE5A9F">
      <w:pPr>
        <w:rPr>
          <w:sz w:val="16"/>
          <w:szCs w:val="16"/>
          <w:lang w:val="pt-BR"/>
        </w:rPr>
      </w:pPr>
    </w:p>
    <w:p w:rsidR="003418C5" w:rsidRPr="00C50FD1" w:rsidRDefault="003418C5" w:rsidP="003418C5">
      <w:pPr>
        <w:spacing w:after="60"/>
        <w:ind w:left="720"/>
        <w:rPr>
          <w:lang w:val="pt-BR"/>
        </w:rPr>
      </w:pPr>
      <w:r w:rsidRPr="00C50FD1">
        <w:rPr>
          <w:b/>
          <w:bCs/>
          <w:lang w:val="pt-BR"/>
        </w:rPr>
        <w:t>Qualificação para Compra</w:t>
      </w:r>
    </w:p>
    <w:p w:rsidR="003418C5" w:rsidRPr="00C50FD1" w:rsidRDefault="003418C5" w:rsidP="003418C5">
      <w:pPr>
        <w:ind w:left="720"/>
        <w:rPr>
          <w:lang w:val="pt-BR"/>
        </w:rPr>
      </w:pPr>
      <w:r w:rsidRPr="00C50FD1">
        <w:rPr>
          <w:lang w:val="pt-BR"/>
        </w:rPr>
        <w:t>Você só poderá comprar a licença de Transição de SA do Office 365 ProPlus se você tiver uma licença de</w:t>
      </w:r>
      <w:r w:rsidR="007B0512" w:rsidRPr="00C50FD1">
        <w:rPr>
          <w:lang w:val="pt-BR"/>
        </w:rPr>
        <w:t> </w:t>
      </w:r>
      <w:r w:rsidRPr="00C50FD1">
        <w:rPr>
          <w:lang w:val="pt-BR"/>
        </w:rPr>
        <w:t xml:space="preserve">Software Assurance do Office Professional Plus subjacente em um Contrato Enterprise ativo. </w:t>
      </w:r>
    </w:p>
    <w:p w:rsidR="003418C5" w:rsidRPr="00C50FD1" w:rsidRDefault="003418C5" w:rsidP="00864B8A">
      <w:pPr>
        <w:spacing w:after="60"/>
        <w:ind w:left="720"/>
        <w:rPr>
          <w:sz w:val="16"/>
          <w:szCs w:val="16"/>
          <w:lang w:val="pt-BR"/>
        </w:rPr>
      </w:pPr>
    </w:p>
    <w:p w:rsidR="005C647E" w:rsidRPr="00C50FD1" w:rsidRDefault="005C647E" w:rsidP="00864B8A">
      <w:pPr>
        <w:spacing w:after="60"/>
        <w:ind w:left="720"/>
        <w:rPr>
          <w:lang w:val="pt-BR"/>
        </w:rPr>
      </w:pPr>
      <w:r w:rsidRPr="00C50FD1">
        <w:rPr>
          <w:rFonts w:cs="Tahoma"/>
          <w:b/>
          <w:lang w:val="pt-BR"/>
        </w:rPr>
        <w:t>Campus e School</w:t>
      </w:r>
    </w:p>
    <w:p w:rsidR="005C647E" w:rsidRPr="00C50FD1" w:rsidRDefault="005C647E" w:rsidP="00810479">
      <w:pPr>
        <w:ind w:left="720"/>
        <w:rPr>
          <w:lang w:val="pt-BR"/>
        </w:rPr>
      </w:pPr>
      <w:r w:rsidRPr="00C50FD1">
        <w:rPr>
          <w:color w:val="000000"/>
          <w:lang w:val="pt-BR"/>
        </w:rPr>
        <w:t>Se a Instituição se inscrever no Office Professional Plus Subscription, ela deverá adquirir uma licença para cada Usuário Qualificado na organização da Instituição. Se a Instituição se inscrever na opção Student no Office Professional Plus Subscription, ela deverá adquirir uma licença para cada Aluno na Organização.</w:t>
      </w:r>
    </w:p>
    <w:p w:rsidR="005C647E" w:rsidRPr="00C50FD1" w:rsidRDefault="005C647E" w:rsidP="00810479">
      <w:pPr>
        <w:ind w:left="720"/>
        <w:rPr>
          <w:sz w:val="16"/>
          <w:szCs w:val="16"/>
          <w:lang w:val="pt-BR"/>
        </w:rPr>
      </w:pPr>
    </w:p>
    <w:p w:rsidR="008368B4" w:rsidRPr="00C50FD1" w:rsidRDefault="008368B4" w:rsidP="008368B4">
      <w:pPr>
        <w:ind w:left="720"/>
        <w:rPr>
          <w:lang w:val="pt-BR"/>
        </w:rPr>
      </w:pPr>
      <w:r w:rsidRPr="00C50FD1">
        <w:rPr>
          <w:rFonts w:cs="Tahoma"/>
          <w:b/>
          <w:bCs/>
          <w:szCs w:val="18"/>
          <w:lang w:val="pt-BR"/>
        </w:rPr>
        <w:t>Uso do Office Professional Plus 2010 ou Office para Mac Standard 2011</w:t>
      </w:r>
    </w:p>
    <w:p w:rsidR="008368B4" w:rsidRPr="00C50FD1" w:rsidRDefault="008368B4" w:rsidP="008368B4">
      <w:pPr>
        <w:ind w:left="720"/>
        <w:rPr>
          <w:lang w:val="pt-BR"/>
        </w:rPr>
      </w:pPr>
      <w:r w:rsidRPr="00C50FD1">
        <w:rPr>
          <w:rFonts w:cs="Tahoma"/>
          <w:bCs/>
          <w:szCs w:val="18"/>
          <w:lang w:val="pt-BR"/>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w:t>
      </w:r>
      <w:r w:rsidR="005A52A2" w:rsidRPr="00C50FD1">
        <w:rPr>
          <w:rFonts w:cs="Tahoma"/>
          <w:bCs/>
          <w:szCs w:val="18"/>
          <w:lang w:val="pt-BR"/>
        </w:rPr>
        <w:t xml:space="preserve"> </w:t>
      </w:r>
      <w:r w:rsidRPr="00C50FD1">
        <w:rPr>
          <w:rFonts w:cs="Tahoma"/>
          <w:bCs/>
          <w:szCs w:val="18"/>
          <w:lang w:val="pt-BR"/>
        </w:rPr>
        <w:t>2014 para atualizar seus dispositivos para a mídia Office 365 ProPlus.</w:t>
      </w:r>
    </w:p>
    <w:p w:rsidR="008368B4" w:rsidRPr="00C50FD1" w:rsidRDefault="008368B4" w:rsidP="008368B4">
      <w:pPr>
        <w:ind w:left="720"/>
        <w:rPr>
          <w:sz w:val="16"/>
          <w:szCs w:val="16"/>
          <w:lang w:val="pt-BR"/>
        </w:rPr>
      </w:pPr>
    </w:p>
    <w:p w:rsidR="008368B4" w:rsidRPr="00C50FD1" w:rsidRDefault="008368B4" w:rsidP="008368B4">
      <w:pPr>
        <w:spacing w:after="60"/>
        <w:ind w:left="720"/>
        <w:rPr>
          <w:lang w:val="pt-BR"/>
        </w:rPr>
      </w:pPr>
      <w:r w:rsidRPr="00C50FD1">
        <w:rPr>
          <w:rFonts w:cs="Tahoma"/>
          <w:b/>
          <w:lang w:val="pt-BR"/>
        </w:rPr>
        <w:t>Qualificação de Mídia com Serviços de Área de Trabalho Remota (RDS)</w:t>
      </w:r>
    </w:p>
    <w:p w:rsidR="008368B4" w:rsidRPr="00C50FD1" w:rsidRDefault="008368B4" w:rsidP="008368B4">
      <w:pPr>
        <w:ind w:left="720"/>
        <w:rPr>
          <w:lang w:val="pt-BR"/>
        </w:rPr>
      </w:pPr>
      <w:r w:rsidRPr="00C50FD1">
        <w:rPr>
          <w:rFonts w:cs="Tahoma"/>
          <w:szCs w:val="18"/>
          <w:lang w:val="pt-BR"/>
        </w:rPr>
        <w:t>Se o usuário para o qual você atribuiu uma licença do Office 365 ProPlus usar o software em um servidor de</w:t>
      </w:r>
      <w:r w:rsidR="007B0512" w:rsidRPr="00C50FD1">
        <w:rPr>
          <w:rFonts w:cs="Tahoma"/>
          <w:szCs w:val="18"/>
          <w:lang w:val="pt-BR"/>
        </w:rPr>
        <w:t> </w:t>
      </w:r>
      <w:r w:rsidRPr="00C50FD1">
        <w:rPr>
          <w:rFonts w:cs="Tahoma"/>
          <w:szCs w:val="18"/>
          <w:lang w:val="pt-BR"/>
        </w:rPr>
        <w:t>rede com a função RDS ativada, em vez de instalar uma cópia do software fornecido com o Office 365 ProPlus em um dos cinco dispositivos permitidos de acordo com os Direitos de Uso do Produto para Office</w:t>
      </w:r>
      <w:r w:rsidR="005723AA" w:rsidRPr="00C50FD1">
        <w:rPr>
          <w:rFonts w:cs="Tahoma"/>
          <w:szCs w:val="18"/>
          <w:lang w:val="pt-BR"/>
        </w:rPr>
        <w:t> </w:t>
      </w:r>
      <w:r w:rsidRPr="00C50FD1">
        <w:rPr>
          <w:rFonts w:cs="Tahoma"/>
          <w:szCs w:val="18"/>
          <w:lang w:val="pt-BR"/>
        </w:rPr>
        <w:t>365 ProPlus, esse usuário poderá 1) instalar uma cópia do software Office Professional Plus 2013 em um servidor de rede e 2) acessar o software Office Professional Plus 2013 de qualquer dispositivo.</w:t>
      </w:r>
      <w:r w:rsidR="005A52A2" w:rsidRPr="00C50FD1">
        <w:rPr>
          <w:rFonts w:cs="Tahoma"/>
          <w:szCs w:val="18"/>
          <w:lang w:val="pt-BR"/>
        </w:rPr>
        <w:t xml:space="preserve"> </w:t>
      </w:r>
      <w:r w:rsidRPr="00C50FD1">
        <w:rPr>
          <w:rFonts w:cs="Tahoma"/>
          <w:szCs w:val="18"/>
          <w:lang w:val="pt-BR"/>
        </w:rPr>
        <w:t xml:space="preserve">Mediante </w:t>
      </w:r>
      <w:r w:rsidR="00581A82" w:rsidRPr="00C50FD1">
        <w:rPr>
          <w:rFonts w:cs="Tahoma"/>
          <w:szCs w:val="18"/>
          <w:lang w:val="pt-BR"/>
        </w:rPr>
        <w:br/>
      </w:r>
      <w:r w:rsidRPr="00C50FD1">
        <w:rPr>
          <w:rFonts w:cs="Tahoma"/>
          <w:szCs w:val="18"/>
          <w:lang w:val="pt-BR"/>
        </w:rPr>
        <w:t>o término da sua assinatura do Office 365 ProPlus, você deverá desinstalar o software Office Professional Plus</w:t>
      </w:r>
      <w:r w:rsidR="007B0512" w:rsidRPr="00C50FD1">
        <w:rPr>
          <w:rFonts w:cs="Tahoma"/>
          <w:szCs w:val="18"/>
          <w:lang w:val="pt-BR"/>
        </w:rPr>
        <w:t> </w:t>
      </w:r>
      <w:r w:rsidRPr="00C50FD1">
        <w:rPr>
          <w:rFonts w:cs="Tahoma"/>
          <w:szCs w:val="18"/>
          <w:lang w:val="pt-BR"/>
        </w:rPr>
        <w:t xml:space="preserve">2013 do servidor de rede. </w:t>
      </w:r>
    </w:p>
    <w:p w:rsidR="00B2182D" w:rsidRPr="00C50FD1" w:rsidRDefault="00B2182D" w:rsidP="00810479">
      <w:pPr>
        <w:ind w:left="720"/>
        <w:rPr>
          <w:sz w:val="16"/>
          <w:szCs w:val="16"/>
          <w:lang w:val="pt-BR"/>
        </w:rPr>
      </w:pPr>
    </w:p>
    <w:p w:rsidR="00ED6F81" w:rsidRPr="00C50FD1" w:rsidRDefault="00ED6F81" w:rsidP="00864B8A">
      <w:pPr>
        <w:spacing w:after="60"/>
        <w:ind w:left="720"/>
        <w:rPr>
          <w:lang w:val="pt-BR"/>
        </w:rPr>
      </w:pPr>
      <w:r w:rsidRPr="00C50FD1">
        <w:rPr>
          <w:rFonts w:cs="Tahoma"/>
          <w:b/>
          <w:lang w:val="pt-BR"/>
        </w:rPr>
        <w:t>Qualificação de Mídias com o Windows To Go Rights</w:t>
      </w:r>
    </w:p>
    <w:p w:rsidR="008368B4" w:rsidRPr="00C50FD1" w:rsidRDefault="008368B4" w:rsidP="008368B4">
      <w:pPr>
        <w:ind w:left="720"/>
        <w:rPr>
          <w:lang w:val="pt-BR"/>
        </w:rPr>
      </w:pPr>
      <w:r w:rsidRPr="00C50FD1">
        <w:rPr>
          <w:lang w:val="pt-BR"/>
        </w:rPr>
        <w:t>C</w:t>
      </w:r>
      <w:r w:rsidRPr="00C50FD1">
        <w:rPr>
          <w:rFonts w:cs="Tahoma"/>
          <w:szCs w:val="18"/>
          <w:lang w:val="pt-BR"/>
        </w:rPr>
        <w:t>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w:t>
      </w:r>
      <w:r w:rsidR="005723AA" w:rsidRPr="00C50FD1">
        <w:rPr>
          <w:rFonts w:cs="Tahoma"/>
          <w:szCs w:val="18"/>
          <w:lang w:val="pt-BR"/>
        </w:rPr>
        <w:t> </w:t>
      </w:r>
      <w:r w:rsidRPr="00C50FD1">
        <w:rPr>
          <w:rFonts w:cs="Tahoma"/>
          <w:szCs w:val="18"/>
          <w:lang w:val="pt-BR"/>
        </w:rPr>
        <w:t xml:space="preserve">software Office Professional </w:t>
      </w:r>
      <w:r w:rsidRPr="00C50FD1">
        <w:rPr>
          <w:rFonts w:cs="Tahoma"/>
          <w:color w:val="000000" w:themeColor="text1"/>
          <w:szCs w:val="18"/>
          <w:lang w:val="pt-BR"/>
        </w:rPr>
        <w:t>Plus 2013 na unidade USB usada para o Windows to Go Rights e 2) usar o</w:t>
      </w:r>
      <w:r w:rsidR="005723AA" w:rsidRPr="00C50FD1">
        <w:rPr>
          <w:rFonts w:cs="Tahoma"/>
          <w:color w:val="000000" w:themeColor="text1"/>
          <w:szCs w:val="18"/>
          <w:lang w:val="pt-BR"/>
        </w:rPr>
        <w:t> </w:t>
      </w:r>
      <w:r w:rsidRPr="00C50FD1">
        <w:rPr>
          <w:rFonts w:cs="Tahoma"/>
          <w:color w:val="000000" w:themeColor="text1"/>
          <w:szCs w:val="18"/>
          <w:lang w:val="pt-BR"/>
        </w:rPr>
        <w:t xml:space="preserve">software Office Professional Plus 2013 </w:t>
      </w:r>
      <w:r w:rsidRPr="00C50FD1">
        <w:rPr>
          <w:rFonts w:cs="Tahoma"/>
          <w:szCs w:val="18"/>
          <w:lang w:val="pt-BR"/>
        </w:rPr>
        <w:t>nessa unidade USB em qualquer dispositivo licenciado. Mediante o</w:t>
      </w:r>
      <w:r w:rsidR="007B0512" w:rsidRPr="00C50FD1">
        <w:rPr>
          <w:rFonts w:cs="Tahoma"/>
          <w:szCs w:val="18"/>
          <w:lang w:val="pt-BR"/>
        </w:rPr>
        <w:t> </w:t>
      </w:r>
      <w:r w:rsidRPr="00C50FD1">
        <w:rPr>
          <w:rFonts w:cs="Tahoma"/>
          <w:szCs w:val="18"/>
          <w:lang w:val="pt-BR"/>
        </w:rPr>
        <w:t>término da sua assinatura do Office 365 Plus, você deverá desinstalar o software Office Professional Plus</w:t>
      </w:r>
      <w:r w:rsidR="007B0512" w:rsidRPr="00C50FD1">
        <w:rPr>
          <w:rFonts w:cs="Tahoma"/>
          <w:szCs w:val="18"/>
          <w:lang w:val="pt-BR"/>
        </w:rPr>
        <w:t> </w:t>
      </w:r>
      <w:r w:rsidRPr="00C50FD1">
        <w:rPr>
          <w:rFonts w:cs="Tahoma"/>
          <w:szCs w:val="18"/>
          <w:lang w:val="pt-BR"/>
        </w:rPr>
        <w:t xml:space="preserve">2013 da unidade USB. </w:t>
      </w:r>
    </w:p>
    <w:p w:rsidR="00B2182D" w:rsidRPr="00C50FD1" w:rsidRDefault="00B2182D" w:rsidP="00864B8A">
      <w:pPr>
        <w:spacing w:after="60"/>
        <w:ind w:left="720"/>
        <w:rPr>
          <w:lang w:val="pt-BR"/>
        </w:rPr>
      </w:pPr>
      <w:r w:rsidRPr="00C50FD1">
        <w:rPr>
          <w:rFonts w:cs="Tahoma"/>
          <w:b/>
          <w:lang w:val="pt-BR"/>
        </w:rPr>
        <w:lastRenderedPageBreak/>
        <w:t>Direitos de Downgrade</w:t>
      </w:r>
    </w:p>
    <w:p w:rsidR="008368B4" w:rsidRPr="00C50FD1" w:rsidRDefault="008368B4" w:rsidP="008368B4">
      <w:pPr>
        <w:ind w:left="720"/>
        <w:rPr>
          <w:lang w:val="pt-BR"/>
        </w:rPr>
      </w:pPr>
      <w:r w:rsidRPr="00C50FD1">
        <w:rPr>
          <w:rFonts w:cs="Tahoma"/>
          <w:bCs/>
          <w:szCs w:val="18"/>
          <w:lang w:val="pt-BR"/>
        </w:rPr>
        <w:t>O serviço Office 365 ProPlus não possui direitos de downgrade. Para obter mais informações sobre os</w:t>
      </w:r>
      <w:r w:rsidR="005723AA" w:rsidRPr="00C50FD1">
        <w:rPr>
          <w:rFonts w:cs="Tahoma"/>
          <w:bCs/>
          <w:szCs w:val="18"/>
          <w:lang w:val="pt-BR"/>
        </w:rPr>
        <w:t> </w:t>
      </w:r>
      <w:r w:rsidRPr="00C50FD1">
        <w:rPr>
          <w:rFonts w:cs="Tahoma"/>
          <w:bCs/>
          <w:szCs w:val="18"/>
          <w:lang w:val="pt-BR"/>
        </w:rPr>
        <w:t xml:space="preserve">requisitos de atualização dos Serviços Online, consulte os Direitos de Uso de Produto (PUR) no site </w:t>
      </w:r>
      <w:hyperlink r:id="rId38" w:history="1">
        <w:r w:rsidRPr="00C50FD1">
          <w:rPr>
            <w:rStyle w:val="Hyperlink"/>
            <w:rFonts w:cs="Tahoma"/>
            <w:bCs/>
            <w:szCs w:val="18"/>
            <w:lang w:val="pt-BR"/>
          </w:rPr>
          <w:t>http://www.microsoftvolumelicensing.com/userights/PUR.aspx</w:t>
        </w:r>
      </w:hyperlink>
    </w:p>
    <w:p w:rsidR="00AE5A9F" w:rsidRPr="00C50FD1" w:rsidRDefault="00AE5A9F" w:rsidP="00AE5A9F">
      <w:pPr>
        <w:rPr>
          <w:sz w:val="16"/>
          <w:szCs w:val="16"/>
          <w:lang w:val="pt-BR"/>
        </w:rPr>
      </w:pPr>
      <w:bookmarkStart w:id="1068" w:name="Srv_9OutlookMac2011"/>
    </w:p>
    <w:p w:rsidR="00AE5A9F" w:rsidRPr="00C50FD1" w:rsidRDefault="00AE5A9F" w:rsidP="00AE5A9F">
      <w:pPr>
        <w:rPr>
          <w:sz w:val="16"/>
          <w:szCs w:val="16"/>
          <w:lang w:val="pt-BR"/>
        </w:rPr>
      </w:pPr>
    </w:p>
    <w:p w:rsidR="00704723" w:rsidRPr="00C50FD1" w:rsidRDefault="004668D9" w:rsidP="00704723">
      <w:pPr>
        <w:pStyle w:val="Heading3"/>
        <w:rPr>
          <w:lang w:val="pt-BR"/>
        </w:rPr>
      </w:pPr>
      <w:bookmarkStart w:id="1069" w:name="_121_Outlook_for"/>
      <w:bookmarkStart w:id="1070" w:name="_12_Outlook_para"/>
      <w:bookmarkStart w:id="1071" w:name="_Toc336338270"/>
      <w:bookmarkStart w:id="1072" w:name="_Toc353470916"/>
      <w:bookmarkEnd w:id="1069"/>
      <w:bookmarkEnd w:id="1070"/>
      <w:r w:rsidRPr="00C50FD1">
        <w:rPr>
          <w:rFonts w:ascii="Tahoma" w:hAnsi="Tahoma"/>
          <w:caps/>
          <w:color w:val="F66400"/>
          <w:sz w:val="22"/>
          <w:vertAlign w:val="superscript"/>
          <w:lang w:val="pt-BR"/>
        </w:rPr>
        <w:t>12</w:t>
      </w:r>
      <w:r w:rsidRPr="00C50FD1">
        <w:rPr>
          <w:rFonts w:ascii="Tahoma" w:hAnsi="Tahoma"/>
          <w:color w:val="F66400"/>
          <w:sz w:val="22"/>
          <w:lang w:val="pt-BR"/>
        </w:rPr>
        <w:t xml:space="preserve"> Outlook para Mac 2011</w:t>
      </w:r>
      <w:bookmarkEnd w:id="1071"/>
      <w:bookmarkEnd w:id="1072"/>
      <w:r w:rsidRPr="00C50FD1">
        <w:rPr>
          <w:rFonts w:ascii="Tahoma" w:hAnsi="Tahoma"/>
          <w:color w:val="F66400"/>
          <w:sz w:val="22"/>
          <w:lang w:val="pt-BR"/>
        </w:rPr>
        <w:t xml:space="preserve"> </w:t>
      </w:r>
    </w:p>
    <w:bookmarkEnd w:id="1068"/>
    <w:p w:rsidR="00704723" w:rsidRPr="00C50FD1" w:rsidRDefault="00704723" w:rsidP="00AE5A9F">
      <w:pPr>
        <w:rPr>
          <w:sz w:val="16"/>
          <w:szCs w:val="16"/>
          <w:lang w:val="pt-BR"/>
        </w:rPr>
      </w:pPr>
    </w:p>
    <w:p w:rsidR="00704723" w:rsidRPr="00C50FD1" w:rsidRDefault="00704723" w:rsidP="00864B8A">
      <w:pPr>
        <w:spacing w:after="60"/>
        <w:ind w:left="720"/>
        <w:rPr>
          <w:lang w:val="pt-BR"/>
        </w:rPr>
      </w:pPr>
      <w:r w:rsidRPr="00C50FD1">
        <w:rPr>
          <w:rFonts w:cs="Tahoma"/>
          <w:b/>
          <w:lang w:val="pt-BR"/>
        </w:rPr>
        <w:t>Caminho de Migração do Software Assurance para o Entourage para Mac 2008</w:t>
      </w:r>
    </w:p>
    <w:p w:rsidR="00223A77" w:rsidRPr="00C50FD1" w:rsidRDefault="00704723" w:rsidP="00AE5A9F">
      <w:pPr>
        <w:adjustRightInd w:val="0"/>
        <w:ind w:left="720"/>
        <w:textAlignment w:val="baseline"/>
        <w:rPr>
          <w:lang w:val="pt-BR"/>
        </w:rPr>
      </w:pPr>
      <w:r w:rsidRPr="00C50FD1">
        <w:rPr>
          <w:rFonts w:cs="Tahoma"/>
          <w:szCs w:val="20"/>
          <w:lang w:val="pt-BR"/>
        </w:rPr>
        <w:t>A versão substituta do Entourage para Mac</w:t>
      </w:r>
      <w:bookmarkStart w:id="1073" w:name="Srv_8Project2010Pro"/>
      <w:r w:rsidRPr="00C50FD1">
        <w:rPr>
          <w:rFonts w:cs="Tahoma"/>
          <w:szCs w:val="20"/>
          <w:lang w:val="pt-BR"/>
        </w:rPr>
        <w:t xml:space="preserve"> 2008 é o Outlook para Mac 2011.</w:t>
      </w:r>
    </w:p>
    <w:p w:rsidR="00AE5A9F" w:rsidRPr="00C50FD1" w:rsidRDefault="00AE5A9F" w:rsidP="00AE5A9F">
      <w:pPr>
        <w:adjustRightInd w:val="0"/>
        <w:textAlignment w:val="baseline"/>
        <w:rPr>
          <w:sz w:val="16"/>
          <w:szCs w:val="16"/>
          <w:lang w:val="pt-BR"/>
        </w:rPr>
      </w:pPr>
    </w:p>
    <w:p w:rsidR="00AE5A9F" w:rsidRPr="00C50FD1" w:rsidRDefault="00AE5A9F" w:rsidP="00AE5A9F">
      <w:pPr>
        <w:adjustRightInd w:val="0"/>
        <w:textAlignment w:val="baseline"/>
        <w:rPr>
          <w:sz w:val="16"/>
          <w:szCs w:val="16"/>
          <w:lang w:val="pt-BR"/>
        </w:rPr>
      </w:pPr>
    </w:p>
    <w:p w:rsidR="00223A77" w:rsidRPr="00C50FD1" w:rsidRDefault="004668D9" w:rsidP="00223A77">
      <w:pPr>
        <w:pStyle w:val="Heading3"/>
        <w:rPr>
          <w:lang w:val="pt-BR"/>
        </w:rPr>
      </w:pPr>
      <w:bookmarkStart w:id="1074" w:name="_132_Project_2013"/>
      <w:bookmarkStart w:id="1075" w:name="_13_Project_2013"/>
      <w:bookmarkStart w:id="1076" w:name="_Toc336338271"/>
      <w:bookmarkStart w:id="1077" w:name="_Toc353470917"/>
      <w:bookmarkStart w:id="1078" w:name="_Toc254806116"/>
      <w:bookmarkStart w:id="1079" w:name="Srv_Project2010Pro"/>
      <w:bookmarkStart w:id="1080" w:name="Aps_8Project2010Pro"/>
      <w:bookmarkEnd w:id="1074"/>
      <w:bookmarkEnd w:id="1075"/>
      <w:r w:rsidRPr="00C50FD1">
        <w:rPr>
          <w:rFonts w:ascii="Tahoma" w:hAnsi="Tahoma"/>
          <w:caps/>
          <w:color w:val="F66400"/>
          <w:sz w:val="22"/>
          <w:vertAlign w:val="superscript"/>
          <w:lang w:val="pt-BR"/>
        </w:rPr>
        <w:t>13</w:t>
      </w:r>
      <w:r w:rsidRPr="00C50FD1">
        <w:rPr>
          <w:rFonts w:ascii="Tahoma" w:hAnsi="Tahoma"/>
          <w:color w:val="F66400"/>
          <w:sz w:val="22"/>
          <w:lang w:val="pt-BR"/>
        </w:rPr>
        <w:t xml:space="preserve"> Project 2013 Professional</w:t>
      </w:r>
      <w:bookmarkEnd w:id="1076"/>
      <w:bookmarkEnd w:id="1077"/>
      <w:r w:rsidRPr="00C50FD1">
        <w:rPr>
          <w:rFonts w:ascii="Tahoma" w:hAnsi="Tahoma"/>
          <w:color w:val="F66400"/>
          <w:sz w:val="22"/>
          <w:lang w:val="pt-BR"/>
        </w:rPr>
        <w:t xml:space="preserve"> </w:t>
      </w:r>
      <w:bookmarkEnd w:id="1078"/>
    </w:p>
    <w:bookmarkEnd w:id="1073"/>
    <w:bookmarkEnd w:id="1079"/>
    <w:bookmarkEnd w:id="1080"/>
    <w:p w:rsidR="00223A77" w:rsidRPr="00C50FD1" w:rsidRDefault="00223A77" w:rsidP="00AE5A9F">
      <w:pPr>
        <w:ind w:left="720"/>
        <w:rPr>
          <w:sz w:val="16"/>
          <w:szCs w:val="16"/>
          <w:lang w:val="pt-BR"/>
        </w:rPr>
      </w:pPr>
    </w:p>
    <w:p w:rsidR="00223A77" w:rsidRPr="00C50FD1" w:rsidRDefault="00223A77" w:rsidP="00864B8A">
      <w:pPr>
        <w:spacing w:after="60"/>
        <w:ind w:left="720"/>
        <w:rPr>
          <w:lang w:val="pt-BR"/>
        </w:rPr>
      </w:pPr>
      <w:r w:rsidRPr="00C50FD1">
        <w:rPr>
          <w:rFonts w:cs="Tahoma"/>
          <w:b/>
          <w:lang w:val="pt-BR"/>
        </w:rPr>
        <w:t>CAL do Project Server Complementar</w:t>
      </w:r>
    </w:p>
    <w:p w:rsidR="00223A77" w:rsidRPr="00C50FD1" w:rsidRDefault="00223A77" w:rsidP="00AE5A9F">
      <w:pPr>
        <w:pStyle w:val="EndnoteText"/>
        <w:ind w:left="720"/>
        <w:rPr>
          <w:lang w:val="pt-BR"/>
        </w:rPr>
      </w:pPr>
      <w:r w:rsidRPr="00C50FD1">
        <w:rPr>
          <w:rStyle w:val="EndnoteTextChar"/>
          <w:rFonts w:ascii="Tahoma" w:hAnsi="Tahoma" w:cs="Tahoma"/>
          <w:sz w:val="18"/>
          <w:lang w:val="pt-BR"/>
        </w:rPr>
        <w:t>Os clientes que licenciarem o Project Professional 2013 terão uma CAL do Dispositivo do Project Server</w:t>
      </w:r>
      <w:r w:rsidR="005723AA" w:rsidRPr="00C50FD1">
        <w:rPr>
          <w:rStyle w:val="EndnoteTextChar"/>
          <w:rFonts w:ascii="Tahoma" w:hAnsi="Tahoma" w:cs="Tahoma"/>
          <w:sz w:val="18"/>
          <w:lang w:val="pt-BR"/>
        </w:rPr>
        <w:t> </w:t>
      </w:r>
      <w:r w:rsidRPr="00C50FD1">
        <w:rPr>
          <w:rStyle w:val="EndnoteTextChar"/>
          <w:rFonts w:ascii="Tahoma" w:hAnsi="Tahoma" w:cs="Tahoma"/>
          <w:sz w:val="18"/>
          <w:lang w:val="pt-BR"/>
        </w:rPr>
        <w:t xml:space="preserve">2013. O direito de acesso ao Project Server 2013 sob essa CAL se encerrará no término </w:t>
      </w:r>
      <w:r w:rsidR="005723AA" w:rsidRPr="00C50FD1">
        <w:rPr>
          <w:rStyle w:val="EndnoteTextChar"/>
          <w:rFonts w:ascii="Tahoma" w:hAnsi="Tahoma" w:cs="Tahoma"/>
          <w:sz w:val="18"/>
          <w:lang w:val="pt-BR"/>
        </w:rPr>
        <w:br/>
      </w:r>
      <w:r w:rsidRPr="00C50FD1">
        <w:rPr>
          <w:rStyle w:val="EndnoteTextChar"/>
          <w:rFonts w:ascii="Tahoma" w:hAnsi="Tahoma" w:cs="Tahoma"/>
          <w:sz w:val="18"/>
          <w:lang w:val="pt-BR"/>
        </w:rPr>
        <w:t>da Licença do Project Professional correspondente.</w:t>
      </w:r>
    </w:p>
    <w:p w:rsidR="00223A77" w:rsidRPr="00C50FD1" w:rsidRDefault="00223A77" w:rsidP="00AE5A9F">
      <w:pPr>
        <w:pStyle w:val="EndnoteText"/>
        <w:ind w:left="720"/>
        <w:rPr>
          <w:rFonts w:ascii="Tahoma" w:hAnsi="Tahoma" w:cs="Tahoma"/>
          <w:sz w:val="16"/>
          <w:szCs w:val="16"/>
          <w:lang w:val="pt-BR"/>
        </w:rPr>
      </w:pPr>
    </w:p>
    <w:p w:rsidR="00223A77" w:rsidRPr="00C50FD1" w:rsidRDefault="00223A77" w:rsidP="00AE5A9F">
      <w:pPr>
        <w:pStyle w:val="EndnoteText"/>
        <w:ind w:left="720"/>
        <w:rPr>
          <w:lang w:val="pt-BR"/>
        </w:rPr>
      </w:pPr>
      <w:r w:rsidRPr="00C50FD1">
        <w:rPr>
          <w:rStyle w:val="EndnoteTextChar"/>
          <w:rFonts w:ascii="Tahoma" w:hAnsi="Tahoma" w:cs="Tahoma"/>
          <w:sz w:val="18"/>
          <w:lang w:val="pt-BR"/>
        </w:rPr>
        <w:t>Os clientes com Software Assurance ativo para a licença do Project Professional terão a cobertura do Software Assurance para suas CALs do Project Server complementares. Essa cobertura se encerrará no</w:t>
      </w:r>
      <w:r w:rsidR="007D4B3A" w:rsidRPr="00C50FD1">
        <w:rPr>
          <w:rStyle w:val="EndnoteTextChar"/>
          <w:rFonts w:ascii="Tahoma" w:hAnsi="Tahoma" w:cs="Tahoma"/>
          <w:sz w:val="18"/>
          <w:lang w:val="pt-BR"/>
        </w:rPr>
        <w:t> </w:t>
      </w:r>
      <w:r w:rsidRPr="00C50FD1">
        <w:rPr>
          <w:rStyle w:val="EndnoteTextChar"/>
          <w:rFonts w:ascii="Tahoma" w:hAnsi="Tahoma" w:cs="Tahoma"/>
          <w:sz w:val="18"/>
          <w:lang w:val="pt-BR"/>
        </w:rPr>
        <w:t>término da cobertura do Project Professional correspondente.</w:t>
      </w:r>
    </w:p>
    <w:p w:rsidR="00223A77" w:rsidRPr="00C50FD1" w:rsidRDefault="00223A77" w:rsidP="00AE5A9F">
      <w:pPr>
        <w:pStyle w:val="EndnoteText"/>
        <w:ind w:left="720"/>
        <w:rPr>
          <w:rFonts w:ascii="Tahoma" w:hAnsi="Tahoma" w:cs="Tahoma"/>
          <w:sz w:val="16"/>
          <w:szCs w:val="16"/>
          <w:lang w:val="pt-BR"/>
        </w:rPr>
      </w:pPr>
    </w:p>
    <w:p w:rsidR="00223A77" w:rsidRPr="00C50FD1" w:rsidRDefault="00223A77" w:rsidP="00AE5A9F">
      <w:pPr>
        <w:pStyle w:val="EndnoteText"/>
        <w:ind w:left="720"/>
        <w:rPr>
          <w:lang w:val="pt-BR"/>
        </w:rPr>
      </w:pPr>
      <w:r w:rsidRPr="00C50FD1">
        <w:rPr>
          <w:rStyle w:val="EndnoteTextChar"/>
          <w:rFonts w:ascii="Tahoma" w:hAnsi="Tahoma" w:cs="Tahoma"/>
          <w:sz w:val="18"/>
          <w:lang w:val="pt-BR"/>
        </w:rPr>
        <w:t>Consulte as notas de condição do produto do Project Server para obter direitos adicionais aplicáveis a</w:t>
      </w:r>
      <w:r w:rsidR="007D4B3A" w:rsidRPr="00C50FD1">
        <w:rPr>
          <w:rStyle w:val="EndnoteTextChar"/>
          <w:rFonts w:ascii="Tahoma" w:hAnsi="Tahoma" w:cs="Tahoma"/>
          <w:sz w:val="18"/>
          <w:lang w:val="pt-BR"/>
        </w:rPr>
        <w:t> </w:t>
      </w:r>
      <w:r w:rsidRPr="00C50FD1">
        <w:rPr>
          <w:rStyle w:val="EndnoteTextChar"/>
          <w:rFonts w:ascii="Tahoma" w:hAnsi="Tahoma" w:cs="Tahoma"/>
          <w:sz w:val="18"/>
          <w:lang w:val="pt-BR"/>
        </w:rPr>
        <w:t>essas</w:t>
      </w:r>
      <w:r w:rsidR="007D4B3A" w:rsidRPr="00C50FD1">
        <w:rPr>
          <w:rStyle w:val="EndnoteTextChar"/>
          <w:rFonts w:ascii="Tahoma" w:hAnsi="Tahoma" w:cs="Tahoma"/>
          <w:sz w:val="18"/>
          <w:lang w:val="pt-BR"/>
        </w:rPr>
        <w:t> </w:t>
      </w:r>
      <w:r w:rsidRPr="00C50FD1">
        <w:rPr>
          <w:rStyle w:val="EndnoteTextChar"/>
          <w:rFonts w:ascii="Tahoma" w:hAnsi="Tahoma" w:cs="Tahoma"/>
          <w:sz w:val="18"/>
          <w:lang w:val="pt-BR"/>
        </w:rPr>
        <w:t>CALs.</w:t>
      </w:r>
    </w:p>
    <w:p w:rsidR="00AE5A9F" w:rsidRPr="00C50FD1" w:rsidRDefault="00AE5A9F" w:rsidP="00AE5A9F">
      <w:pPr>
        <w:rPr>
          <w:sz w:val="16"/>
          <w:szCs w:val="16"/>
          <w:lang w:val="pt-BR"/>
        </w:rPr>
      </w:pPr>
    </w:p>
    <w:p w:rsidR="00AE5A9F" w:rsidRPr="00C50FD1" w:rsidRDefault="00AE5A9F" w:rsidP="00AE5A9F">
      <w:pPr>
        <w:rPr>
          <w:sz w:val="16"/>
          <w:szCs w:val="16"/>
          <w:lang w:val="pt-BR"/>
        </w:rPr>
      </w:pPr>
    </w:p>
    <w:p w:rsidR="002202DB" w:rsidRPr="00C50FD1" w:rsidRDefault="004668D9" w:rsidP="002202DB">
      <w:pPr>
        <w:pStyle w:val="Heading3"/>
        <w:rPr>
          <w:lang w:val="pt-BR"/>
        </w:rPr>
      </w:pPr>
      <w:bookmarkStart w:id="1081" w:name="_143_Project_Pro"/>
      <w:bookmarkStart w:id="1082" w:name="_14_Project_Pro"/>
      <w:bookmarkStart w:id="1083" w:name="_Toc353470918"/>
      <w:bookmarkEnd w:id="1081"/>
      <w:bookmarkEnd w:id="1082"/>
      <w:r w:rsidRPr="00C50FD1">
        <w:rPr>
          <w:rFonts w:ascii="Tahoma" w:hAnsi="Tahoma"/>
          <w:caps/>
          <w:color w:val="F66400"/>
          <w:sz w:val="22"/>
          <w:vertAlign w:val="superscript"/>
          <w:lang w:val="pt-BR"/>
        </w:rPr>
        <w:t>14</w:t>
      </w:r>
      <w:r w:rsidRPr="00C50FD1">
        <w:rPr>
          <w:rFonts w:ascii="Tahoma" w:hAnsi="Tahoma"/>
          <w:caps/>
          <w:color w:val="F66400"/>
          <w:sz w:val="22"/>
          <w:lang w:val="pt-BR"/>
        </w:rPr>
        <w:t xml:space="preserve"> </w:t>
      </w:r>
      <w:r w:rsidRPr="00C50FD1">
        <w:rPr>
          <w:rFonts w:ascii="Tahoma" w:hAnsi="Tahoma"/>
          <w:color w:val="F66400"/>
          <w:sz w:val="22"/>
          <w:lang w:val="pt-BR"/>
        </w:rPr>
        <w:t>Project Pro para Office 365</w:t>
      </w:r>
      <w:bookmarkEnd w:id="1083"/>
      <w:r w:rsidRPr="00C50FD1">
        <w:rPr>
          <w:rFonts w:ascii="Tahoma" w:hAnsi="Tahoma"/>
          <w:color w:val="F66400"/>
          <w:sz w:val="22"/>
          <w:lang w:val="pt-BR"/>
        </w:rPr>
        <w:t xml:space="preserve"> </w:t>
      </w:r>
    </w:p>
    <w:p w:rsidR="00A32FE7" w:rsidRPr="00C50FD1" w:rsidRDefault="00A32FE7" w:rsidP="00A32FE7">
      <w:pPr>
        <w:rPr>
          <w:sz w:val="16"/>
          <w:szCs w:val="16"/>
          <w:lang w:val="pt-BR"/>
        </w:rPr>
      </w:pPr>
    </w:p>
    <w:p w:rsidR="002202DB" w:rsidRPr="00C50FD1" w:rsidRDefault="002202DB" w:rsidP="002202DB">
      <w:pPr>
        <w:spacing w:after="60"/>
        <w:ind w:left="720"/>
        <w:rPr>
          <w:lang w:val="pt-BR"/>
        </w:rPr>
      </w:pPr>
      <w:r w:rsidRPr="00C50FD1">
        <w:rPr>
          <w:rFonts w:cs="Tahoma"/>
          <w:b/>
          <w:lang w:val="pt-BR"/>
        </w:rPr>
        <w:t>Qualificação de Mídia com Serviços de Área de Trabalho Remota (RDS)</w:t>
      </w:r>
    </w:p>
    <w:p w:rsidR="002202DB" w:rsidRPr="00C50FD1" w:rsidRDefault="002202DB" w:rsidP="002202DB">
      <w:pPr>
        <w:ind w:left="720"/>
        <w:rPr>
          <w:lang w:val="pt-BR"/>
        </w:rPr>
      </w:pPr>
      <w:r w:rsidRPr="00C50FD1">
        <w:rPr>
          <w:rFonts w:cs="Tahoma"/>
          <w:szCs w:val="18"/>
          <w:lang w:val="pt-BR"/>
        </w:rPr>
        <w:t>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2013 Professional em um servidor de rede e 2) acessar o software Project 2013 Professional de qualquer dispositivo.</w:t>
      </w:r>
      <w:r w:rsidR="005A52A2" w:rsidRPr="00C50FD1">
        <w:rPr>
          <w:rFonts w:cs="Tahoma"/>
          <w:szCs w:val="18"/>
          <w:lang w:val="pt-BR"/>
        </w:rPr>
        <w:t xml:space="preserve"> </w:t>
      </w:r>
      <w:r w:rsidRPr="00C50FD1">
        <w:rPr>
          <w:rFonts w:cs="Tahoma"/>
          <w:szCs w:val="18"/>
          <w:lang w:val="pt-BR"/>
        </w:rPr>
        <w:t>Mediante o término da sua assinatura do Project Pro para Office 365, você deverá desinstalar o</w:t>
      </w:r>
      <w:r w:rsidR="007D4B3A" w:rsidRPr="00C50FD1">
        <w:rPr>
          <w:rFonts w:cs="Tahoma"/>
          <w:szCs w:val="18"/>
          <w:lang w:val="pt-BR"/>
        </w:rPr>
        <w:t> </w:t>
      </w:r>
      <w:r w:rsidRPr="00C50FD1">
        <w:rPr>
          <w:rFonts w:cs="Tahoma"/>
          <w:szCs w:val="18"/>
          <w:lang w:val="pt-BR"/>
        </w:rPr>
        <w:t xml:space="preserve">software Project 2013 Professional do servidor de rede. </w:t>
      </w:r>
    </w:p>
    <w:p w:rsidR="002202DB" w:rsidRPr="00C50FD1" w:rsidRDefault="002202DB" w:rsidP="002202DB">
      <w:pPr>
        <w:ind w:left="720"/>
        <w:rPr>
          <w:lang w:val="pt-BR"/>
        </w:rPr>
      </w:pPr>
    </w:p>
    <w:p w:rsidR="002202DB" w:rsidRPr="00C50FD1" w:rsidRDefault="002202DB" w:rsidP="002202DB">
      <w:pPr>
        <w:spacing w:after="60"/>
        <w:ind w:left="720"/>
        <w:rPr>
          <w:lang w:val="pt-BR"/>
        </w:rPr>
      </w:pPr>
      <w:r w:rsidRPr="00C50FD1">
        <w:rPr>
          <w:rFonts w:cs="Tahoma"/>
          <w:b/>
          <w:lang w:val="pt-BR"/>
        </w:rPr>
        <w:t>Direitos de Downgrade</w:t>
      </w:r>
    </w:p>
    <w:p w:rsidR="002202DB" w:rsidRPr="00C50FD1" w:rsidRDefault="002202DB" w:rsidP="002202DB">
      <w:pPr>
        <w:ind w:left="720"/>
        <w:rPr>
          <w:lang w:val="pt-BR"/>
        </w:rPr>
      </w:pPr>
      <w:r w:rsidRPr="00C50FD1">
        <w:rPr>
          <w:rFonts w:cs="Tahoma"/>
          <w:bCs/>
          <w:szCs w:val="18"/>
          <w:lang w:val="pt-BR"/>
        </w:rPr>
        <w:t xml:space="preserve">O serviço Project Pro para Office 365 não possui direitos de downgrade. Para obter mais informações sobre os requisitos de atualização dos Serviços Online, consulte o documento de Direitos de Uso de Produto (PUR) no site </w:t>
      </w:r>
      <w:hyperlink r:id="rId39" w:history="1">
        <w:r w:rsidRPr="00C50FD1">
          <w:rPr>
            <w:rStyle w:val="Hyperlink"/>
            <w:rFonts w:cs="Tahoma"/>
            <w:bCs/>
            <w:szCs w:val="18"/>
            <w:lang w:val="pt-BR"/>
          </w:rPr>
          <w:t>http://www.microsoftvolumelicensing.com/userights/PUR.aspx</w:t>
        </w:r>
      </w:hyperlink>
    </w:p>
    <w:p w:rsidR="002202DB" w:rsidRPr="00C50FD1" w:rsidRDefault="002202DB" w:rsidP="00AE5A9F">
      <w:pPr>
        <w:rPr>
          <w:sz w:val="16"/>
          <w:szCs w:val="16"/>
          <w:lang w:val="pt-BR"/>
        </w:rPr>
      </w:pPr>
    </w:p>
    <w:p w:rsidR="002202DB" w:rsidRPr="00C50FD1" w:rsidRDefault="002202DB" w:rsidP="00AE5A9F">
      <w:pPr>
        <w:rPr>
          <w:sz w:val="16"/>
          <w:szCs w:val="16"/>
          <w:lang w:val="pt-BR"/>
        </w:rPr>
      </w:pPr>
    </w:p>
    <w:p w:rsidR="00223A77" w:rsidRPr="00C50FD1" w:rsidRDefault="004668D9" w:rsidP="002541AE">
      <w:pPr>
        <w:pStyle w:val="Heading3"/>
        <w:rPr>
          <w:lang w:val="pt-BR"/>
        </w:rPr>
      </w:pPr>
      <w:bookmarkStart w:id="1084" w:name="_145_Rental_Rights"/>
      <w:bookmarkStart w:id="1085" w:name="_15_Direitos_de"/>
      <w:bookmarkStart w:id="1086" w:name="_Toc336338272"/>
      <w:bookmarkStart w:id="1087" w:name="_Toc353470919"/>
      <w:bookmarkStart w:id="1088" w:name="Aps_9RentalRightsOffice"/>
      <w:bookmarkStart w:id="1089" w:name="Srv_RentalRightsOffice"/>
      <w:bookmarkStart w:id="1090" w:name="Srv_9RentalRightsOffice"/>
      <w:bookmarkEnd w:id="1084"/>
      <w:bookmarkEnd w:id="1085"/>
      <w:r w:rsidRPr="00C50FD1">
        <w:rPr>
          <w:rFonts w:ascii="Tahoma" w:hAnsi="Tahoma" w:cs="Tahoma"/>
          <w:caps/>
          <w:color w:val="E65D08"/>
          <w:sz w:val="22"/>
          <w:szCs w:val="22"/>
          <w:vertAlign w:val="superscript"/>
          <w:lang w:val="pt-BR"/>
        </w:rPr>
        <w:t>15</w:t>
      </w:r>
      <w:r w:rsidRPr="00C50FD1">
        <w:rPr>
          <w:rFonts w:ascii="Tahoma" w:hAnsi="Tahoma" w:cs="Tahoma"/>
          <w:color w:val="E65D08"/>
          <w:sz w:val="22"/>
          <w:szCs w:val="22"/>
          <w:lang w:val="pt-BR"/>
        </w:rPr>
        <w:t xml:space="preserve"> Direitos de Locação do Office</w:t>
      </w:r>
      <w:bookmarkEnd w:id="1086"/>
      <w:bookmarkEnd w:id="1087"/>
    </w:p>
    <w:bookmarkEnd w:id="1088"/>
    <w:p w:rsidR="002541AE" w:rsidRPr="00C50FD1" w:rsidRDefault="002541AE" w:rsidP="002541AE">
      <w:pPr>
        <w:rPr>
          <w:sz w:val="16"/>
          <w:szCs w:val="16"/>
          <w:lang w:val="pt-BR"/>
        </w:rPr>
      </w:pPr>
    </w:p>
    <w:bookmarkEnd w:id="1089"/>
    <w:bookmarkEnd w:id="1090"/>
    <w:p w:rsidR="000B0A08" w:rsidRPr="00C50FD1" w:rsidRDefault="000B0A08" w:rsidP="005E3B5E">
      <w:pPr>
        <w:pStyle w:val="FootnoteBulletLevel1"/>
        <w:tabs>
          <w:tab w:val="clear" w:pos="900"/>
        </w:tabs>
        <w:spacing w:before="0" w:after="0"/>
        <w:ind w:left="720" w:firstLine="0"/>
        <w:rPr>
          <w:lang w:val="pt-BR"/>
        </w:rPr>
      </w:pPr>
      <w:r w:rsidRPr="00C50FD1">
        <w:rPr>
          <w:rFonts w:ascii="Tahoma" w:hAnsi="Tahoma" w:cs="Tahoma"/>
          <w:color w:val="000000"/>
          <w:sz w:val="18"/>
          <w:szCs w:val="18"/>
          <w:lang w:val="pt-BR"/>
        </w:rPr>
        <w:t>As licenças de direitos de locação concedidas sob esses programas são apenas licenças complementares. Elas não são licenças integrais de produtos. Portanto, cada desktop ao qual um cliente atribuir uma licença</w:t>
      </w:r>
      <w:r w:rsidR="005723AA" w:rsidRPr="00C50FD1">
        <w:rPr>
          <w:rFonts w:ascii="Tahoma" w:hAnsi="Tahoma" w:cs="Tahoma"/>
          <w:color w:val="000000"/>
          <w:sz w:val="18"/>
          <w:szCs w:val="18"/>
          <w:lang w:val="pt-BR"/>
        </w:rPr>
        <w:t> </w:t>
      </w:r>
      <w:r w:rsidRPr="00C50FD1">
        <w:rPr>
          <w:rFonts w:ascii="Tahoma" w:hAnsi="Tahoma" w:cs="Tahoma"/>
          <w:color w:val="000000"/>
          <w:sz w:val="18"/>
          <w:szCs w:val="18"/>
          <w:lang w:val="pt-BR"/>
        </w:rPr>
        <w:t>de direitos de locação deverá ser licenciado para executar um dos aplicativos qualificados identificados a seguir.</w:t>
      </w:r>
    </w:p>
    <w:p w:rsidR="00980240" w:rsidRPr="00C50FD1" w:rsidRDefault="00980240" w:rsidP="005E3B5E">
      <w:pPr>
        <w:ind w:left="720"/>
        <w:rPr>
          <w:sz w:val="16"/>
          <w:szCs w:val="16"/>
          <w:lang w:val="pt-BR"/>
        </w:rPr>
      </w:pPr>
    </w:p>
    <w:p w:rsidR="00980240" w:rsidRPr="00C50FD1" w:rsidRDefault="000B0A08" w:rsidP="00864B8A">
      <w:pPr>
        <w:spacing w:after="60"/>
        <w:ind w:left="720"/>
        <w:rPr>
          <w:lang w:val="pt-BR"/>
        </w:rPr>
      </w:pPr>
      <w:r w:rsidRPr="00C50FD1">
        <w:rPr>
          <w:rFonts w:cs="Tahoma"/>
          <w:b/>
          <w:lang w:val="pt-BR"/>
        </w:rPr>
        <w:t>Regras de Aplicativos Qualificados</w:t>
      </w:r>
    </w:p>
    <w:p w:rsidR="000B0A08" w:rsidRPr="00C50FD1" w:rsidRDefault="000B0A08" w:rsidP="005E3B5E">
      <w:pPr>
        <w:ind w:left="720"/>
        <w:rPr>
          <w:lang w:val="pt-BR"/>
        </w:rPr>
      </w:pPr>
      <w:r w:rsidRPr="00C50FD1">
        <w:rPr>
          <w:rFonts w:cs="Tahoma"/>
          <w:color w:val="000000"/>
          <w:szCs w:val="18"/>
          <w:lang w:val="pt-BR"/>
        </w:rPr>
        <w:t>Cada uma destas condições deve ser atendida para que a Licença básica o qualifique para a licença de</w:t>
      </w:r>
      <w:r w:rsidR="005723AA" w:rsidRPr="00C50FD1">
        <w:rPr>
          <w:rFonts w:cs="Tahoma"/>
          <w:color w:val="000000"/>
          <w:szCs w:val="18"/>
          <w:lang w:val="pt-BR"/>
        </w:rPr>
        <w:t> </w:t>
      </w:r>
      <w:r w:rsidRPr="00C50FD1">
        <w:rPr>
          <w:rFonts w:cs="Tahoma"/>
          <w:color w:val="000000"/>
          <w:szCs w:val="18"/>
          <w:lang w:val="pt-BR"/>
        </w:rPr>
        <w:t>Direitos de Locação:</w:t>
      </w:r>
    </w:p>
    <w:p w:rsidR="005E3B5E" w:rsidRPr="00C50FD1" w:rsidRDefault="005E3B5E" w:rsidP="005E3B5E">
      <w:pPr>
        <w:ind w:left="900"/>
        <w:rPr>
          <w:sz w:val="16"/>
          <w:szCs w:val="16"/>
          <w:lang w:val="pt-BR"/>
        </w:rPr>
      </w:pPr>
    </w:p>
    <w:p w:rsidR="000B0A08" w:rsidRPr="00C50FD1" w:rsidRDefault="000B0A08" w:rsidP="005E3B5E">
      <w:pPr>
        <w:numPr>
          <w:ilvl w:val="0"/>
          <w:numId w:val="20"/>
        </w:numPr>
        <w:spacing w:after="60"/>
        <w:ind w:left="1440"/>
        <w:rPr>
          <w:lang w:val="pt-BR"/>
        </w:rPr>
      </w:pPr>
      <w:r w:rsidRPr="00C50FD1">
        <w:rPr>
          <w:rFonts w:cs="Tahoma"/>
          <w:color w:val="000000"/>
          <w:szCs w:val="18"/>
          <w:lang w:val="pt-BR"/>
        </w:rPr>
        <w:t>A licença para o aplicativo qualificado deve ser cedida ao mesmo dispositivo ao qual a licença de</w:t>
      </w:r>
      <w:r w:rsidR="005723AA" w:rsidRPr="00C50FD1">
        <w:rPr>
          <w:rFonts w:cs="Tahoma"/>
          <w:color w:val="000000"/>
          <w:szCs w:val="18"/>
          <w:lang w:val="pt-BR"/>
        </w:rPr>
        <w:t> </w:t>
      </w:r>
      <w:r w:rsidRPr="00C50FD1">
        <w:rPr>
          <w:rFonts w:cs="Tahoma"/>
          <w:color w:val="000000"/>
          <w:szCs w:val="18"/>
          <w:lang w:val="pt-BR"/>
        </w:rPr>
        <w:t>Direitos de Locação de VL deverá ser cedida.</w:t>
      </w:r>
    </w:p>
    <w:p w:rsidR="000B0A08" w:rsidRPr="00C50FD1" w:rsidRDefault="000B0A08" w:rsidP="005E3B5E">
      <w:pPr>
        <w:numPr>
          <w:ilvl w:val="0"/>
          <w:numId w:val="20"/>
        </w:numPr>
        <w:tabs>
          <w:tab w:val="left" w:pos="1440"/>
        </w:tabs>
        <w:spacing w:after="60"/>
        <w:ind w:left="1440"/>
        <w:rPr>
          <w:lang w:val="pt-BR"/>
        </w:rPr>
      </w:pPr>
      <w:r w:rsidRPr="00C50FD1">
        <w:rPr>
          <w:rFonts w:cs="Tahoma"/>
          <w:color w:val="000000"/>
          <w:szCs w:val="18"/>
          <w:lang w:val="pt-BR"/>
        </w:rPr>
        <w:t>O aplicativo qualificado deve ser instalado no referido dispositivo.</w:t>
      </w:r>
    </w:p>
    <w:p w:rsidR="000B0A08" w:rsidRPr="00C50FD1" w:rsidRDefault="000B0A08" w:rsidP="005E3B5E">
      <w:pPr>
        <w:pStyle w:val="EndnoteText"/>
        <w:ind w:left="720"/>
        <w:rPr>
          <w:lang w:val="pt-BR"/>
        </w:rPr>
      </w:pPr>
      <w:r w:rsidRPr="00C50FD1">
        <w:rPr>
          <w:rFonts w:ascii="Tahoma" w:hAnsi="Tahoma" w:cs="Tahoma"/>
          <w:color w:val="000000"/>
          <w:sz w:val="18"/>
          <w:szCs w:val="18"/>
          <w:lang w:val="pt-BR"/>
        </w:rPr>
        <w:lastRenderedPageBreak/>
        <w:t>Os aplicativos qualificados por tipo de Programa são:</w:t>
      </w:r>
    </w:p>
    <w:p w:rsidR="000B0A08" w:rsidRPr="00C50FD1" w:rsidRDefault="000B0A08" w:rsidP="000B0A08">
      <w:pPr>
        <w:rPr>
          <w:lang w:val="pt-BR"/>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C50FD1"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C50FD1" w:rsidRDefault="000B0A08" w:rsidP="00AD69BD">
            <w:pPr>
              <w:jc w:val="center"/>
              <w:rPr>
                <w:rFonts w:eastAsia="MS PGothic" w:cs="Tahoma"/>
                <w:b/>
                <w:bCs/>
                <w:color w:val="000000"/>
                <w:szCs w:val="18"/>
                <w:lang w:val="pt-BR"/>
              </w:rPr>
            </w:pPr>
            <w:r w:rsidRPr="00C50FD1">
              <w:rPr>
                <w:rFonts w:cs="Tahoma"/>
                <w:b/>
                <w:bCs/>
                <w:color w:val="000000"/>
                <w:szCs w:val="18"/>
                <w:lang w:val="pt-BR"/>
              </w:rPr>
              <w:t>Aplicativos Qualificados para a aquisição de Direitos de Locação do Office Standard</w:t>
            </w:r>
          </w:p>
        </w:tc>
        <w:tc>
          <w:tcPr>
            <w:tcW w:w="1333" w:type="dxa"/>
            <w:gridSpan w:val="2"/>
            <w:tcBorders>
              <w:top w:val="nil"/>
              <w:left w:val="nil"/>
              <w:bottom w:val="single" w:sz="8" w:space="0" w:color="auto"/>
              <w:right w:val="nil"/>
            </w:tcBorders>
          </w:tcPr>
          <w:p w:rsidR="000B0A08" w:rsidRPr="00C50FD1" w:rsidRDefault="000B0A08" w:rsidP="00AD69BD">
            <w:pPr>
              <w:jc w:val="both"/>
              <w:rPr>
                <w:rFonts w:ascii="Arial" w:eastAsia="MS PGothic" w:hAnsi="Arial" w:cs="Arial"/>
                <w:color w:val="000000"/>
                <w:sz w:val="21"/>
                <w:szCs w:val="21"/>
                <w:lang w:val="pt-BR"/>
              </w:rPr>
            </w:pPr>
          </w:p>
        </w:tc>
      </w:tr>
      <w:tr w:rsidR="000B0A08" w:rsidRPr="00653421"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C50FD1" w:rsidRDefault="000B0A08" w:rsidP="00AD69BD">
            <w:pPr>
              <w:rPr>
                <w:rFonts w:eastAsia="MS PGothic" w:cs="Tahoma"/>
                <w:b/>
                <w:bCs/>
                <w:color w:val="000000"/>
                <w:szCs w:val="18"/>
                <w:lang w:val="pt-BR"/>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53421" w:rsidRDefault="000B0A08" w:rsidP="00AD69BD">
            <w:pPr>
              <w:jc w:val="center"/>
              <w:rPr>
                <w:rFonts w:cs="Tahoma"/>
                <w:b/>
                <w:bCs/>
                <w:color w:val="000000"/>
                <w:szCs w:val="18"/>
              </w:rPr>
            </w:pPr>
            <w:r w:rsidRPr="00653421">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C50FD1" w:rsidRDefault="000B0A08" w:rsidP="00AD69BD">
            <w:pPr>
              <w:jc w:val="center"/>
              <w:rPr>
                <w:lang w:val="pt-BR"/>
              </w:rPr>
            </w:pPr>
            <w:r w:rsidRPr="00C50FD1">
              <w:rPr>
                <w:rFonts w:cs="Tahoma"/>
                <w:b/>
                <w:bCs/>
                <w:color w:val="000000"/>
                <w:szCs w:val="18"/>
                <w:lang w:val="pt-BR"/>
              </w:rPr>
              <w:t>PIPC</w:t>
            </w:r>
          </w:p>
          <w:p w:rsidR="000B0A08" w:rsidRPr="00C50FD1" w:rsidRDefault="000B0A08" w:rsidP="00AD69BD">
            <w:pPr>
              <w:jc w:val="center"/>
              <w:rPr>
                <w:rFonts w:cs="Tahoma"/>
                <w:b/>
                <w:bCs/>
                <w:color w:val="000000"/>
                <w:szCs w:val="18"/>
                <w:lang w:val="pt-BR"/>
              </w:rPr>
            </w:pPr>
            <w:r w:rsidRPr="00C50FD1">
              <w:rPr>
                <w:rFonts w:cs="Tahoma"/>
                <w:b/>
                <w:bCs/>
                <w:color w:val="000000"/>
                <w:szCs w:val="18"/>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53421" w:rsidRDefault="000B0A08" w:rsidP="00AD69BD">
            <w:pPr>
              <w:jc w:val="center"/>
              <w:rPr>
                <w:rFonts w:cs="Tahoma"/>
                <w:b/>
                <w:bCs/>
                <w:color w:val="000000"/>
                <w:szCs w:val="18"/>
              </w:rPr>
            </w:pPr>
            <w:r w:rsidRPr="00653421">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53421" w:rsidRDefault="000B0A08" w:rsidP="00AD69BD">
            <w:pPr>
              <w:jc w:val="center"/>
              <w:rPr>
                <w:rFonts w:cs="Tahoma"/>
                <w:b/>
                <w:bCs/>
                <w:color w:val="000000"/>
                <w:szCs w:val="18"/>
              </w:rPr>
            </w:pPr>
            <w:r w:rsidRPr="00653421">
              <w:rPr>
                <w:rFonts w:cs="Tahoma"/>
                <w:b/>
                <w:bCs/>
                <w:color w:val="000000"/>
                <w:szCs w:val="18"/>
              </w:rPr>
              <w:t>Licença Open</w:t>
            </w:r>
          </w:p>
        </w:tc>
      </w:tr>
      <w:tr w:rsidR="000B0A08" w:rsidRPr="00653421"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53421" w:rsidRDefault="000B0A08" w:rsidP="00257298">
            <w:pPr>
              <w:rPr>
                <w:rFonts w:cs="Tahoma"/>
                <w:b/>
                <w:bCs/>
                <w:color w:val="000000"/>
                <w:szCs w:val="18"/>
              </w:rPr>
            </w:pPr>
            <w:r w:rsidRPr="00653421">
              <w:rPr>
                <w:rFonts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653421"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653421" w:rsidRDefault="000B0A08" w:rsidP="00AD69BD">
            <w:pPr>
              <w:jc w:val="center"/>
              <w:rPr>
                <w:rFonts w:ascii="Arial" w:eastAsia="MS PGothic" w:hAnsi="Arial" w:cs="Arial"/>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color w:val="000000"/>
                <w:sz w:val="21"/>
                <w:szCs w:val="21"/>
              </w:rPr>
            </w:pPr>
            <w:r w:rsidRPr="00653421">
              <w:rPr>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color w:val="000000"/>
                <w:sz w:val="21"/>
                <w:szCs w:val="21"/>
              </w:rPr>
            </w:pPr>
            <w:r w:rsidRPr="00653421">
              <w:rPr>
                <w:color w:val="000000"/>
              </w:rPr>
              <w:t>x</w:t>
            </w:r>
          </w:p>
        </w:tc>
      </w:tr>
      <w:tr w:rsidR="000B0A08" w:rsidRPr="00653421"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53421" w:rsidRDefault="000B0A08" w:rsidP="00257298">
            <w:pPr>
              <w:rPr>
                <w:rFonts w:cs="Tahoma"/>
                <w:b/>
                <w:bCs/>
                <w:color w:val="000000"/>
                <w:szCs w:val="18"/>
              </w:rPr>
            </w:pPr>
            <w:r w:rsidRPr="00653421">
              <w:rPr>
                <w:rFonts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color w:val="000000"/>
                <w:sz w:val="21"/>
                <w:szCs w:val="21"/>
              </w:rPr>
            </w:pPr>
            <w:r w:rsidRPr="00653421">
              <w:rPr>
                <w:color w:val="000000"/>
              </w:rPr>
              <w:t>x</w:t>
            </w:r>
          </w:p>
        </w:tc>
        <w:tc>
          <w:tcPr>
            <w:tcW w:w="1185" w:type="dxa"/>
            <w:gridSpan w:val="2"/>
            <w:tcBorders>
              <w:top w:val="nil"/>
              <w:left w:val="nil"/>
              <w:bottom w:val="single" w:sz="8" w:space="0" w:color="auto"/>
              <w:right w:val="single" w:sz="8" w:space="0" w:color="auto"/>
            </w:tcBorders>
          </w:tcPr>
          <w:p w:rsidR="000B0A08" w:rsidRPr="00653421" w:rsidRDefault="000B0A08" w:rsidP="00AD69BD">
            <w:pPr>
              <w:jc w:val="center"/>
              <w:rPr>
                <w:rFonts w:ascii="Arial" w:eastAsia="MS PGothic" w:hAnsi="Arial" w:cs="Arial"/>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color w:val="000000"/>
                <w:sz w:val="21"/>
                <w:szCs w:val="21"/>
              </w:rPr>
            </w:pPr>
            <w:r w:rsidRPr="00653421">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color w:val="000000"/>
                <w:sz w:val="21"/>
                <w:szCs w:val="21"/>
              </w:rPr>
            </w:pPr>
            <w:r w:rsidRPr="00653421">
              <w:rPr>
                <w:color w:val="000000"/>
              </w:rPr>
              <w:t>x</w:t>
            </w:r>
          </w:p>
        </w:tc>
      </w:tr>
    </w:tbl>
    <w:p w:rsidR="00980240" w:rsidRPr="00653421" w:rsidRDefault="00980240" w:rsidP="000B0A08"/>
    <w:p w:rsidR="001C1727" w:rsidRPr="00653421" w:rsidRDefault="001C1727"/>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C50FD1"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C50FD1" w:rsidRDefault="000B0A08" w:rsidP="00C95455">
            <w:pPr>
              <w:jc w:val="center"/>
              <w:rPr>
                <w:rFonts w:eastAsia="MS PGothic" w:cs="Tahoma"/>
                <w:b/>
                <w:bCs/>
                <w:szCs w:val="18"/>
                <w:lang w:val="pt-BR"/>
              </w:rPr>
            </w:pPr>
            <w:r w:rsidRPr="00C50FD1">
              <w:rPr>
                <w:rFonts w:cs="Tahoma"/>
                <w:b/>
                <w:bCs/>
                <w:szCs w:val="18"/>
                <w:lang w:val="pt-BR"/>
              </w:rPr>
              <w:t>Aplicativos Qualificados para a aquisição de Direitos de</w:t>
            </w:r>
            <w:r w:rsidR="00C95455" w:rsidRPr="00C50FD1">
              <w:rPr>
                <w:rFonts w:cs="Tahoma"/>
                <w:b/>
                <w:bCs/>
                <w:szCs w:val="18"/>
                <w:lang w:val="pt-BR"/>
              </w:rPr>
              <w:t> </w:t>
            </w:r>
            <w:r w:rsidRPr="00C50FD1">
              <w:rPr>
                <w:rFonts w:cs="Tahoma"/>
                <w:b/>
                <w:bCs/>
                <w:szCs w:val="18"/>
                <w:lang w:val="pt-BR"/>
              </w:rPr>
              <w:t>Locação do Office Professional Plus</w:t>
            </w:r>
          </w:p>
        </w:tc>
        <w:tc>
          <w:tcPr>
            <w:tcW w:w="1333" w:type="dxa"/>
            <w:gridSpan w:val="2"/>
            <w:tcBorders>
              <w:top w:val="nil"/>
              <w:left w:val="nil"/>
              <w:bottom w:val="single" w:sz="8" w:space="0" w:color="auto"/>
              <w:right w:val="nil"/>
            </w:tcBorders>
          </w:tcPr>
          <w:p w:rsidR="000B0A08" w:rsidRPr="00C50FD1" w:rsidRDefault="000B0A08" w:rsidP="00AD69BD">
            <w:pPr>
              <w:jc w:val="both"/>
              <w:rPr>
                <w:rFonts w:ascii="Arial" w:eastAsia="MS PGothic" w:hAnsi="Arial" w:cs="Arial"/>
                <w:szCs w:val="21"/>
                <w:lang w:val="pt-BR"/>
              </w:rPr>
            </w:pPr>
          </w:p>
        </w:tc>
      </w:tr>
      <w:tr w:rsidR="000B0A08" w:rsidRPr="00653421"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C50FD1" w:rsidRDefault="000B0A08" w:rsidP="00AD69BD">
            <w:pPr>
              <w:rPr>
                <w:rFonts w:eastAsia="MS PGothic" w:cs="Tahoma"/>
                <w:b/>
                <w:bCs/>
                <w:szCs w:val="18"/>
                <w:lang w:val="pt-BR"/>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653421" w:rsidRDefault="000B0A08" w:rsidP="00AD69BD">
            <w:pPr>
              <w:jc w:val="center"/>
              <w:rPr>
                <w:rFonts w:cs="Tahoma"/>
                <w:b/>
                <w:bCs/>
                <w:szCs w:val="18"/>
              </w:rPr>
            </w:pPr>
            <w:r w:rsidRPr="00653421">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C50FD1" w:rsidRDefault="000B0A08" w:rsidP="00AD69BD">
            <w:pPr>
              <w:jc w:val="center"/>
              <w:rPr>
                <w:lang w:val="pt-BR"/>
              </w:rPr>
            </w:pPr>
            <w:r w:rsidRPr="00C50FD1">
              <w:rPr>
                <w:rFonts w:cs="Tahoma"/>
                <w:b/>
                <w:bCs/>
                <w:szCs w:val="18"/>
                <w:lang w:val="pt-BR"/>
              </w:rPr>
              <w:t>PIPC</w:t>
            </w:r>
          </w:p>
          <w:p w:rsidR="000B0A08" w:rsidRPr="00C50FD1" w:rsidRDefault="000B0A08" w:rsidP="00AD69BD">
            <w:pPr>
              <w:jc w:val="center"/>
              <w:rPr>
                <w:rFonts w:cs="Tahoma"/>
                <w:b/>
                <w:bCs/>
                <w:szCs w:val="16"/>
                <w:lang w:val="pt-BR" w:eastAsia="ja-JP"/>
              </w:rPr>
            </w:pPr>
            <w:r w:rsidRPr="00C50FD1">
              <w:rPr>
                <w:rFonts w:cs="Tahoma"/>
                <w:b/>
                <w:bCs/>
                <w:szCs w:val="18"/>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53421" w:rsidRDefault="000B0A08" w:rsidP="00AD69BD">
            <w:pPr>
              <w:jc w:val="center"/>
              <w:rPr>
                <w:rFonts w:cs="Tahoma"/>
                <w:b/>
                <w:bCs/>
                <w:szCs w:val="18"/>
              </w:rPr>
            </w:pPr>
            <w:r w:rsidRPr="00653421">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653421" w:rsidRDefault="000B0A08" w:rsidP="00AD69BD">
            <w:pPr>
              <w:jc w:val="center"/>
              <w:rPr>
                <w:rFonts w:cs="Tahoma"/>
                <w:b/>
                <w:bCs/>
                <w:szCs w:val="18"/>
              </w:rPr>
            </w:pPr>
            <w:r w:rsidRPr="00653421">
              <w:rPr>
                <w:rFonts w:cs="Tahoma"/>
                <w:b/>
                <w:bCs/>
                <w:szCs w:val="18"/>
              </w:rPr>
              <w:t>Licença Open</w:t>
            </w:r>
          </w:p>
        </w:tc>
      </w:tr>
      <w:tr w:rsidR="000B0A08" w:rsidRPr="00653421"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653421" w:rsidRDefault="000B0A08" w:rsidP="00257298">
            <w:pPr>
              <w:rPr>
                <w:rFonts w:cs="Tahoma"/>
                <w:b/>
                <w:bCs/>
                <w:szCs w:val="18"/>
                <w:lang w:eastAsia="ja-JP"/>
              </w:rPr>
            </w:pPr>
            <w:r w:rsidRPr="00653421">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szCs w:val="18"/>
              </w:rPr>
            </w:pPr>
            <w:r w:rsidRPr="00653421">
              <w:rPr>
                <w:rFonts w:cs="Tahoma"/>
                <w:szCs w:val="18"/>
              </w:rPr>
              <w:t xml:space="preserve"> </w:t>
            </w:r>
          </w:p>
        </w:tc>
        <w:tc>
          <w:tcPr>
            <w:tcW w:w="1185" w:type="dxa"/>
            <w:gridSpan w:val="2"/>
            <w:tcBorders>
              <w:top w:val="nil"/>
              <w:left w:val="nil"/>
              <w:bottom w:val="single" w:sz="8" w:space="0" w:color="auto"/>
              <w:right w:val="single" w:sz="8" w:space="0" w:color="auto"/>
            </w:tcBorders>
          </w:tcPr>
          <w:p w:rsidR="000B0A08" w:rsidRPr="00653421"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szCs w:val="18"/>
              </w:rPr>
            </w:pPr>
            <w:r w:rsidRPr="00653421">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szCs w:val="18"/>
              </w:rPr>
            </w:pPr>
            <w:r w:rsidRPr="00653421">
              <w:rPr>
                <w:rFonts w:cs="Tahoma"/>
                <w:szCs w:val="18"/>
              </w:rPr>
              <w:t>x</w:t>
            </w:r>
          </w:p>
        </w:tc>
      </w:tr>
      <w:tr w:rsidR="000B0A08" w:rsidRPr="00653421"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53421" w:rsidRDefault="000B0A08" w:rsidP="00257298">
            <w:pPr>
              <w:rPr>
                <w:rFonts w:cs="Tahoma"/>
                <w:b/>
                <w:bCs/>
                <w:szCs w:val="18"/>
                <w:lang w:eastAsia="ja-JP"/>
              </w:rPr>
            </w:pPr>
            <w:r w:rsidRPr="00653421">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szCs w:val="18"/>
              </w:rPr>
            </w:pPr>
            <w:r w:rsidRPr="00653421">
              <w:rPr>
                <w:rFonts w:cs="Tahoma"/>
                <w:szCs w:val="18"/>
              </w:rPr>
              <w:t xml:space="preserve"> </w:t>
            </w:r>
          </w:p>
        </w:tc>
        <w:tc>
          <w:tcPr>
            <w:tcW w:w="1185" w:type="dxa"/>
            <w:gridSpan w:val="2"/>
            <w:tcBorders>
              <w:top w:val="nil"/>
              <w:left w:val="nil"/>
              <w:bottom w:val="single" w:sz="8" w:space="0" w:color="auto"/>
              <w:right w:val="single" w:sz="8" w:space="0" w:color="auto"/>
            </w:tcBorders>
          </w:tcPr>
          <w:p w:rsidR="000B0A08" w:rsidRPr="00653421"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szCs w:val="18"/>
              </w:rPr>
            </w:pPr>
            <w:r w:rsidRPr="00653421">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jc w:val="center"/>
              <w:rPr>
                <w:rFonts w:eastAsia="MS PGothic" w:cs="Tahoma"/>
                <w:szCs w:val="18"/>
              </w:rPr>
            </w:pPr>
            <w:r w:rsidRPr="00653421">
              <w:rPr>
                <w:rFonts w:cs="Tahoma"/>
                <w:szCs w:val="18"/>
              </w:rPr>
              <w:t>x</w:t>
            </w:r>
          </w:p>
        </w:tc>
      </w:tr>
      <w:tr w:rsidR="000B0A08" w:rsidRPr="00653421"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53421" w:rsidRDefault="000B0A08" w:rsidP="00257298">
            <w:pPr>
              <w:rPr>
                <w:rFonts w:cs="Tahoma"/>
                <w:b/>
                <w:bCs/>
                <w:szCs w:val="18"/>
              </w:rPr>
            </w:pPr>
            <w:r w:rsidRPr="00653421">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653421" w:rsidRDefault="000B0A08" w:rsidP="00AD69BD">
            <w:pPr>
              <w:jc w:val="center"/>
              <w:rPr>
                <w:rFonts w:eastAsia="MS PGothic" w:cs="Tahoma"/>
                <w:color w:val="000000"/>
                <w:szCs w:val="18"/>
              </w:rPr>
            </w:pPr>
            <w:r w:rsidRPr="00653421">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rPr>
                <w:rFonts w:eastAsia="Times New Roman" w:cs="Tahoma"/>
                <w:szCs w:val="18"/>
              </w:rPr>
            </w:pPr>
          </w:p>
        </w:tc>
      </w:tr>
      <w:tr w:rsidR="000B0A08" w:rsidRPr="00653421"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53421" w:rsidRDefault="000B0A08" w:rsidP="00257298">
            <w:pPr>
              <w:rPr>
                <w:rFonts w:cs="Tahoma"/>
                <w:b/>
                <w:bCs/>
                <w:szCs w:val="18"/>
              </w:rPr>
            </w:pPr>
            <w:r w:rsidRPr="00653421">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653421" w:rsidRDefault="000B0A08" w:rsidP="00AD69BD">
            <w:pPr>
              <w:jc w:val="center"/>
              <w:rPr>
                <w:rFonts w:eastAsia="MS PGothic" w:cs="Tahoma"/>
                <w:color w:val="000000"/>
                <w:szCs w:val="18"/>
              </w:rPr>
            </w:pPr>
            <w:r w:rsidRPr="00653421">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rPr>
                <w:rFonts w:eastAsia="Times New Roman" w:cs="Tahoma"/>
                <w:szCs w:val="18"/>
              </w:rPr>
            </w:pPr>
          </w:p>
        </w:tc>
      </w:tr>
      <w:tr w:rsidR="000B0A08" w:rsidRPr="00653421"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53421" w:rsidRDefault="000B0A08" w:rsidP="00257298">
            <w:pPr>
              <w:rPr>
                <w:rFonts w:cs="Tahoma"/>
                <w:b/>
                <w:bCs/>
                <w:szCs w:val="18"/>
              </w:rPr>
            </w:pPr>
            <w:r w:rsidRPr="00653421">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653421" w:rsidRDefault="000B0A08" w:rsidP="00AD69BD">
            <w:pPr>
              <w:jc w:val="center"/>
              <w:rPr>
                <w:rFonts w:eastAsia="MS PGothic" w:cs="Tahoma"/>
                <w:color w:val="FF0000"/>
                <w:szCs w:val="18"/>
              </w:rPr>
            </w:pPr>
            <w:r w:rsidRPr="00653421">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53421" w:rsidRDefault="000B0A08" w:rsidP="00AD69BD">
            <w:pPr>
              <w:rPr>
                <w:rFonts w:eastAsia="Times New Roman" w:cs="Tahoma"/>
                <w:szCs w:val="18"/>
              </w:rPr>
            </w:pPr>
          </w:p>
        </w:tc>
      </w:tr>
    </w:tbl>
    <w:p w:rsidR="000B0A08" w:rsidRPr="00653421" w:rsidRDefault="000B0A08" w:rsidP="00980240"/>
    <w:p w:rsidR="000B0A08" w:rsidRPr="00C50FD1" w:rsidRDefault="000B0A08" w:rsidP="005C382A">
      <w:pPr>
        <w:ind w:left="720"/>
        <w:rPr>
          <w:lang w:val="pt-BR"/>
        </w:rPr>
      </w:pPr>
      <w:r w:rsidRPr="00C50FD1">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 mesmo software. A licença de locação não é uma licença step-up para uma edição superior do produto.</w:t>
      </w:r>
    </w:p>
    <w:p w:rsidR="00223A77" w:rsidRPr="00C50FD1" w:rsidRDefault="00223A77" w:rsidP="005C382A">
      <w:pPr>
        <w:ind w:left="720"/>
        <w:rPr>
          <w:lang w:val="pt-BR"/>
        </w:rPr>
      </w:pPr>
    </w:p>
    <w:p w:rsidR="00223A77" w:rsidRPr="00C50FD1" w:rsidRDefault="00223A77" w:rsidP="00864B8A">
      <w:pPr>
        <w:spacing w:after="60"/>
        <w:ind w:left="720"/>
        <w:rPr>
          <w:lang w:val="pt-BR"/>
        </w:rPr>
      </w:pPr>
      <w:r w:rsidRPr="00C50FD1">
        <w:rPr>
          <w:rFonts w:cs="Tahoma"/>
          <w:b/>
          <w:lang w:val="pt-BR"/>
        </w:rPr>
        <w:t>Exceção do Software Assurance</w:t>
      </w:r>
    </w:p>
    <w:p w:rsidR="009504CA" w:rsidRPr="00C50FD1" w:rsidRDefault="00223A77" w:rsidP="005C382A">
      <w:pPr>
        <w:ind w:left="720"/>
        <w:rPr>
          <w:lang w:val="pt-BR"/>
        </w:rPr>
      </w:pPr>
      <w:r w:rsidRPr="00C50FD1">
        <w:rPr>
          <w:rFonts w:cs="Tahoma"/>
          <w:color w:val="000000"/>
          <w:szCs w:val="18"/>
          <w:lang w:val="pt-BR"/>
        </w:rPr>
        <w:t>Os clientes que estiverem adquirindo licenças de direitos de locação não estarão qualificados a obter o</w:t>
      </w:r>
      <w:r w:rsidR="00C95455" w:rsidRPr="00C50FD1">
        <w:rPr>
          <w:rFonts w:cs="Tahoma"/>
          <w:color w:val="000000"/>
          <w:szCs w:val="18"/>
          <w:lang w:val="pt-BR"/>
        </w:rPr>
        <w:t> </w:t>
      </w:r>
      <w:r w:rsidRPr="00C50FD1">
        <w:rPr>
          <w:rFonts w:cs="Tahoma"/>
          <w:color w:val="000000"/>
          <w:szCs w:val="18"/>
          <w:lang w:val="pt-BR"/>
        </w:rPr>
        <w:t>Software Assurance para as licenças de direitos de locação nem para as licenças básicas de software</w:t>
      </w:r>
      <w:r w:rsidR="00C95455" w:rsidRPr="00C50FD1">
        <w:rPr>
          <w:rFonts w:cs="Tahoma"/>
          <w:color w:val="000000"/>
          <w:szCs w:val="18"/>
          <w:lang w:val="pt-BR"/>
        </w:rPr>
        <w:t> </w:t>
      </w:r>
      <w:r w:rsidRPr="00C50FD1">
        <w:rPr>
          <w:rFonts w:cs="Tahoma"/>
          <w:color w:val="000000"/>
          <w:szCs w:val="18"/>
          <w:lang w:val="pt-BR"/>
        </w:rPr>
        <w:t>qualificado.</w:t>
      </w:r>
    </w:p>
    <w:p w:rsidR="00980240" w:rsidRPr="00C50FD1" w:rsidRDefault="00980240" w:rsidP="00980240">
      <w:pPr>
        <w:rPr>
          <w:lang w:val="pt-BR"/>
        </w:rPr>
      </w:pPr>
    </w:p>
    <w:p w:rsidR="00980240" w:rsidRPr="00C50FD1" w:rsidRDefault="00980240" w:rsidP="00980240">
      <w:pPr>
        <w:rPr>
          <w:lang w:val="pt-BR"/>
        </w:rPr>
      </w:pPr>
    </w:p>
    <w:p w:rsidR="005F584F" w:rsidRPr="00C50FD1" w:rsidRDefault="004668D9" w:rsidP="005F584F">
      <w:pPr>
        <w:pStyle w:val="Heading3"/>
        <w:rPr>
          <w:lang w:val="pt-BR"/>
        </w:rPr>
      </w:pPr>
      <w:bookmarkStart w:id="1091" w:name="_15_Visio_Professional"/>
      <w:bookmarkStart w:id="1092" w:name="_16_Vexcel_Desktop"/>
      <w:bookmarkStart w:id="1093" w:name="_Toc353470920"/>
      <w:bookmarkEnd w:id="1091"/>
      <w:bookmarkEnd w:id="1092"/>
      <w:r w:rsidRPr="00C50FD1">
        <w:rPr>
          <w:rFonts w:ascii="Tahoma" w:hAnsi="Tahoma" w:cs="Tahoma"/>
          <w:caps/>
          <w:color w:val="EE6000"/>
          <w:sz w:val="22"/>
          <w:szCs w:val="18"/>
          <w:vertAlign w:val="superscript"/>
          <w:lang w:val="pt-BR"/>
        </w:rPr>
        <w:t>16</w:t>
      </w:r>
      <w:r w:rsidRPr="00C50FD1">
        <w:rPr>
          <w:rFonts w:ascii="Tahoma" w:hAnsi="Tahoma" w:cs="Tahoma"/>
          <w:caps/>
          <w:color w:val="EE6000"/>
          <w:sz w:val="22"/>
          <w:szCs w:val="18"/>
          <w:lang w:val="pt-BR"/>
        </w:rPr>
        <w:t xml:space="preserve"> </w:t>
      </w:r>
      <w:r w:rsidRPr="00C50FD1">
        <w:rPr>
          <w:rFonts w:ascii="Tahoma" w:hAnsi="Tahoma"/>
          <w:color w:val="F66400"/>
          <w:sz w:val="22"/>
          <w:lang w:val="pt-BR"/>
        </w:rPr>
        <w:t>Vexcel Desktop com Pacote de Conteúdo Aprimorado</w:t>
      </w:r>
      <w:bookmarkEnd w:id="1093"/>
    </w:p>
    <w:p w:rsidR="005F584F" w:rsidRPr="00C50FD1" w:rsidRDefault="005F584F" w:rsidP="005F584F">
      <w:pPr>
        <w:rPr>
          <w:lang w:val="pt-BR"/>
        </w:rPr>
      </w:pPr>
    </w:p>
    <w:p w:rsidR="005F584F" w:rsidRPr="00C50FD1" w:rsidRDefault="005F584F" w:rsidP="007F574F">
      <w:pPr>
        <w:spacing w:after="60"/>
        <w:ind w:left="720"/>
        <w:rPr>
          <w:lang w:val="pt-BR"/>
        </w:rPr>
      </w:pPr>
      <w:r w:rsidRPr="00C50FD1">
        <w:rPr>
          <w:b/>
          <w:lang w:val="pt-BR"/>
        </w:rPr>
        <w:t>Serviços de Criação Requeridos</w:t>
      </w:r>
      <w:r w:rsidR="005A52A2" w:rsidRPr="00C50FD1">
        <w:rPr>
          <w:b/>
          <w:lang w:val="pt-BR"/>
        </w:rPr>
        <w:t xml:space="preserve"> </w:t>
      </w:r>
    </w:p>
    <w:p w:rsidR="005F584F" w:rsidRPr="00C50FD1" w:rsidRDefault="005F584F" w:rsidP="007F574F">
      <w:pPr>
        <w:ind w:left="720"/>
        <w:rPr>
          <w:lang w:val="pt-BR"/>
        </w:rPr>
      </w:pPr>
      <w:r w:rsidRPr="00C50FD1">
        <w:rPr>
          <w:szCs w:val="18"/>
          <w:lang w:val="pt-BR"/>
        </w:rPr>
        <w:t>O Vexcel Desktop com Pacote de Conteúdo Aprimorado requer os serviços de criação de sistemas da</w:t>
      </w:r>
      <w:r w:rsidR="00C95455" w:rsidRPr="00C50FD1">
        <w:rPr>
          <w:szCs w:val="18"/>
          <w:lang w:val="pt-BR"/>
        </w:rPr>
        <w:t> </w:t>
      </w:r>
      <w:r w:rsidRPr="00C50FD1">
        <w:rPr>
          <w:szCs w:val="18"/>
          <w:lang w:val="pt-BR"/>
        </w:rPr>
        <w:t>Vexcel,</w:t>
      </w:r>
      <w:r w:rsidR="00C95455" w:rsidRPr="00C50FD1">
        <w:rPr>
          <w:szCs w:val="18"/>
          <w:lang w:val="pt-BR"/>
        </w:rPr>
        <w:t> </w:t>
      </w:r>
      <w:r w:rsidRPr="00C50FD1">
        <w:rPr>
          <w:szCs w:val="18"/>
          <w:lang w:val="pt-BR"/>
        </w:rPr>
        <w:t>subsidiária geoespacial da Microsoft.</w:t>
      </w:r>
      <w:r w:rsidR="005A52A2" w:rsidRPr="00C50FD1">
        <w:rPr>
          <w:szCs w:val="18"/>
          <w:lang w:val="pt-BR"/>
        </w:rPr>
        <w:t xml:space="preserve"> </w:t>
      </w:r>
      <w:r w:rsidRPr="00C50FD1">
        <w:rPr>
          <w:szCs w:val="18"/>
          <w:lang w:val="pt-BR"/>
        </w:rPr>
        <w:t>Também estão disponíveis treinamento, suporte e</w:t>
      </w:r>
      <w:r w:rsidR="00C95455" w:rsidRPr="00C50FD1">
        <w:rPr>
          <w:szCs w:val="18"/>
          <w:lang w:val="pt-BR"/>
        </w:rPr>
        <w:t> </w:t>
      </w:r>
      <w:r w:rsidRPr="00C50FD1">
        <w:rPr>
          <w:szCs w:val="18"/>
          <w:lang w:val="pt-BR"/>
        </w:rPr>
        <w:t>serviços</w:t>
      </w:r>
      <w:r w:rsidR="00C95455" w:rsidRPr="00C50FD1">
        <w:rPr>
          <w:szCs w:val="18"/>
          <w:lang w:val="pt-BR"/>
        </w:rPr>
        <w:t> </w:t>
      </w:r>
      <w:r w:rsidRPr="00C50FD1">
        <w:rPr>
          <w:szCs w:val="18"/>
          <w:lang w:val="pt-BR"/>
        </w:rPr>
        <w:t>de</w:t>
      </w:r>
      <w:r w:rsidR="00C95455" w:rsidRPr="00C50FD1">
        <w:rPr>
          <w:szCs w:val="18"/>
          <w:lang w:val="pt-BR"/>
        </w:rPr>
        <w:t> </w:t>
      </w:r>
      <w:r w:rsidRPr="00C50FD1">
        <w:rPr>
          <w:szCs w:val="18"/>
          <w:lang w:val="pt-BR"/>
        </w:rPr>
        <w:t>manutenção adicionais, mas não são necessários.</w:t>
      </w:r>
      <w:r w:rsidR="005A52A2" w:rsidRPr="00C50FD1">
        <w:rPr>
          <w:szCs w:val="18"/>
          <w:lang w:val="pt-BR"/>
        </w:rPr>
        <w:t xml:space="preserve"> </w:t>
      </w:r>
      <w:r w:rsidRPr="00C50FD1">
        <w:rPr>
          <w:szCs w:val="18"/>
          <w:lang w:val="pt-BR"/>
        </w:rPr>
        <w:t>Para obter mais informações, visite o</w:t>
      </w:r>
      <w:r w:rsidR="00C95455" w:rsidRPr="00C50FD1">
        <w:rPr>
          <w:szCs w:val="18"/>
          <w:lang w:val="pt-BR"/>
        </w:rPr>
        <w:t> </w:t>
      </w:r>
      <w:r w:rsidRPr="00C50FD1">
        <w:rPr>
          <w:szCs w:val="18"/>
          <w:lang w:val="pt-BR"/>
        </w:rPr>
        <w:t>site</w:t>
      </w:r>
      <w:r w:rsidR="00C95455" w:rsidRPr="00C50FD1">
        <w:rPr>
          <w:szCs w:val="18"/>
          <w:lang w:val="pt-BR"/>
        </w:rPr>
        <w:t> </w:t>
      </w:r>
      <w:hyperlink r:id="rId40" w:history="1">
        <w:r w:rsidRPr="00C50FD1">
          <w:rPr>
            <w:rStyle w:val="Hyperlink"/>
            <w:rFonts w:cs="Tahoma"/>
            <w:szCs w:val="18"/>
            <w:lang w:val="pt-BR"/>
          </w:rPr>
          <w:t>http://www.vexcel.com/geospatial/bingmapsserver/index.asp</w:t>
        </w:r>
      </w:hyperlink>
    </w:p>
    <w:p w:rsidR="005F584F" w:rsidRPr="00C50FD1" w:rsidRDefault="005F584F" w:rsidP="007F574F">
      <w:pPr>
        <w:ind w:left="720"/>
        <w:rPr>
          <w:lang w:val="pt-BR"/>
        </w:rPr>
      </w:pPr>
    </w:p>
    <w:p w:rsidR="005F584F" w:rsidRPr="00C50FD1" w:rsidRDefault="005F584F" w:rsidP="007E466C">
      <w:pPr>
        <w:rPr>
          <w:lang w:val="pt-BR"/>
        </w:rPr>
      </w:pPr>
    </w:p>
    <w:p w:rsidR="00257298" w:rsidRPr="00C50FD1" w:rsidRDefault="004668D9" w:rsidP="005C382A">
      <w:pPr>
        <w:pStyle w:val="Heading3"/>
        <w:rPr>
          <w:lang w:val="pt-BR"/>
        </w:rPr>
      </w:pPr>
      <w:bookmarkStart w:id="1094" w:name="_17_Visio_Professional"/>
      <w:bookmarkStart w:id="1095" w:name="_Toc353470921"/>
      <w:bookmarkEnd w:id="1094"/>
      <w:r w:rsidRPr="00C50FD1">
        <w:rPr>
          <w:rFonts w:ascii="Tahoma" w:hAnsi="Tahoma"/>
          <w:caps/>
          <w:color w:val="F66400"/>
          <w:sz w:val="22"/>
          <w:vertAlign w:val="superscript"/>
          <w:lang w:val="pt-BR"/>
        </w:rPr>
        <w:t>17</w:t>
      </w:r>
      <w:r w:rsidRPr="00C50FD1">
        <w:rPr>
          <w:rFonts w:ascii="Tahoma" w:hAnsi="Tahoma"/>
          <w:color w:val="F66400"/>
          <w:sz w:val="22"/>
          <w:lang w:val="pt-BR"/>
        </w:rPr>
        <w:t xml:space="preserve"> Visio Professional 2013</w:t>
      </w:r>
      <w:bookmarkEnd w:id="1095"/>
    </w:p>
    <w:p w:rsidR="005C382A" w:rsidRPr="00C50FD1" w:rsidRDefault="005C382A" w:rsidP="005C382A">
      <w:pPr>
        <w:rPr>
          <w:lang w:val="pt-BR"/>
        </w:rPr>
      </w:pPr>
    </w:p>
    <w:p w:rsidR="00257298" w:rsidRPr="00C50FD1" w:rsidRDefault="00257298" w:rsidP="00864B8A">
      <w:pPr>
        <w:spacing w:after="60"/>
        <w:ind w:left="720"/>
        <w:rPr>
          <w:lang w:val="pt-BR"/>
        </w:rPr>
      </w:pPr>
      <w:r w:rsidRPr="00C50FD1">
        <w:rPr>
          <w:rFonts w:cs="Tahoma"/>
          <w:b/>
          <w:lang w:val="pt-BR"/>
        </w:rPr>
        <w:t xml:space="preserve">Caminho de Migração do Software Assurance para </w:t>
      </w:r>
      <w:bookmarkStart w:id="1096" w:name="Srv_11VisioPremium2010"/>
      <w:bookmarkStart w:id="1097" w:name="Aps_11VisioPremium2010"/>
      <w:bookmarkStart w:id="1098" w:name="_Toc336338274"/>
      <w:bookmarkStart w:id="1099" w:name="Srv_VisioPremium2010"/>
      <w:r w:rsidRPr="00C50FD1">
        <w:rPr>
          <w:rFonts w:cs="Tahoma"/>
          <w:b/>
          <w:lang w:val="pt-BR"/>
        </w:rPr>
        <w:t>Visio Premium 2010</w:t>
      </w:r>
      <w:bookmarkEnd w:id="1096"/>
      <w:bookmarkEnd w:id="1097"/>
      <w:bookmarkEnd w:id="1098"/>
    </w:p>
    <w:bookmarkEnd w:id="1099"/>
    <w:p w:rsidR="00257298" w:rsidRPr="00C50FD1" w:rsidRDefault="00257298" w:rsidP="005C382A">
      <w:pPr>
        <w:pStyle w:val="FootnoteBulletLevel1"/>
        <w:spacing w:before="0" w:after="0"/>
        <w:ind w:left="720" w:firstLine="0"/>
        <w:rPr>
          <w:lang w:val="pt-BR"/>
        </w:rPr>
      </w:pPr>
      <w:r w:rsidRPr="00C50FD1">
        <w:rPr>
          <w:rFonts w:ascii="Tahoma" w:hAnsi="Tahoma" w:cs="Tahoma"/>
          <w:sz w:val="18"/>
          <w:lang w:val="pt-BR"/>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5A52A2" w:rsidRPr="00C50FD1">
        <w:rPr>
          <w:rFonts w:ascii="Tahoma" w:hAnsi="Tahoma" w:cs="Tahoma"/>
          <w:sz w:val="18"/>
          <w:lang w:val="pt-BR"/>
        </w:rPr>
        <w:t xml:space="preserve"> </w:t>
      </w:r>
      <w:r w:rsidRPr="00C50FD1">
        <w:rPr>
          <w:rFonts w:ascii="Tahoma" w:hAnsi="Tahoma" w:cs="Tahoma"/>
          <w:sz w:val="18"/>
          <w:lang w:val="pt-BR"/>
        </w:rPr>
        <w:t>O uso</w:t>
      </w:r>
      <w:r w:rsidR="00C95455" w:rsidRPr="00C50FD1">
        <w:rPr>
          <w:rFonts w:ascii="Tahoma" w:hAnsi="Tahoma" w:cs="Tahoma"/>
          <w:sz w:val="18"/>
          <w:lang w:val="pt-BR"/>
        </w:rPr>
        <w:t> </w:t>
      </w:r>
      <w:r w:rsidRPr="00C50FD1">
        <w:rPr>
          <w:rFonts w:ascii="Tahoma" w:hAnsi="Tahoma" w:cs="Tahoma"/>
          <w:sz w:val="18"/>
          <w:lang w:val="pt-BR"/>
        </w:rPr>
        <w:t>do Visio Professional 2013 é regido pelos direitos de uso do Visio Professional 2013 e pelos termos e</w:t>
      </w:r>
      <w:r w:rsidR="00C95455" w:rsidRPr="00C50FD1">
        <w:rPr>
          <w:rFonts w:ascii="Tahoma" w:hAnsi="Tahoma" w:cs="Tahoma"/>
          <w:sz w:val="18"/>
          <w:lang w:val="pt-BR"/>
        </w:rPr>
        <w:t> </w:t>
      </w:r>
      <w:r w:rsidRPr="00C50FD1">
        <w:rPr>
          <w:rFonts w:ascii="Tahoma" w:hAnsi="Tahoma" w:cs="Tahoma"/>
          <w:sz w:val="18"/>
          <w:lang w:val="pt-BR"/>
        </w:rPr>
        <w:t>condições do contrato de licenciamento por volume do cliente.</w:t>
      </w:r>
      <w:r w:rsidR="005A52A2" w:rsidRPr="00C50FD1">
        <w:rPr>
          <w:rFonts w:ascii="Tahoma" w:hAnsi="Tahoma" w:cs="Tahoma"/>
          <w:sz w:val="18"/>
          <w:lang w:val="pt-BR"/>
        </w:rPr>
        <w:t xml:space="preserve"> </w:t>
      </w:r>
      <w:r w:rsidRPr="00C50FD1">
        <w:rPr>
          <w:rFonts w:ascii="Tahoma" w:hAnsi="Tahoma" w:cs="Tahoma"/>
          <w:sz w:val="18"/>
          <w:lang w:val="pt-BR"/>
        </w:rPr>
        <w:t>Esta nota de condição do produto e a evidência do cliente quanto à licença qualificada correspondente comprovam o direito de uso do Visio Professional 2013 sob esta oferta.</w:t>
      </w:r>
      <w:r w:rsidR="005A52A2" w:rsidRPr="00C50FD1">
        <w:rPr>
          <w:rFonts w:ascii="Tahoma" w:hAnsi="Tahoma" w:cs="Tahoma"/>
          <w:sz w:val="18"/>
          <w:lang w:val="pt-BR"/>
        </w:rPr>
        <w:t xml:space="preserve"> </w:t>
      </w:r>
      <w:r w:rsidRPr="00C50FD1">
        <w:rPr>
          <w:rFonts w:ascii="Tahoma" w:hAnsi="Tahoma" w:cs="Tahoma"/>
          <w:sz w:val="18"/>
          <w:lang w:val="pt-BR"/>
        </w:rPr>
        <w:t>No término da cobertura do Software Assurance para o Visio Premium 2010, o cliente poderá adquirir o Software Assurance para o Visio Professional 2013 sem precisar adquirir uma nova licença separadamente.</w:t>
      </w:r>
    </w:p>
    <w:p w:rsidR="00DF3CEE" w:rsidRPr="00C50FD1" w:rsidRDefault="00DF3CEE" w:rsidP="00864B8A">
      <w:pPr>
        <w:spacing w:after="60"/>
        <w:ind w:left="720"/>
        <w:rPr>
          <w:lang w:val="pt-BR"/>
        </w:rPr>
      </w:pPr>
      <w:r w:rsidRPr="00C50FD1">
        <w:rPr>
          <w:rFonts w:cs="Tahoma"/>
          <w:b/>
          <w:lang w:val="pt-BR"/>
        </w:rPr>
        <w:lastRenderedPageBreak/>
        <w:t>Direitos de Downgrade para o Visio Professional 2013</w:t>
      </w:r>
    </w:p>
    <w:p w:rsidR="00DF3CEE" w:rsidRPr="00C50FD1" w:rsidRDefault="00DF3CEE" w:rsidP="005C382A">
      <w:pPr>
        <w:pStyle w:val="FootnoteBulletLevel1"/>
        <w:spacing w:before="0" w:after="0"/>
        <w:ind w:left="720" w:firstLine="0"/>
        <w:rPr>
          <w:lang w:val="pt-BR"/>
        </w:rPr>
      </w:pPr>
      <w:r w:rsidRPr="00C50FD1">
        <w:rPr>
          <w:rFonts w:ascii="Tahoma" w:hAnsi="Tahoma" w:cs="Tahoma"/>
          <w:sz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w:t>
      </w:r>
      <w:r w:rsidR="00C95455" w:rsidRPr="00C50FD1">
        <w:rPr>
          <w:rFonts w:ascii="Tahoma" w:hAnsi="Tahoma" w:cs="Tahoma"/>
          <w:sz w:val="18"/>
          <w:lang w:val="pt-BR"/>
        </w:rPr>
        <w:t> </w:t>
      </w:r>
      <w:r w:rsidRPr="00C50FD1">
        <w:rPr>
          <w:rFonts w:ascii="Tahoma" w:hAnsi="Tahoma" w:cs="Tahoma"/>
          <w:sz w:val="18"/>
          <w:lang w:val="pt-BR"/>
        </w:rPr>
        <w:t>2010.</w:t>
      </w:r>
    </w:p>
    <w:p w:rsidR="005C382A" w:rsidRPr="00C50FD1" w:rsidRDefault="005C382A" w:rsidP="005C382A">
      <w:pPr>
        <w:rPr>
          <w:lang w:val="pt-BR"/>
        </w:rPr>
      </w:pPr>
    </w:p>
    <w:p w:rsidR="00676723" w:rsidRPr="00C50FD1" w:rsidRDefault="00676723" w:rsidP="005C382A">
      <w:pPr>
        <w:rPr>
          <w:lang w:val="pt-BR"/>
        </w:rPr>
      </w:pPr>
    </w:p>
    <w:p w:rsidR="00BE4D27" w:rsidRPr="00C50FD1" w:rsidRDefault="004668D9" w:rsidP="00BE4D27">
      <w:pPr>
        <w:pStyle w:val="Heading3"/>
        <w:rPr>
          <w:rFonts w:ascii="Tahoma" w:hAnsi="Tahoma"/>
          <w:color w:val="F66400"/>
          <w:sz w:val="22"/>
          <w:lang w:val="pt-BR"/>
        </w:rPr>
      </w:pPr>
      <w:bookmarkStart w:id="1100" w:name="_18_Visio_Pro"/>
      <w:bookmarkStart w:id="1101" w:name="_Toc353470922"/>
      <w:bookmarkEnd w:id="1100"/>
      <w:r w:rsidRPr="00C50FD1">
        <w:rPr>
          <w:rFonts w:ascii="Tahoma" w:hAnsi="Tahoma"/>
          <w:caps/>
          <w:color w:val="F66400"/>
          <w:sz w:val="22"/>
          <w:vertAlign w:val="superscript"/>
          <w:lang w:val="pt-BR"/>
        </w:rPr>
        <w:t>18</w:t>
      </w:r>
      <w:r w:rsidRPr="00C50FD1">
        <w:rPr>
          <w:rFonts w:ascii="Tahoma" w:hAnsi="Tahoma"/>
          <w:color w:val="F66400"/>
          <w:sz w:val="22"/>
          <w:lang w:val="pt-BR"/>
        </w:rPr>
        <w:t xml:space="preserve"> Visio Pro para Office 365</w:t>
      </w:r>
      <w:bookmarkEnd w:id="1101"/>
      <w:r w:rsidRPr="00C50FD1">
        <w:rPr>
          <w:rFonts w:ascii="Tahoma" w:hAnsi="Tahoma"/>
          <w:color w:val="F66400"/>
          <w:sz w:val="22"/>
          <w:lang w:val="pt-BR"/>
        </w:rPr>
        <w:t xml:space="preserve"> </w:t>
      </w:r>
    </w:p>
    <w:p w:rsidR="00DA0369" w:rsidRPr="00C50FD1" w:rsidRDefault="00DA0369" w:rsidP="00DA0369">
      <w:pPr>
        <w:rPr>
          <w:lang w:val="pt-BR"/>
        </w:rPr>
      </w:pPr>
    </w:p>
    <w:p w:rsidR="00BE4D27" w:rsidRPr="00C50FD1" w:rsidRDefault="00BE4D27" w:rsidP="00BE4D27">
      <w:pPr>
        <w:spacing w:after="60"/>
        <w:ind w:left="720"/>
        <w:rPr>
          <w:lang w:val="pt-BR"/>
        </w:rPr>
      </w:pPr>
      <w:r w:rsidRPr="00C50FD1">
        <w:rPr>
          <w:rFonts w:cs="Tahoma"/>
          <w:b/>
          <w:lang w:val="pt-BR"/>
        </w:rPr>
        <w:t>Qualificação de Mídia com Serviços de Área de Trabalho Remota (RDS)</w:t>
      </w:r>
    </w:p>
    <w:p w:rsidR="00BE4D27" w:rsidRPr="00C50FD1" w:rsidRDefault="00BE4D27" w:rsidP="00BE4D27">
      <w:pPr>
        <w:ind w:left="720"/>
        <w:rPr>
          <w:lang w:val="pt-BR"/>
        </w:rPr>
      </w:pPr>
      <w:r w:rsidRPr="00C50FD1">
        <w:rPr>
          <w:rFonts w:cs="Tahoma"/>
          <w:szCs w:val="18"/>
          <w:lang w:val="pt-BR"/>
        </w:rPr>
        <w:t>Se o usuário para o qual você atribuiu uma licença do Visio Pro para Office 365 usar o software em um servidor de rede com a função RDS ativada, em vez de instalar uma cópia do software fornecido com o Visio</w:t>
      </w:r>
      <w:r w:rsidR="00C95455" w:rsidRPr="00C50FD1">
        <w:rPr>
          <w:rFonts w:cs="Tahoma"/>
          <w:szCs w:val="18"/>
          <w:lang w:val="pt-BR"/>
        </w:rPr>
        <w:t> </w:t>
      </w:r>
      <w:r w:rsidRPr="00C50FD1">
        <w:rPr>
          <w:rFonts w:cs="Tahoma"/>
          <w:szCs w:val="18"/>
          <w:lang w:val="pt-BR"/>
        </w:rPr>
        <w:t>Pro para Office 365 em um dos cinco dispositivos permitidos de acordo com os Direitos de Uso do Produto para Visio Pro para Office 365, esse usuário poderá 1) instalar uma cópia do software Visio 2013 Professional em um servidor de rede e 2) acessar o software Visio 2013 Professional de qualquer dispositivo.</w:t>
      </w:r>
      <w:r w:rsidR="005A52A2" w:rsidRPr="00C50FD1">
        <w:rPr>
          <w:rFonts w:cs="Tahoma"/>
          <w:szCs w:val="18"/>
          <w:lang w:val="pt-BR"/>
        </w:rPr>
        <w:t xml:space="preserve"> </w:t>
      </w:r>
      <w:r w:rsidRPr="00C50FD1">
        <w:rPr>
          <w:rFonts w:cs="Tahoma"/>
          <w:szCs w:val="18"/>
          <w:lang w:val="pt-BR"/>
        </w:rPr>
        <w:t>Mediante o término da sua assinatura do Visio Pro para Office 365, você deverá desinstalar o</w:t>
      </w:r>
      <w:r w:rsidR="00C95455" w:rsidRPr="00C50FD1">
        <w:rPr>
          <w:rFonts w:cs="Tahoma"/>
          <w:szCs w:val="18"/>
          <w:lang w:val="pt-BR"/>
        </w:rPr>
        <w:t> </w:t>
      </w:r>
      <w:r w:rsidRPr="00C50FD1">
        <w:rPr>
          <w:rFonts w:cs="Tahoma"/>
          <w:szCs w:val="18"/>
          <w:lang w:val="pt-BR"/>
        </w:rPr>
        <w:t xml:space="preserve">software Visio 2013 Professional do servidor de rede. </w:t>
      </w:r>
    </w:p>
    <w:p w:rsidR="00BE4D27" w:rsidRPr="00C50FD1" w:rsidRDefault="00BE4D27" w:rsidP="00BE4D27">
      <w:pPr>
        <w:ind w:left="720"/>
        <w:rPr>
          <w:lang w:val="pt-BR"/>
        </w:rPr>
      </w:pPr>
    </w:p>
    <w:p w:rsidR="00BE4D27" w:rsidRPr="00C50FD1" w:rsidRDefault="00BE4D27" w:rsidP="00BE4D27">
      <w:pPr>
        <w:spacing w:after="60"/>
        <w:ind w:left="720"/>
        <w:rPr>
          <w:lang w:val="pt-BR"/>
        </w:rPr>
      </w:pPr>
      <w:r w:rsidRPr="00C50FD1">
        <w:rPr>
          <w:rFonts w:cs="Tahoma"/>
          <w:b/>
          <w:lang w:val="pt-BR"/>
        </w:rPr>
        <w:t>Direitos de Downgrade</w:t>
      </w:r>
    </w:p>
    <w:p w:rsidR="00BE4D27" w:rsidRPr="00C50FD1" w:rsidRDefault="00BE4D27" w:rsidP="00BE4D27">
      <w:pPr>
        <w:ind w:left="720"/>
        <w:rPr>
          <w:lang w:val="pt-BR"/>
        </w:rPr>
      </w:pPr>
      <w:r w:rsidRPr="00C50FD1">
        <w:rPr>
          <w:rFonts w:cs="Tahoma"/>
          <w:bCs/>
          <w:szCs w:val="18"/>
          <w:lang w:val="pt-BR"/>
        </w:rPr>
        <w:t>O serviço Visio Pro para Office 365 não possui direitos de downgrade. Para obter mais informações sobre os</w:t>
      </w:r>
      <w:r w:rsidR="00C95455" w:rsidRPr="00C50FD1">
        <w:rPr>
          <w:rFonts w:cs="Tahoma"/>
          <w:bCs/>
          <w:szCs w:val="18"/>
          <w:lang w:val="pt-BR"/>
        </w:rPr>
        <w:t> </w:t>
      </w:r>
      <w:r w:rsidRPr="00C50FD1">
        <w:rPr>
          <w:rFonts w:cs="Tahoma"/>
          <w:bCs/>
          <w:szCs w:val="18"/>
          <w:lang w:val="pt-BR"/>
        </w:rPr>
        <w:t xml:space="preserve">requisitos de atualização dos Serviços Online, consulte o documento de Direitos de Uso de Produto (PUR) no site </w:t>
      </w:r>
      <w:hyperlink r:id="rId41" w:history="1">
        <w:r w:rsidRPr="00C50FD1">
          <w:rPr>
            <w:rStyle w:val="Hyperlink"/>
            <w:rFonts w:cs="Tahoma"/>
            <w:bCs/>
            <w:szCs w:val="18"/>
            <w:lang w:val="pt-BR"/>
          </w:rPr>
          <w:t>http://www.microsoftvolumelicensing.com/userights/PUR.aspx</w:t>
        </w:r>
      </w:hyperlink>
    </w:p>
    <w:p w:rsidR="00BE4D27" w:rsidRPr="00C50FD1" w:rsidRDefault="00BE4D27" w:rsidP="005C382A">
      <w:pPr>
        <w:rPr>
          <w:lang w:val="pt-BR"/>
        </w:rPr>
      </w:pPr>
    </w:p>
    <w:p w:rsidR="005C382A" w:rsidRPr="00C50FD1" w:rsidRDefault="005C382A" w:rsidP="005C382A">
      <w:pPr>
        <w:rPr>
          <w:lang w:val="pt-BR"/>
        </w:rPr>
      </w:pPr>
    </w:p>
    <w:p w:rsidR="00223A77" w:rsidRPr="00C50FD1" w:rsidRDefault="004668D9" w:rsidP="00223A77">
      <w:pPr>
        <w:pStyle w:val="Heading3"/>
        <w:rPr>
          <w:lang w:val="pt-BR"/>
        </w:rPr>
      </w:pPr>
      <w:bookmarkStart w:id="1102" w:name="_19_Visual_Studio"/>
      <w:bookmarkStart w:id="1103" w:name="_Toc336338275"/>
      <w:bookmarkStart w:id="1104" w:name="_Toc353470923"/>
      <w:bookmarkStart w:id="1105" w:name="Aps_12VS2010Professional"/>
      <w:bookmarkStart w:id="1106" w:name="_Toc252341836"/>
      <w:bookmarkEnd w:id="1102"/>
      <w:r w:rsidRPr="00C50FD1">
        <w:rPr>
          <w:rFonts w:ascii="Tahoma" w:hAnsi="Tahoma"/>
          <w:caps/>
          <w:color w:val="F66400"/>
          <w:sz w:val="22"/>
          <w:vertAlign w:val="superscript"/>
          <w:lang w:val="pt-BR"/>
        </w:rPr>
        <w:t>19</w:t>
      </w:r>
      <w:r w:rsidRPr="00C50FD1">
        <w:rPr>
          <w:rFonts w:ascii="Tahoma" w:hAnsi="Tahoma"/>
          <w:color w:val="F66400"/>
          <w:sz w:val="22"/>
          <w:lang w:val="pt-BR"/>
        </w:rPr>
        <w:t xml:space="preserve"> Visual Studio Professional 2012</w:t>
      </w:r>
      <w:bookmarkEnd w:id="1103"/>
      <w:bookmarkEnd w:id="1104"/>
    </w:p>
    <w:bookmarkEnd w:id="1105"/>
    <w:p w:rsidR="009275A3" w:rsidRPr="00C50FD1" w:rsidRDefault="009275A3" w:rsidP="009275A3">
      <w:pPr>
        <w:pStyle w:val="FootnoteBulletLevel1"/>
        <w:tabs>
          <w:tab w:val="clear" w:pos="900"/>
        </w:tabs>
        <w:spacing w:before="0" w:after="0"/>
        <w:ind w:left="0" w:firstLine="0"/>
        <w:rPr>
          <w:lang w:val="pt-BR"/>
        </w:rPr>
      </w:pPr>
    </w:p>
    <w:p w:rsidR="006D58DB" w:rsidRPr="00C50FD1" w:rsidRDefault="006D58DB" w:rsidP="00864B8A">
      <w:pPr>
        <w:spacing w:after="60"/>
        <w:ind w:left="720"/>
        <w:rPr>
          <w:lang w:val="pt-BR"/>
        </w:rPr>
      </w:pPr>
      <w:r w:rsidRPr="00C50FD1">
        <w:rPr>
          <w:rFonts w:cs="Tahoma"/>
          <w:b/>
          <w:lang w:val="pt-BR"/>
        </w:rPr>
        <w:t>Caminho de Migração do Software Assurance para o Visual Studio LightSwitch 2011</w:t>
      </w:r>
    </w:p>
    <w:p w:rsidR="006D58DB" w:rsidRPr="00C50FD1" w:rsidRDefault="006D58DB" w:rsidP="009275A3">
      <w:pPr>
        <w:pStyle w:val="FootnoteBulletLevel1"/>
        <w:tabs>
          <w:tab w:val="clear" w:pos="900"/>
        </w:tabs>
        <w:spacing w:before="0" w:after="0"/>
        <w:ind w:left="720" w:firstLine="0"/>
        <w:rPr>
          <w:lang w:val="pt-BR"/>
        </w:rPr>
      </w:pPr>
      <w:r w:rsidRPr="00C50FD1">
        <w:rPr>
          <w:rFonts w:ascii="Tahoma" w:hAnsi="Tahoma" w:cs="Tahoma"/>
          <w:sz w:val="18"/>
          <w:lang w:val="pt-BR"/>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5A52A2" w:rsidRPr="00C50FD1">
        <w:rPr>
          <w:rFonts w:ascii="Tahoma" w:hAnsi="Tahoma" w:cs="Tahoma"/>
          <w:sz w:val="18"/>
          <w:lang w:val="pt-BR"/>
        </w:rPr>
        <w:t xml:space="preserve"> </w:t>
      </w:r>
      <w:r w:rsidRPr="00C50FD1">
        <w:rPr>
          <w:rFonts w:ascii="Tahoma" w:hAnsi="Tahoma" w:cs="Tahoma"/>
          <w:sz w:val="18"/>
          <w:lang w:val="pt-BR"/>
        </w:rPr>
        <w:t>O uso do Visual Studio Professional 2012 é regido pelos direitos de uso do Visual Studio Professional 2012 e pelos termos e</w:t>
      </w:r>
      <w:r w:rsidR="00C95455" w:rsidRPr="00C50FD1">
        <w:rPr>
          <w:rFonts w:ascii="Tahoma" w:hAnsi="Tahoma" w:cs="Tahoma"/>
          <w:sz w:val="18"/>
          <w:lang w:val="pt-BR"/>
        </w:rPr>
        <w:t> </w:t>
      </w:r>
      <w:r w:rsidRPr="00C50FD1">
        <w:rPr>
          <w:rFonts w:ascii="Tahoma" w:hAnsi="Tahoma" w:cs="Tahoma"/>
          <w:sz w:val="18"/>
          <w:lang w:val="pt-BR"/>
        </w:rPr>
        <w:t>pelas condições do contrato de licenciamento por volume do cliente.</w:t>
      </w:r>
      <w:r w:rsidR="005A52A2" w:rsidRPr="00C50FD1">
        <w:rPr>
          <w:rFonts w:ascii="Tahoma" w:hAnsi="Tahoma" w:cs="Tahoma"/>
          <w:sz w:val="18"/>
          <w:lang w:val="pt-BR"/>
        </w:rPr>
        <w:t xml:space="preserve"> </w:t>
      </w:r>
      <w:r w:rsidRPr="00C50FD1">
        <w:rPr>
          <w:rFonts w:ascii="Tahoma" w:hAnsi="Tahoma" w:cs="Tahoma"/>
          <w:sz w:val="18"/>
          <w:lang w:val="pt-BR"/>
        </w:rPr>
        <w:t>Esta nota de condição do produto e</w:t>
      </w:r>
      <w:r w:rsidR="00C95455" w:rsidRPr="00C50FD1">
        <w:rPr>
          <w:rFonts w:ascii="Tahoma" w:hAnsi="Tahoma" w:cs="Tahoma"/>
          <w:sz w:val="18"/>
          <w:lang w:val="pt-BR"/>
        </w:rPr>
        <w:t> </w:t>
      </w:r>
      <w:r w:rsidRPr="00C50FD1">
        <w:rPr>
          <w:rFonts w:ascii="Tahoma" w:hAnsi="Tahoma" w:cs="Tahoma"/>
          <w:sz w:val="18"/>
          <w:lang w:val="pt-BR"/>
        </w:rPr>
        <w:t>a</w:t>
      </w:r>
      <w:r w:rsidR="00C95455" w:rsidRPr="00C50FD1">
        <w:rPr>
          <w:rFonts w:ascii="Tahoma" w:hAnsi="Tahoma" w:cs="Tahoma"/>
          <w:sz w:val="18"/>
          <w:lang w:val="pt-BR"/>
        </w:rPr>
        <w:t> </w:t>
      </w:r>
      <w:r w:rsidRPr="00C50FD1">
        <w:rPr>
          <w:rFonts w:ascii="Tahoma" w:hAnsi="Tahoma" w:cs="Tahoma"/>
          <w:sz w:val="18"/>
          <w:lang w:val="pt-BR"/>
        </w:rPr>
        <w:t>evidência do cliente quanto à licença qualificada correspondente comprovam o direito de uso do Visual Studio Professional 2012 sob esta oferta.</w:t>
      </w:r>
      <w:r w:rsidR="005A52A2" w:rsidRPr="00C50FD1">
        <w:rPr>
          <w:rFonts w:ascii="Tahoma" w:hAnsi="Tahoma" w:cs="Tahoma"/>
          <w:sz w:val="18"/>
          <w:lang w:val="pt-BR"/>
        </w:rPr>
        <w:t xml:space="preserve"> </w:t>
      </w:r>
    </w:p>
    <w:p w:rsidR="00223A77" w:rsidRPr="00C50FD1" w:rsidRDefault="00223A77" w:rsidP="009275A3">
      <w:pPr>
        <w:rPr>
          <w:lang w:val="pt-BR"/>
        </w:rPr>
      </w:pPr>
    </w:p>
    <w:p w:rsidR="00691648" w:rsidRPr="00C50FD1" w:rsidRDefault="00691648" w:rsidP="00691648">
      <w:pPr>
        <w:spacing w:after="60"/>
        <w:ind w:left="720"/>
        <w:rPr>
          <w:lang w:val="pt-BR"/>
        </w:rPr>
      </w:pPr>
      <w:r w:rsidRPr="00C50FD1">
        <w:rPr>
          <w:b/>
          <w:bCs/>
          <w:lang w:val="pt-BR"/>
        </w:rPr>
        <w:t>Caminho de Migração do Software Assurance para o Expression Studio Ultimate 4</w:t>
      </w:r>
    </w:p>
    <w:p w:rsidR="00691648" w:rsidRPr="00C50FD1" w:rsidRDefault="00691648" w:rsidP="00691648">
      <w:pPr>
        <w:ind w:left="720"/>
        <w:rPr>
          <w:lang w:val="pt-BR"/>
        </w:rPr>
      </w:pPr>
      <w:r w:rsidRPr="00C50FD1">
        <w:rPr>
          <w:lang w:val="pt-BR"/>
        </w:rPr>
        <w:t>Os clientes com cobertura ativa do Software Assurance para Expression Studio Ultimate 4 desde 1</w:t>
      </w:r>
      <w:r w:rsidRPr="00C50FD1">
        <w:rPr>
          <w:vertAlign w:val="superscript"/>
          <w:lang w:val="pt-BR"/>
        </w:rPr>
        <w:t>o</w:t>
      </w:r>
      <w:r w:rsidR="00C95455" w:rsidRPr="00C50FD1">
        <w:rPr>
          <w:lang w:val="pt-BR"/>
        </w:rPr>
        <w:t> </w:t>
      </w:r>
      <w:r w:rsidRPr="00C50FD1">
        <w:rPr>
          <w:lang w:val="pt-BR"/>
        </w:rPr>
        <w:t>de</w:t>
      </w:r>
      <w:r w:rsidR="00C95455" w:rsidRPr="00C50FD1">
        <w:rPr>
          <w:lang w:val="pt-BR"/>
        </w:rPr>
        <w:t> </w:t>
      </w:r>
      <w:r w:rsidRPr="00C50FD1">
        <w:rPr>
          <w:lang w:val="pt-BR"/>
        </w:rPr>
        <w:t>março de 2013 estão qualificados a usar o Visual Studio Professional 2012. O direito de uso do Visual Studio Professional 2012 se encerra no término do direito de uso do Expression Studio Ultimate 4 sob as licenças qualificadas correspondentes.</w:t>
      </w:r>
      <w:r w:rsidR="005A52A2" w:rsidRPr="00C50FD1">
        <w:rPr>
          <w:lang w:val="pt-BR"/>
        </w:rPr>
        <w:t xml:space="preserve"> </w:t>
      </w:r>
      <w:r w:rsidRPr="00C50FD1">
        <w:rPr>
          <w:lang w:val="pt-BR"/>
        </w:rPr>
        <w:t>O uso do Visual Studio Professional 2012 é regido pelos direitos de uso do Visual Studio Professional 2012 e pelos termos e pelas condições do contrato de licenciamento por volume do cliente.</w:t>
      </w:r>
      <w:r w:rsidR="005A52A2" w:rsidRPr="00C50FD1">
        <w:rPr>
          <w:lang w:val="pt-BR"/>
        </w:rPr>
        <w:t xml:space="preserve"> </w:t>
      </w:r>
      <w:r w:rsidRPr="00C50FD1">
        <w:rPr>
          <w:lang w:val="pt-BR"/>
        </w:rPr>
        <w:t>Esta nota de condição do produto e a evidência do cliente quanto à licença qualificada correspondente comprovam o direito de uso do Visual Studio Professional 2012 sob esta oferta.</w:t>
      </w:r>
      <w:r w:rsidR="005A52A2" w:rsidRPr="00C50FD1">
        <w:rPr>
          <w:lang w:val="pt-BR"/>
        </w:rPr>
        <w:t xml:space="preserve"> </w:t>
      </w:r>
    </w:p>
    <w:p w:rsidR="009275A3" w:rsidRPr="00C50FD1" w:rsidRDefault="009275A3" w:rsidP="009275A3">
      <w:pPr>
        <w:rPr>
          <w:lang w:val="pt-BR"/>
        </w:rPr>
      </w:pPr>
    </w:p>
    <w:p w:rsidR="00F73587" w:rsidRPr="00C50FD1" w:rsidRDefault="00F73587" w:rsidP="009275A3">
      <w:pPr>
        <w:rPr>
          <w:lang w:val="pt-BR"/>
        </w:rPr>
      </w:pPr>
    </w:p>
    <w:p w:rsidR="00223A77" w:rsidRPr="00653421" w:rsidRDefault="004668D9" w:rsidP="00223A77">
      <w:pPr>
        <w:pStyle w:val="Heading3"/>
      </w:pPr>
      <w:bookmarkStart w:id="1107" w:name="_20_Visual_Studio"/>
      <w:bookmarkStart w:id="1108" w:name="_Toc336338276"/>
      <w:bookmarkStart w:id="1109" w:name="_Toc353470924"/>
      <w:bookmarkStart w:id="1110" w:name="Aps_13VS2010ProfessionalMSDN"/>
      <w:bookmarkEnd w:id="1107"/>
      <w:r w:rsidRPr="00653421">
        <w:rPr>
          <w:rFonts w:ascii="Tahoma" w:hAnsi="Tahoma"/>
          <w:caps/>
          <w:color w:val="F66400"/>
          <w:sz w:val="22"/>
          <w:vertAlign w:val="superscript"/>
        </w:rPr>
        <w:t>20</w:t>
      </w:r>
      <w:r w:rsidRPr="00653421">
        <w:rPr>
          <w:rFonts w:ascii="Tahoma" w:hAnsi="Tahoma"/>
          <w:color w:val="F66400"/>
          <w:sz w:val="22"/>
        </w:rPr>
        <w:t xml:space="preserve"> Visual Studio Professional 2012 com MSDN</w:t>
      </w:r>
      <w:bookmarkEnd w:id="1108"/>
      <w:bookmarkEnd w:id="1109"/>
      <w:r w:rsidRPr="00653421">
        <w:rPr>
          <w:rFonts w:ascii="Tahoma" w:hAnsi="Tahoma"/>
          <w:color w:val="F66400"/>
          <w:sz w:val="22"/>
        </w:rPr>
        <w:t xml:space="preserve"> </w:t>
      </w:r>
      <w:bookmarkEnd w:id="1106"/>
    </w:p>
    <w:p w:rsidR="00F6352F" w:rsidRPr="00653421" w:rsidRDefault="00F6352F" w:rsidP="005B0791">
      <w:pPr>
        <w:ind w:left="720"/>
      </w:pPr>
    </w:p>
    <w:bookmarkEnd w:id="1110"/>
    <w:p w:rsidR="001026FD" w:rsidRPr="00653421" w:rsidRDefault="001026FD" w:rsidP="00864B8A">
      <w:pPr>
        <w:spacing w:after="60"/>
        <w:ind w:left="720"/>
      </w:pPr>
      <w:r w:rsidRPr="00653421">
        <w:rPr>
          <w:rFonts w:cs="Tahoma"/>
          <w:b/>
        </w:rPr>
        <w:t>Visual Studio Team Foundation Server 2012</w:t>
      </w:r>
    </w:p>
    <w:p w:rsidR="001026FD" w:rsidRPr="00C50FD1" w:rsidRDefault="001026FD" w:rsidP="005B0791">
      <w:pPr>
        <w:pStyle w:val="EndnoteText"/>
        <w:tabs>
          <w:tab w:val="num" w:pos="1350"/>
        </w:tabs>
        <w:ind w:left="720"/>
        <w:rPr>
          <w:lang w:val="pt-BR"/>
        </w:rPr>
      </w:pPr>
      <w:r w:rsidRPr="00C50FD1">
        <w:rPr>
          <w:rFonts w:ascii="Tahoma" w:hAnsi="Tahoma" w:cs="Tahoma"/>
          <w:sz w:val="18"/>
          <w:lang w:val="pt-BR"/>
        </w:rPr>
        <w:t>O assinante está qualificado para uma licença de servidor para o Visual Studio Team Foundation Server 2012 e uma CAL de Usuário do Team Foundation Server.</w:t>
      </w:r>
      <w:r w:rsidR="005A52A2" w:rsidRPr="00C50FD1">
        <w:rPr>
          <w:rFonts w:ascii="Tahoma" w:hAnsi="Tahoma" w:cs="Tahoma"/>
          <w:sz w:val="18"/>
          <w:lang w:val="pt-BR"/>
        </w:rPr>
        <w:t xml:space="preserve"> </w:t>
      </w:r>
      <w:r w:rsidRPr="00C50FD1">
        <w:rPr>
          <w:rFonts w:ascii="Tahoma" w:hAnsi="Tahoma" w:cs="Tahoma"/>
          <w:sz w:val="18"/>
          <w:lang w:val="pt-BR"/>
        </w:rPr>
        <w:t>A CAL é reservada unicamente para uso do assinante.</w:t>
      </w:r>
    </w:p>
    <w:p w:rsidR="001026FD" w:rsidRPr="00C50FD1" w:rsidRDefault="001026FD" w:rsidP="005B0791">
      <w:pPr>
        <w:pStyle w:val="EndnoteText"/>
        <w:tabs>
          <w:tab w:val="num" w:pos="1350"/>
        </w:tabs>
        <w:ind w:left="720"/>
        <w:rPr>
          <w:lang w:val="pt-BR"/>
        </w:rPr>
      </w:pPr>
    </w:p>
    <w:p w:rsidR="001026FD" w:rsidRPr="00C50FD1" w:rsidRDefault="001026FD" w:rsidP="00864B8A">
      <w:pPr>
        <w:spacing w:after="60"/>
        <w:ind w:left="720"/>
        <w:rPr>
          <w:lang w:val="pt-BR"/>
        </w:rPr>
      </w:pPr>
      <w:r w:rsidRPr="00C50FD1">
        <w:rPr>
          <w:rFonts w:cs="Tahoma"/>
          <w:b/>
          <w:lang w:val="pt-BR"/>
        </w:rPr>
        <w:t>SQL Server Parallel Data Warehouse Developer</w:t>
      </w:r>
    </w:p>
    <w:p w:rsidR="001026FD" w:rsidRPr="00C50FD1" w:rsidRDefault="001026FD" w:rsidP="005B0791">
      <w:pPr>
        <w:pStyle w:val="EndnoteText"/>
        <w:tabs>
          <w:tab w:val="num" w:pos="1350"/>
        </w:tabs>
        <w:ind w:left="720"/>
        <w:rPr>
          <w:lang w:val="pt-BR"/>
        </w:rPr>
      </w:pPr>
      <w:r w:rsidRPr="00C50FD1">
        <w:rPr>
          <w:rFonts w:ascii="Tahoma" w:hAnsi="Tahoma" w:cs="Tahoma"/>
          <w:sz w:val="18"/>
          <w:lang w:val="pt-BR"/>
        </w:rPr>
        <w:t>O assinante é qualificado para uma licença do SQL Server 2008 R2 Parallel Data Warehouse Developer.</w:t>
      </w:r>
    </w:p>
    <w:p w:rsidR="00223A77" w:rsidRPr="00C50FD1" w:rsidRDefault="00223A77" w:rsidP="00864B8A">
      <w:pPr>
        <w:spacing w:after="60"/>
        <w:ind w:left="720"/>
        <w:rPr>
          <w:lang w:val="pt-BR"/>
        </w:rPr>
      </w:pPr>
      <w:r w:rsidRPr="00C50FD1">
        <w:rPr>
          <w:rFonts w:cs="Tahoma"/>
          <w:b/>
          <w:lang w:val="pt-BR"/>
        </w:rPr>
        <w:lastRenderedPageBreak/>
        <w:t>Caminho de Migração do Software Assurance para o Visual Studio 2010 Professional com MSDN Embedded</w:t>
      </w:r>
    </w:p>
    <w:p w:rsidR="00223A77" w:rsidRPr="00C50FD1" w:rsidRDefault="00223A77" w:rsidP="005B0791">
      <w:pPr>
        <w:pStyle w:val="FootnoteBulletLevel1"/>
        <w:tabs>
          <w:tab w:val="clear" w:pos="900"/>
          <w:tab w:val="num" w:pos="1350"/>
        </w:tabs>
        <w:spacing w:before="0" w:after="0"/>
        <w:ind w:left="720" w:firstLine="0"/>
        <w:rPr>
          <w:lang w:val="pt-BR"/>
        </w:rPr>
      </w:pPr>
      <w:r w:rsidRPr="00C50FD1">
        <w:rPr>
          <w:rFonts w:ascii="Tahoma" w:hAnsi="Tahoma" w:cs="Tahoma"/>
          <w:sz w:val="18"/>
          <w:lang w:val="pt-BR"/>
        </w:rPr>
        <w:t>A versão sucessora do Visual Studio 2010 Professional com MSDN Embedded é o Visual Studio Professional</w:t>
      </w:r>
      <w:r w:rsidR="00C95455" w:rsidRPr="00C50FD1">
        <w:rPr>
          <w:rFonts w:ascii="Tahoma" w:hAnsi="Tahoma" w:cs="Tahoma"/>
          <w:sz w:val="18"/>
          <w:lang w:val="pt-BR"/>
        </w:rPr>
        <w:t> </w:t>
      </w:r>
      <w:r w:rsidRPr="00C50FD1">
        <w:rPr>
          <w:rFonts w:ascii="Tahoma" w:hAnsi="Tahoma" w:cs="Tahoma"/>
          <w:sz w:val="18"/>
          <w:lang w:val="pt-BR"/>
        </w:rPr>
        <w:t xml:space="preserve">2012 com MSDN. </w:t>
      </w:r>
    </w:p>
    <w:p w:rsidR="005B0791" w:rsidRPr="00C50FD1" w:rsidRDefault="005B0791" w:rsidP="00CF0D11">
      <w:pPr>
        <w:pStyle w:val="FootnoteBulletLevel1"/>
        <w:tabs>
          <w:tab w:val="clear" w:pos="900"/>
          <w:tab w:val="num" w:pos="1350"/>
        </w:tabs>
        <w:spacing w:before="0" w:after="0" w:line="160" w:lineRule="exact"/>
        <w:ind w:left="720" w:firstLine="0"/>
        <w:rPr>
          <w:rFonts w:ascii="Tahoma" w:hAnsi="Tahoma" w:cs="Tahoma"/>
          <w:sz w:val="16"/>
          <w:szCs w:val="16"/>
          <w:lang w:val="pt-BR"/>
        </w:rPr>
      </w:pPr>
    </w:p>
    <w:p w:rsidR="00223A77" w:rsidRPr="00C50FD1" w:rsidRDefault="00223A77" w:rsidP="00864B8A">
      <w:pPr>
        <w:spacing w:after="60"/>
        <w:ind w:left="720"/>
        <w:rPr>
          <w:lang w:val="pt-BR"/>
        </w:rPr>
      </w:pPr>
      <w:r w:rsidRPr="00C50FD1">
        <w:rPr>
          <w:rFonts w:cs="Tahoma"/>
          <w:b/>
          <w:lang w:val="pt-BR"/>
        </w:rPr>
        <w:t>Qualificação do Software Assurance</w:t>
      </w:r>
    </w:p>
    <w:p w:rsidR="00BE4D27" w:rsidRPr="00C50FD1" w:rsidRDefault="00223A77" w:rsidP="00BE4D27">
      <w:pPr>
        <w:pStyle w:val="EndnoteText"/>
        <w:rPr>
          <w:lang w:val="pt-BR"/>
        </w:rPr>
      </w:pPr>
      <w:r w:rsidRPr="00C50FD1">
        <w:rPr>
          <w:rFonts w:ascii="Tahoma" w:hAnsi="Tahoma" w:cs="Tahoma"/>
          <w:sz w:val="18"/>
          <w:lang w:val="pt-BR"/>
        </w:rPr>
        <w:t>Os clientes com Software Assurance próximo à data de término referente às licenças dos produtos a seguir estão qualificados a renovar suas coberturas como Visual Studio Professional 2012 com MSDN.</w:t>
      </w:r>
      <w:r w:rsidRPr="00C50FD1">
        <w:rPr>
          <w:rFonts w:cs="Tahoma"/>
          <w:lang w:val="pt-BR"/>
        </w:rPr>
        <w:t xml:space="preserve"> </w:t>
      </w:r>
      <w:r w:rsidRPr="00C50FD1">
        <w:rPr>
          <w:rFonts w:ascii="Tahoma" w:hAnsi="Tahoma" w:cs="Tahoma"/>
          <w:sz w:val="18"/>
          <w:lang w:val="pt-BR"/>
        </w:rPr>
        <w:t>Ao</w:t>
      </w:r>
      <w:r w:rsidR="00C95455" w:rsidRPr="00C50FD1">
        <w:rPr>
          <w:rFonts w:ascii="Tahoma" w:hAnsi="Tahoma" w:cs="Tahoma"/>
          <w:sz w:val="18"/>
          <w:lang w:val="pt-BR"/>
        </w:rPr>
        <w:t> </w:t>
      </w:r>
      <w:r w:rsidRPr="00C50FD1">
        <w:rPr>
          <w:rFonts w:ascii="Tahoma" w:hAnsi="Tahoma" w:cs="Tahoma"/>
          <w:sz w:val="18"/>
          <w:lang w:val="pt-BR"/>
        </w:rPr>
        <w:t>renovar uma nível de assinatura MSDN diferente, os novos termos de uso substituirão os termos de</w:t>
      </w:r>
      <w:r w:rsidR="00C95455" w:rsidRPr="00C50FD1">
        <w:rPr>
          <w:rFonts w:ascii="Tahoma" w:hAnsi="Tahoma" w:cs="Tahoma"/>
          <w:sz w:val="18"/>
          <w:lang w:val="pt-BR"/>
        </w:rPr>
        <w:t> </w:t>
      </w:r>
      <w:r w:rsidRPr="00C50FD1">
        <w:rPr>
          <w:rFonts w:ascii="Tahoma" w:hAnsi="Tahoma" w:cs="Tahoma"/>
          <w:sz w:val="18"/>
          <w:lang w:val="pt-BR"/>
        </w:rPr>
        <w:t>uso anteriores, e qualquer software não incluído na nova assinatura MSDN deverá ser removido.</w:t>
      </w:r>
    </w:p>
    <w:p w:rsidR="00223A77" w:rsidRPr="00C50FD1" w:rsidRDefault="00223A77" w:rsidP="00CF0D11">
      <w:pPr>
        <w:pStyle w:val="EndnoteText"/>
        <w:adjustRightInd w:val="0"/>
        <w:spacing w:line="160" w:lineRule="exact"/>
        <w:ind w:left="720"/>
        <w:textAlignment w:val="baseline"/>
        <w:rPr>
          <w:rFonts w:ascii="Tahoma" w:hAnsi="Tahoma" w:cs="Tahoma"/>
          <w:sz w:val="16"/>
          <w:szCs w:val="16"/>
          <w:lang w:val="pt-BR"/>
        </w:rPr>
      </w:pPr>
    </w:p>
    <w:p w:rsidR="00223A77" w:rsidRPr="00653421" w:rsidRDefault="00223A77" w:rsidP="005B0791">
      <w:pPr>
        <w:pStyle w:val="FootnoteBulletLevel2"/>
        <w:numPr>
          <w:ilvl w:val="0"/>
          <w:numId w:val="4"/>
        </w:numPr>
        <w:spacing w:before="0" w:after="60"/>
        <w:ind w:left="1440"/>
      </w:pPr>
      <w:r w:rsidRPr="00653421">
        <w:rPr>
          <w:rFonts w:ascii="Tahoma" w:hAnsi="Tahoma" w:cs="Tahoma"/>
          <w:sz w:val="18"/>
        </w:rPr>
        <w:t>Visual Studio Ultimate com MSDN</w:t>
      </w:r>
    </w:p>
    <w:p w:rsidR="00223A77" w:rsidRPr="00653421" w:rsidRDefault="00223A77" w:rsidP="005B0791">
      <w:pPr>
        <w:pStyle w:val="FootnoteBulletLevel2"/>
        <w:numPr>
          <w:ilvl w:val="0"/>
          <w:numId w:val="4"/>
        </w:numPr>
        <w:spacing w:before="0" w:after="60"/>
        <w:ind w:left="1440"/>
      </w:pPr>
      <w:r w:rsidRPr="00653421">
        <w:rPr>
          <w:rFonts w:ascii="Tahoma" w:hAnsi="Tahoma" w:cs="Tahoma"/>
          <w:sz w:val="18"/>
        </w:rPr>
        <w:t>Visual Studio Premium com MSDN</w:t>
      </w:r>
    </w:p>
    <w:p w:rsidR="00223A77" w:rsidRPr="00653421" w:rsidRDefault="00223A77" w:rsidP="005B0791">
      <w:pPr>
        <w:pStyle w:val="FootnoteBulletLevel2"/>
        <w:numPr>
          <w:ilvl w:val="0"/>
          <w:numId w:val="4"/>
        </w:numPr>
        <w:spacing w:before="0" w:after="60"/>
        <w:ind w:left="1440"/>
      </w:pPr>
      <w:r w:rsidRPr="00653421">
        <w:rPr>
          <w:rFonts w:ascii="Tahoma" w:hAnsi="Tahoma" w:cs="Tahoma"/>
          <w:sz w:val="18"/>
        </w:rPr>
        <w:t>Visual Studio Professional com MSDN</w:t>
      </w:r>
    </w:p>
    <w:p w:rsidR="00223A77" w:rsidRPr="00C50FD1" w:rsidRDefault="00223A77" w:rsidP="005B0791">
      <w:pPr>
        <w:pStyle w:val="FootnoteBulletLevel2"/>
        <w:numPr>
          <w:ilvl w:val="0"/>
          <w:numId w:val="4"/>
        </w:numPr>
        <w:spacing w:before="0" w:after="60"/>
        <w:ind w:left="1440"/>
        <w:rPr>
          <w:lang w:val="pt-BR"/>
        </w:rPr>
      </w:pPr>
      <w:r w:rsidRPr="00C50FD1">
        <w:rPr>
          <w:rFonts w:ascii="Tahoma" w:hAnsi="Tahoma" w:cs="Tahoma"/>
          <w:sz w:val="18"/>
          <w:lang w:val="pt-BR"/>
        </w:rPr>
        <w:t>Visual Studio Professional com MSDN Embedded</w:t>
      </w:r>
    </w:p>
    <w:p w:rsidR="00223A77" w:rsidRPr="00653421" w:rsidRDefault="00223A77" w:rsidP="005B0791">
      <w:pPr>
        <w:pStyle w:val="FootnoteBulletLevel2"/>
        <w:numPr>
          <w:ilvl w:val="0"/>
          <w:numId w:val="4"/>
        </w:numPr>
        <w:spacing w:before="0" w:after="60"/>
        <w:ind w:left="1440"/>
      </w:pPr>
      <w:r w:rsidRPr="00653421">
        <w:rPr>
          <w:rFonts w:ascii="Tahoma" w:hAnsi="Tahoma" w:cs="Tahoma"/>
          <w:sz w:val="18"/>
        </w:rPr>
        <w:t>Visual Studio Professional com MSDN Professional</w:t>
      </w:r>
    </w:p>
    <w:p w:rsidR="00223A77" w:rsidRPr="00C50FD1" w:rsidRDefault="00223A77" w:rsidP="005B0791">
      <w:pPr>
        <w:pStyle w:val="FootnoteBulletLevel2"/>
        <w:numPr>
          <w:ilvl w:val="0"/>
          <w:numId w:val="4"/>
        </w:numPr>
        <w:spacing w:before="0" w:after="60"/>
        <w:ind w:left="1440"/>
        <w:rPr>
          <w:lang w:val="pt-BR"/>
        </w:rPr>
      </w:pPr>
      <w:r w:rsidRPr="00C50FD1">
        <w:rPr>
          <w:rFonts w:ascii="Tahoma" w:hAnsi="Tahoma" w:cs="Tahoma"/>
          <w:sz w:val="18"/>
          <w:lang w:val="pt-BR"/>
        </w:rPr>
        <w:t>Visual Studio Professional com MSDN Premium</w:t>
      </w:r>
    </w:p>
    <w:p w:rsidR="00223A77" w:rsidRPr="00653421" w:rsidRDefault="00223A77" w:rsidP="005B0791">
      <w:pPr>
        <w:pStyle w:val="FootnoteBulletLevel2"/>
        <w:numPr>
          <w:ilvl w:val="0"/>
          <w:numId w:val="4"/>
        </w:numPr>
        <w:spacing w:before="0" w:after="60"/>
        <w:ind w:left="1440"/>
      </w:pPr>
      <w:r w:rsidRPr="00653421">
        <w:rPr>
          <w:rFonts w:ascii="Tahoma" w:hAnsi="Tahoma" w:cs="Tahoma"/>
          <w:sz w:val="18"/>
        </w:rPr>
        <w:t>Visual Studio Team System Team Suite com MSDN Premium</w:t>
      </w:r>
    </w:p>
    <w:p w:rsidR="00223A77" w:rsidRPr="00653421" w:rsidRDefault="00223A77" w:rsidP="005B0791">
      <w:pPr>
        <w:pStyle w:val="FootnoteBulletLevel2"/>
        <w:numPr>
          <w:ilvl w:val="0"/>
          <w:numId w:val="4"/>
        </w:numPr>
        <w:spacing w:before="0" w:after="60"/>
        <w:ind w:left="1440"/>
      </w:pPr>
      <w:r w:rsidRPr="00653421">
        <w:rPr>
          <w:rFonts w:ascii="Tahoma" w:hAnsi="Tahoma" w:cs="Tahoma"/>
          <w:sz w:val="18"/>
        </w:rPr>
        <w:t>Visual Studio Team System Test Edition com MSDN Premium</w:t>
      </w:r>
    </w:p>
    <w:p w:rsidR="00223A77" w:rsidRPr="00653421" w:rsidRDefault="00223A77" w:rsidP="005B0791">
      <w:pPr>
        <w:pStyle w:val="FootnoteBulletLevel2"/>
        <w:numPr>
          <w:ilvl w:val="0"/>
          <w:numId w:val="4"/>
        </w:numPr>
        <w:spacing w:before="0" w:after="60"/>
        <w:ind w:left="1440"/>
      </w:pPr>
      <w:r w:rsidRPr="00653421">
        <w:rPr>
          <w:rFonts w:ascii="Tahoma" w:hAnsi="Tahoma" w:cs="Tahoma"/>
          <w:sz w:val="18"/>
        </w:rPr>
        <w:t>Visual Studio Team System Development Edition com MSDN Premium</w:t>
      </w:r>
    </w:p>
    <w:p w:rsidR="00223A77" w:rsidRPr="00653421" w:rsidRDefault="00223A77" w:rsidP="005B0791">
      <w:pPr>
        <w:pStyle w:val="FootnoteBulletLevel2"/>
        <w:numPr>
          <w:ilvl w:val="0"/>
          <w:numId w:val="4"/>
        </w:numPr>
        <w:spacing w:before="0" w:after="60"/>
        <w:ind w:left="1440"/>
      </w:pPr>
      <w:r w:rsidRPr="00653421">
        <w:rPr>
          <w:rFonts w:ascii="Tahoma" w:hAnsi="Tahoma" w:cs="Tahoma"/>
          <w:sz w:val="18"/>
        </w:rPr>
        <w:t xml:space="preserve">Visual Studio Team System Architecture Edition com MSDN Premium </w:t>
      </w:r>
    </w:p>
    <w:p w:rsidR="00223A77" w:rsidRPr="00653421" w:rsidRDefault="00223A77" w:rsidP="005B0791">
      <w:pPr>
        <w:pStyle w:val="FootnoteBulletLevel2"/>
        <w:numPr>
          <w:ilvl w:val="0"/>
          <w:numId w:val="4"/>
        </w:numPr>
        <w:spacing w:before="0" w:after="60"/>
        <w:ind w:left="1440"/>
      </w:pPr>
      <w:r w:rsidRPr="00653421">
        <w:rPr>
          <w:rFonts w:ascii="Tahoma" w:hAnsi="Tahoma" w:cs="Tahoma"/>
          <w:sz w:val="18"/>
        </w:rPr>
        <w:t>Visual Studio Team System Database Edition com MSDN Premium</w:t>
      </w:r>
    </w:p>
    <w:p w:rsidR="00223A77" w:rsidRPr="00C50FD1" w:rsidRDefault="00223A77" w:rsidP="005B0791">
      <w:pPr>
        <w:pStyle w:val="FootnoteBulletLevel2"/>
        <w:numPr>
          <w:ilvl w:val="0"/>
          <w:numId w:val="4"/>
        </w:numPr>
        <w:spacing w:before="0" w:after="60"/>
        <w:ind w:left="1440"/>
        <w:rPr>
          <w:lang w:val="pt-BR"/>
        </w:rPr>
      </w:pPr>
      <w:r w:rsidRPr="00C50FD1">
        <w:rPr>
          <w:rFonts w:ascii="Tahoma" w:hAnsi="Tahoma" w:cs="Tahoma"/>
          <w:sz w:val="18"/>
          <w:lang w:val="pt-BR"/>
        </w:rPr>
        <w:t>Clientes com uma assinatura de varejo ativa para qualquer um dos softwares acima</w:t>
      </w:r>
    </w:p>
    <w:p w:rsidR="00223A77" w:rsidRPr="00C50FD1" w:rsidRDefault="00223A77" w:rsidP="005B0791">
      <w:pPr>
        <w:pStyle w:val="FootnoteBulletLevel2"/>
        <w:numPr>
          <w:ilvl w:val="0"/>
          <w:numId w:val="4"/>
        </w:numPr>
        <w:spacing w:before="0" w:after="60"/>
        <w:ind w:left="1440"/>
        <w:rPr>
          <w:lang w:val="pt-BR"/>
        </w:rPr>
      </w:pPr>
      <w:r w:rsidRPr="00C50FD1">
        <w:rPr>
          <w:rFonts w:ascii="Tahoma" w:hAnsi="Tahoma" w:cs="Tahoma"/>
          <w:sz w:val="18"/>
          <w:lang w:val="pt-BR"/>
        </w:rPr>
        <w:t>MSDN Essentials (adquirido com a licença de varejo do Visual Studio 2010 Professional)</w:t>
      </w:r>
    </w:p>
    <w:p w:rsidR="00223A77" w:rsidRPr="00C50FD1" w:rsidRDefault="00223A77" w:rsidP="00CF0D11">
      <w:pPr>
        <w:pStyle w:val="FootnoteBulletLevel1"/>
        <w:spacing w:before="0" w:after="0" w:line="160" w:lineRule="exact"/>
        <w:ind w:left="720" w:firstLine="0"/>
        <w:rPr>
          <w:rFonts w:ascii="Tahoma" w:hAnsi="Tahoma" w:cs="Tahoma"/>
          <w:sz w:val="16"/>
          <w:szCs w:val="16"/>
          <w:lang w:val="pt-BR"/>
        </w:rPr>
      </w:pPr>
    </w:p>
    <w:p w:rsidR="00223A77" w:rsidRPr="00C50FD1" w:rsidRDefault="00223A77" w:rsidP="005B0791">
      <w:pPr>
        <w:pStyle w:val="FootnoteBulletLevel1"/>
        <w:tabs>
          <w:tab w:val="clear" w:pos="900"/>
        </w:tabs>
        <w:spacing w:before="0" w:after="0"/>
        <w:ind w:left="720" w:firstLine="0"/>
        <w:rPr>
          <w:lang w:val="pt-BR"/>
        </w:rPr>
      </w:pPr>
      <w:r w:rsidRPr="00C50FD1">
        <w:rPr>
          <w:rFonts w:ascii="Tahoma" w:hAnsi="Tahoma" w:cs="Tahoma"/>
          <w:sz w:val="18"/>
          <w:lang w:val="pt-BR"/>
        </w:rPr>
        <w:t xml:space="preserve">Os clientes do Enterprise, Select ou Open Value com cobertura ativa do Software Assurance para o Visual Studio Professional 2012 com MSDN também podem fazer step-up para o Visual Studio Premium 2012 com MSDN ou o Visual Studio Ultimate 2012 com MSDN por meio da aquisição de </w:t>
      </w:r>
      <w:hyperlink w:anchor="Step_Up" w:history="1">
        <w:r w:rsidRPr="00C50FD1">
          <w:rPr>
            <w:rFonts w:ascii="Tahoma" w:hAnsi="Tahoma" w:cs="Tahoma"/>
            <w:sz w:val="18"/>
            <w:lang w:val="pt-BR"/>
          </w:rPr>
          <w:t>SKUs de Step-up</w:t>
        </w:r>
      </w:hyperlink>
      <w:r w:rsidRPr="00C50FD1">
        <w:rPr>
          <w:rFonts w:ascii="Tahoma" w:hAnsi="Tahoma" w:cs="Tahoma"/>
          <w:sz w:val="18"/>
          <w:lang w:val="pt-BR"/>
        </w:rPr>
        <w:t xml:space="preserve"> apropriadas.</w:t>
      </w:r>
    </w:p>
    <w:p w:rsidR="005B0791" w:rsidRPr="00C50FD1" w:rsidRDefault="005B0791" w:rsidP="00CF0D11">
      <w:pPr>
        <w:pStyle w:val="FootnoteBulletLevel2"/>
        <w:tabs>
          <w:tab w:val="clear" w:pos="1260"/>
        </w:tabs>
        <w:snapToGrid/>
        <w:spacing w:before="0" w:line="160" w:lineRule="exact"/>
        <w:ind w:left="720" w:firstLine="0"/>
        <w:rPr>
          <w:rFonts w:ascii="Tahoma" w:hAnsi="Tahoma" w:cs="Tahoma"/>
          <w:sz w:val="16"/>
          <w:szCs w:val="16"/>
          <w:lang w:val="pt-BR"/>
        </w:rPr>
      </w:pPr>
    </w:p>
    <w:p w:rsidR="0055611F" w:rsidRPr="00C50FD1" w:rsidRDefault="009B2474" w:rsidP="00864B8A">
      <w:pPr>
        <w:spacing w:after="60"/>
        <w:ind w:left="720"/>
        <w:rPr>
          <w:lang w:val="pt-BR"/>
        </w:rPr>
      </w:pPr>
      <w:r w:rsidRPr="00C50FD1">
        <w:rPr>
          <w:rFonts w:cs="Tahoma"/>
          <w:b/>
          <w:lang w:val="pt-BR"/>
        </w:rPr>
        <w:t>Serviços de Assinatura</w:t>
      </w:r>
    </w:p>
    <w:p w:rsidR="0055611F" w:rsidRPr="00C50FD1" w:rsidRDefault="0055611F" w:rsidP="005B0791">
      <w:pPr>
        <w:pStyle w:val="FootnoteBulletLevel2"/>
        <w:tabs>
          <w:tab w:val="clear" w:pos="1260"/>
        </w:tabs>
        <w:spacing w:before="0"/>
        <w:ind w:left="720" w:firstLine="0"/>
        <w:rPr>
          <w:lang w:val="pt-BR"/>
        </w:rPr>
      </w:pPr>
      <w:r w:rsidRPr="00C50FD1">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rsidR="0055611F" w:rsidRPr="00C50FD1" w:rsidRDefault="0055611F" w:rsidP="00CF0D11">
      <w:pPr>
        <w:pStyle w:val="FootnoteBulletLevel1"/>
        <w:tabs>
          <w:tab w:val="clear" w:pos="900"/>
        </w:tabs>
        <w:spacing w:before="0" w:after="0" w:line="160" w:lineRule="exact"/>
        <w:ind w:left="720" w:firstLine="0"/>
        <w:rPr>
          <w:rFonts w:ascii="Tahoma" w:hAnsi="Tahoma" w:cs="Tahoma"/>
          <w:sz w:val="16"/>
          <w:szCs w:val="16"/>
          <w:lang w:val="pt-BR"/>
        </w:rPr>
      </w:pPr>
    </w:p>
    <w:p w:rsidR="0055611F" w:rsidRPr="00C50FD1" w:rsidRDefault="009B2474" w:rsidP="00864B8A">
      <w:pPr>
        <w:spacing w:after="60"/>
        <w:ind w:left="720"/>
        <w:rPr>
          <w:lang w:val="pt-BR"/>
        </w:rPr>
      </w:pPr>
      <w:r w:rsidRPr="00C50FD1">
        <w:rPr>
          <w:rFonts w:cs="Tahoma"/>
          <w:b/>
          <w:lang w:val="pt-BR"/>
        </w:rPr>
        <w:t>Serviços da Plataforma do Windows Azure</w:t>
      </w:r>
    </w:p>
    <w:p w:rsidR="0055611F" w:rsidRPr="00C50FD1" w:rsidRDefault="0055611F" w:rsidP="005B0791">
      <w:pPr>
        <w:pStyle w:val="FootnoteBulletLevel2"/>
        <w:tabs>
          <w:tab w:val="clear" w:pos="1260"/>
        </w:tabs>
        <w:spacing w:before="0"/>
        <w:ind w:left="720" w:firstLine="0"/>
        <w:rPr>
          <w:lang w:val="pt-BR"/>
        </w:rPr>
      </w:pPr>
      <w:r w:rsidRPr="00C50FD1">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rsidR="005B0791" w:rsidRPr="00C50FD1" w:rsidRDefault="005B0791" w:rsidP="00CF0D11">
      <w:pPr>
        <w:pStyle w:val="FootnoteBulletLevel2"/>
        <w:tabs>
          <w:tab w:val="clear" w:pos="1260"/>
        </w:tabs>
        <w:snapToGrid/>
        <w:spacing w:before="0" w:line="160" w:lineRule="exact"/>
        <w:ind w:left="720" w:firstLine="0"/>
        <w:rPr>
          <w:rFonts w:ascii="Tahoma" w:hAnsi="Tahoma" w:cs="Tahoma"/>
          <w:sz w:val="16"/>
          <w:szCs w:val="16"/>
          <w:lang w:val="pt-BR"/>
        </w:rPr>
      </w:pPr>
    </w:p>
    <w:p w:rsidR="005B0791" w:rsidRPr="00C50FD1" w:rsidRDefault="005B0791" w:rsidP="00CF0D11">
      <w:pPr>
        <w:pStyle w:val="FootnoteBulletLevel2"/>
        <w:tabs>
          <w:tab w:val="clear" w:pos="1260"/>
        </w:tabs>
        <w:snapToGrid/>
        <w:spacing w:before="0" w:line="160" w:lineRule="exact"/>
        <w:ind w:left="720" w:firstLine="0"/>
        <w:rPr>
          <w:rFonts w:ascii="Tahoma" w:hAnsi="Tahoma" w:cs="Tahoma"/>
          <w:sz w:val="16"/>
          <w:szCs w:val="16"/>
          <w:lang w:val="pt-BR"/>
        </w:rPr>
      </w:pPr>
    </w:p>
    <w:p w:rsidR="00223A77" w:rsidRPr="00653421" w:rsidRDefault="004668D9" w:rsidP="00223A77">
      <w:pPr>
        <w:pStyle w:val="Heading3"/>
      </w:pPr>
      <w:bookmarkStart w:id="1111" w:name="_21_Visual_Studio"/>
      <w:bookmarkStart w:id="1112" w:name="_Toc336338277"/>
      <w:bookmarkStart w:id="1113" w:name="_Toc353470925"/>
      <w:bookmarkStart w:id="1114" w:name="_Toc252341837"/>
      <w:bookmarkStart w:id="1115" w:name="Aps_16VS2010PremiumMSDN"/>
      <w:bookmarkEnd w:id="1111"/>
      <w:r w:rsidRPr="00653421">
        <w:rPr>
          <w:rFonts w:ascii="Tahoma" w:hAnsi="Tahoma"/>
          <w:caps/>
          <w:color w:val="F66400"/>
          <w:sz w:val="22"/>
          <w:vertAlign w:val="superscript"/>
        </w:rPr>
        <w:t>21</w:t>
      </w:r>
      <w:r w:rsidRPr="00653421">
        <w:rPr>
          <w:rFonts w:ascii="Tahoma" w:hAnsi="Tahoma"/>
          <w:color w:val="F66400"/>
          <w:sz w:val="22"/>
        </w:rPr>
        <w:t xml:space="preserve"> Visual Studio Premium 2012 com MSDN</w:t>
      </w:r>
      <w:bookmarkEnd w:id="1112"/>
      <w:bookmarkEnd w:id="1113"/>
      <w:r w:rsidRPr="00653421">
        <w:rPr>
          <w:rFonts w:ascii="Tahoma" w:hAnsi="Tahoma"/>
          <w:color w:val="F66400"/>
          <w:sz w:val="22"/>
        </w:rPr>
        <w:t xml:space="preserve"> </w:t>
      </w:r>
      <w:bookmarkEnd w:id="1114"/>
    </w:p>
    <w:bookmarkEnd w:id="1115"/>
    <w:p w:rsidR="00CB436E" w:rsidRPr="00653421" w:rsidRDefault="00CB436E" w:rsidP="00CF0D11">
      <w:pPr>
        <w:pStyle w:val="FootnoteBulletLevel1"/>
        <w:tabs>
          <w:tab w:val="clear" w:pos="900"/>
        </w:tabs>
        <w:spacing w:before="0" w:after="0" w:line="160" w:lineRule="exact"/>
        <w:ind w:left="720" w:firstLine="0"/>
        <w:rPr>
          <w:rFonts w:ascii="Tahoma" w:hAnsi="Tahoma" w:cs="Tahoma"/>
          <w:sz w:val="16"/>
          <w:szCs w:val="16"/>
        </w:rPr>
      </w:pPr>
    </w:p>
    <w:p w:rsidR="001026FD" w:rsidRPr="00653421" w:rsidRDefault="001026FD" w:rsidP="00864B8A">
      <w:pPr>
        <w:spacing w:after="60"/>
        <w:ind w:left="720"/>
      </w:pPr>
      <w:r w:rsidRPr="00653421">
        <w:rPr>
          <w:rFonts w:cs="Tahoma"/>
          <w:b/>
        </w:rPr>
        <w:t>Visual Studio Team Foundation Server 2012</w:t>
      </w:r>
    </w:p>
    <w:p w:rsidR="001026FD" w:rsidRPr="00C50FD1" w:rsidRDefault="001026FD" w:rsidP="00CB436E">
      <w:pPr>
        <w:pStyle w:val="EndnoteText"/>
        <w:ind w:left="720"/>
        <w:rPr>
          <w:lang w:val="pt-BR"/>
        </w:rPr>
      </w:pPr>
      <w:r w:rsidRPr="00C50FD1">
        <w:rPr>
          <w:rFonts w:ascii="Tahoma" w:hAnsi="Tahoma" w:cs="Tahoma"/>
          <w:sz w:val="18"/>
          <w:lang w:val="pt-BR"/>
        </w:rPr>
        <w:t>O assinante está qualificado para uma licença de servidor para o Visual Studio Team Foundation Server 2012 e uma CAL de Usuário do Team Foundation Server.</w:t>
      </w:r>
      <w:r w:rsidR="005A52A2" w:rsidRPr="00C50FD1">
        <w:rPr>
          <w:rFonts w:ascii="Tahoma" w:hAnsi="Tahoma" w:cs="Tahoma"/>
          <w:sz w:val="18"/>
          <w:lang w:val="pt-BR"/>
        </w:rPr>
        <w:t xml:space="preserve"> </w:t>
      </w:r>
      <w:r w:rsidRPr="00C50FD1">
        <w:rPr>
          <w:rFonts w:ascii="Tahoma" w:hAnsi="Tahoma" w:cs="Tahoma"/>
          <w:sz w:val="18"/>
          <w:lang w:val="pt-BR"/>
        </w:rPr>
        <w:t>A CAL é reservada unicamente para uso do assinante.</w:t>
      </w:r>
    </w:p>
    <w:p w:rsidR="001026FD" w:rsidRPr="00C50FD1" w:rsidRDefault="001026FD" w:rsidP="00CF0D11">
      <w:pPr>
        <w:pStyle w:val="EndnoteText"/>
        <w:adjustRightInd w:val="0"/>
        <w:spacing w:line="160" w:lineRule="exact"/>
        <w:ind w:left="720"/>
        <w:textAlignment w:val="baseline"/>
        <w:rPr>
          <w:rFonts w:ascii="Tahoma" w:hAnsi="Tahoma" w:cs="Tahoma"/>
          <w:sz w:val="16"/>
          <w:szCs w:val="16"/>
          <w:lang w:val="pt-BR"/>
        </w:rPr>
      </w:pPr>
    </w:p>
    <w:p w:rsidR="001026FD" w:rsidRPr="00C50FD1" w:rsidRDefault="001026FD" w:rsidP="00864B8A">
      <w:pPr>
        <w:spacing w:after="60"/>
        <w:ind w:left="720"/>
        <w:rPr>
          <w:lang w:val="pt-BR"/>
        </w:rPr>
      </w:pPr>
      <w:r w:rsidRPr="00C50FD1">
        <w:rPr>
          <w:rFonts w:cs="Tahoma"/>
          <w:b/>
          <w:lang w:val="pt-BR"/>
        </w:rPr>
        <w:t>SQL Server Parallel Data Warehouse Developer</w:t>
      </w:r>
    </w:p>
    <w:p w:rsidR="001026FD" w:rsidRPr="00C50FD1" w:rsidRDefault="001026FD" w:rsidP="00CB436E">
      <w:pPr>
        <w:pStyle w:val="EndnoteText"/>
        <w:ind w:left="720"/>
        <w:rPr>
          <w:lang w:val="pt-BR"/>
        </w:rPr>
      </w:pPr>
      <w:r w:rsidRPr="00C50FD1">
        <w:rPr>
          <w:rFonts w:ascii="Tahoma" w:hAnsi="Tahoma" w:cs="Tahoma"/>
          <w:sz w:val="18"/>
          <w:lang w:val="pt-BR"/>
        </w:rPr>
        <w:t>O assinante é qualificado para uma licença do SQL Server 2008 R2 Parallel Data Warehouse Developer.</w:t>
      </w:r>
    </w:p>
    <w:p w:rsidR="00C95455" w:rsidRPr="00C50FD1" w:rsidRDefault="00C95455" w:rsidP="00CF0D11">
      <w:pPr>
        <w:pStyle w:val="FootnoteBulletLevel1"/>
        <w:tabs>
          <w:tab w:val="clear" w:pos="900"/>
        </w:tabs>
        <w:spacing w:before="0" w:after="0" w:line="160" w:lineRule="exact"/>
        <w:ind w:left="720" w:firstLine="0"/>
        <w:rPr>
          <w:rFonts w:ascii="Tahoma" w:hAnsi="Tahoma" w:cs="Tahoma"/>
          <w:sz w:val="16"/>
          <w:szCs w:val="16"/>
          <w:lang w:val="pt-BR"/>
        </w:rPr>
      </w:pPr>
    </w:p>
    <w:p w:rsidR="00C95455" w:rsidRPr="00C50FD1" w:rsidRDefault="00C95455" w:rsidP="00CF0D11">
      <w:pPr>
        <w:pStyle w:val="FootnoteBulletLevel1"/>
        <w:tabs>
          <w:tab w:val="clear" w:pos="900"/>
        </w:tabs>
        <w:spacing w:before="0" w:after="0" w:line="160" w:lineRule="exact"/>
        <w:ind w:left="720" w:firstLine="0"/>
        <w:rPr>
          <w:rFonts w:ascii="Tahoma" w:hAnsi="Tahoma" w:cs="Tahoma"/>
          <w:sz w:val="16"/>
          <w:szCs w:val="16"/>
          <w:lang w:val="pt-BR"/>
        </w:rPr>
      </w:pPr>
    </w:p>
    <w:p w:rsidR="00392523" w:rsidRPr="00C50FD1" w:rsidRDefault="00392523" w:rsidP="00CF0D11">
      <w:pPr>
        <w:pStyle w:val="FootnoteBulletLevel1"/>
        <w:tabs>
          <w:tab w:val="clear" w:pos="900"/>
        </w:tabs>
        <w:spacing w:before="0" w:after="0" w:line="160" w:lineRule="exact"/>
        <w:ind w:left="720" w:firstLine="0"/>
        <w:rPr>
          <w:rFonts w:ascii="Tahoma" w:hAnsi="Tahoma" w:cs="Tahoma"/>
          <w:sz w:val="16"/>
          <w:szCs w:val="16"/>
          <w:lang w:val="pt-BR"/>
        </w:rPr>
      </w:pPr>
    </w:p>
    <w:p w:rsidR="00392523" w:rsidRPr="00C50FD1" w:rsidRDefault="00392523" w:rsidP="00CF0D11">
      <w:pPr>
        <w:pStyle w:val="FootnoteBulletLevel1"/>
        <w:tabs>
          <w:tab w:val="clear" w:pos="900"/>
        </w:tabs>
        <w:spacing w:before="0" w:after="0" w:line="160" w:lineRule="exact"/>
        <w:ind w:left="720" w:firstLine="0"/>
        <w:rPr>
          <w:rFonts w:ascii="Tahoma" w:hAnsi="Tahoma" w:cs="Tahoma"/>
          <w:sz w:val="16"/>
          <w:szCs w:val="16"/>
          <w:lang w:val="pt-BR"/>
        </w:rPr>
      </w:pPr>
    </w:p>
    <w:p w:rsidR="00392523" w:rsidRPr="00C50FD1" w:rsidRDefault="00392523" w:rsidP="00CF0D11">
      <w:pPr>
        <w:pStyle w:val="FootnoteBulletLevel1"/>
        <w:tabs>
          <w:tab w:val="clear" w:pos="900"/>
        </w:tabs>
        <w:spacing w:before="0" w:after="0" w:line="160" w:lineRule="exact"/>
        <w:ind w:left="720" w:firstLine="0"/>
        <w:rPr>
          <w:rFonts w:ascii="Tahoma" w:hAnsi="Tahoma" w:cs="Tahoma"/>
          <w:sz w:val="16"/>
          <w:szCs w:val="16"/>
          <w:lang w:val="pt-BR"/>
        </w:rPr>
      </w:pPr>
    </w:p>
    <w:p w:rsidR="00392523" w:rsidRPr="00C50FD1" w:rsidRDefault="00392523" w:rsidP="00CF0D11">
      <w:pPr>
        <w:pStyle w:val="FootnoteBulletLevel1"/>
        <w:tabs>
          <w:tab w:val="clear" w:pos="900"/>
        </w:tabs>
        <w:spacing w:before="0" w:after="0" w:line="160" w:lineRule="exact"/>
        <w:ind w:left="720" w:firstLine="0"/>
        <w:rPr>
          <w:rFonts w:ascii="Tahoma" w:hAnsi="Tahoma" w:cs="Tahoma"/>
          <w:sz w:val="16"/>
          <w:szCs w:val="16"/>
          <w:lang w:val="pt-BR"/>
        </w:rPr>
      </w:pPr>
    </w:p>
    <w:p w:rsidR="00392523" w:rsidRPr="00C50FD1" w:rsidRDefault="00392523" w:rsidP="00CF0D11">
      <w:pPr>
        <w:pStyle w:val="FootnoteBulletLevel1"/>
        <w:tabs>
          <w:tab w:val="clear" w:pos="900"/>
        </w:tabs>
        <w:spacing w:before="0" w:after="0" w:line="160" w:lineRule="exact"/>
        <w:ind w:left="720" w:firstLine="0"/>
        <w:rPr>
          <w:rFonts w:ascii="Tahoma" w:hAnsi="Tahoma" w:cs="Tahoma"/>
          <w:sz w:val="16"/>
          <w:szCs w:val="16"/>
          <w:lang w:val="pt-BR"/>
        </w:rPr>
      </w:pPr>
    </w:p>
    <w:p w:rsidR="00392523" w:rsidRPr="00C50FD1" w:rsidRDefault="00392523" w:rsidP="00CF0D11">
      <w:pPr>
        <w:pStyle w:val="FootnoteBulletLevel1"/>
        <w:tabs>
          <w:tab w:val="clear" w:pos="900"/>
        </w:tabs>
        <w:spacing w:before="0" w:after="0" w:line="160" w:lineRule="exact"/>
        <w:ind w:left="720" w:firstLine="0"/>
        <w:rPr>
          <w:rFonts w:ascii="Tahoma" w:hAnsi="Tahoma" w:cs="Tahoma"/>
          <w:sz w:val="16"/>
          <w:szCs w:val="16"/>
          <w:lang w:val="pt-BR"/>
        </w:rPr>
      </w:pPr>
    </w:p>
    <w:p w:rsidR="00392523" w:rsidRPr="00C50FD1" w:rsidRDefault="00392523" w:rsidP="00CF0D11">
      <w:pPr>
        <w:pStyle w:val="FootnoteBulletLevel1"/>
        <w:tabs>
          <w:tab w:val="clear" w:pos="900"/>
        </w:tabs>
        <w:spacing w:before="0" w:after="0" w:line="160" w:lineRule="exact"/>
        <w:ind w:left="720" w:firstLine="0"/>
        <w:rPr>
          <w:rFonts w:ascii="Tahoma" w:hAnsi="Tahoma" w:cs="Tahoma"/>
          <w:sz w:val="16"/>
          <w:szCs w:val="16"/>
          <w:lang w:val="pt-BR"/>
        </w:rPr>
      </w:pPr>
    </w:p>
    <w:p w:rsidR="00392523" w:rsidRPr="00C50FD1" w:rsidRDefault="00392523" w:rsidP="00CF0D11">
      <w:pPr>
        <w:pStyle w:val="FootnoteBulletLevel1"/>
        <w:tabs>
          <w:tab w:val="clear" w:pos="900"/>
        </w:tabs>
        <w:spacing w:before="0" w:after="0" w:line="160" w:lineRule="exact"/>
        <w:ind w:left="720" w:firstLine="0"/>
        <w:rPr>
          <w:rFonts w:ascii="Tahoma" w:hAnsi="Tahoma" w:cs="Tahoma"/>
          <w:sz w:val="16"/>
          <w:szCs w:val="16"/>
          <w:lang w:val="pt-BR"/>
        </w:rPr>
      </w:pPr>
    </w:p>
    <w:p w:rsidR="00223A77" w:rsidRPr="00C50FD1" w:rsidRDefault="009B2474" w:rsidP="00864B8A">
      <w:pPr>
        <w:spacing w:after="60"/>
        <w:ind w:left="720"/>
        <w:rPr>
          <w:lang w:val="pt-BR"/>
        </w:rPr>
      </w:pPr>
      <w:r w:rsidRPr="00C50FD1">
        <w:rPr>
          <w:rFonts w:cs="Tahoma"/>
          <w:b/>
          <w:lang w:val="pt-BR"/>
        </w:rPr>
        <w:lastRenderedPageBreak/>
        <w:t>Qualificação do Software Assurance</w:t>
      </w:r>
    </w:p>
    <w:p w:rsidR="00BE4D27" w:rsidRPr="00C50FD1" w:rsidRDefault="00223A77" w:rsidP="00BE4D27">
      <w:pPr>
        <w:pStyle w:val="EndnoteText"/>
        <w:rPr>
          <w:rFonts w:ascii="Tahoma" w:hAnsi="Tahoma" w:cs="Tahoma"/>
          <w:sz w:val="18"/>
          <w:lang w:val="pt-BR"/>
        </w:rPr>
      </w:pPr>
      <w:r w:rsidRPr="00C50FD1">
        <w:rPr>
          <w:rFonts w:ascii="Tahoma" w:hAnsi="Tahoma" w:cs="Tahoma"/>
          <w:sz w:val="18"/>
          <w:lang w:val="pt-BR"/>
        </w:rPr>
        <w:t>Os clientes com Software Assurance próximo à data de término referente aos produtos a seguir estão qualificados a renovar suas coberturas como Visual Studio Premium 2012 com MSDN. Ao renovar uma nível de assinatura MSDN diferente, os novos termos de uso substituirão os termos de uso anteriores, e</w:t>
      </w:r>
      <w:r w:rsidR="00C95455" w:rsidRPr="00C50FD1">
        <w:rPr>
          <w:rFonts w:ascii="Tahoma" w:hAnsi="Tahoma" w:cs="Tahoma"/>
          <w:sz w:val="18"/>
          <w:lang w:val="pt-BR"/>
        </w:rPr>
        <w:t> </w:t>
      </w:r>
      <w:r w:rsidRPr="00C50FD1">
        <w:rPr>
          <w:rFonts w:ascii="Tahoma" w:hAnsi="Tahoma" w:cs="Tahoma"/>
          <w:sz w:val="18"/>
          <w:lang w:val="pt-BR"/>
        </w:rPr>
        <w:t>qualquer software não incluído na nova assinatura MSDN deverá ser removido.</w:t>
      </w:r>
    </w:p>
    <w:p w:rsidR="00392523" w:rsidRPr="00C50FD1" w:rsidRDefault="00392523" w:rsidP="00BE4D27">
      <w:pPr>
        <w:pStyle w:val="EndnoteText"/>
        <w:rPr>
          <w:rFonts w:ascii="Tahoma" w:hAnsi="Tahoma" w:cs="Tahoma"/>
          <w:sz w:val="18"/>
          <w:szCs w:val="18"/>
          <w:lang w:val="pt-BR"/>
        </w:rPr>
      </w:pPr>
    </w:p>
    <w:p w:rsidR="00223A77" w:rsidRPr="00653421" w:rsidRDefault="00223A77" w:rsidP="00CB436E">
      <w:pPr>
        <w:pStyle w:val="FootnoteBulletLevel2"/>
        <w:numPr>
          <w:ilvl w:val="0"/>
          <w:numId w:val="6"/>
        </w:numPr>
        <w:spacing w:before="0" w:after="60"/>
        <w:ind w:left="1440"/>
      </w:pPr>
      <w:r w:rsidRPr="00653421">
        <w:rPr>
          <w:rFonts w:ascii="Tahoma" w:hAnsi="Tahoma" w:cs="Tahoma"/>
          <w:sz w:val="18"/>
        </w:rPr>
        <w:t>Visual Studio Ultimate com MSDN</w:t>
      </w:r>
    </w:p>
    <w:p w:rsidR="00223A77" w:rsidRPr="00653421" w:rsidRDefault="00223A77" w:rsidP="00CB436E">
      <w:pPr>
        <w:pStyle w:val="FootnoteBulletLevel2"/>
        <w:numPr>
          <w:ilvl w:val="0"/>
          <w:numId w:val="6"/>
        </w:numPr>
        <w:spacing w:before="0" w:after="60"/>
        <w:ind w:left="1440"/>
      </w:pPr>
      <w:r w:rsidRPr="00653421">
        <w:rPr>
          <w:rFonts w:ascii="Tahoma" w:hAnsi="Tahoma" w:cs="Tahoma"/>
          <w:sz w:val="18"/>
        </w:rPr>
        <w:t>Visual Studio Premium com MSDN</w:t>
      </w:r>
    </w:p>
    <w:p w:rsidR="00223A77" w:rsidRPr="00C50FD1" w:rsidRDefault="00223A77" w:rsidP="00CB436E">
      <w:pPr>
        <w:pStyle w:val="FootnoteBulletLevel2"/>
        <w:numPr>
          <w:ilvl w:val="0"/>
          <w:numId w:val="6"/>
        </w:numPr>
        <w:spacing w:before="0" w:after="60"/>
        <w:ind w:left="1440"/>
        <w:rPr>
          <w:lang w:val="pt-BR"/>
        </w:rPr>
      </w:pPr>
      <w:r w:rsidRPr="00C50FD1">
        <w:rPr>
          <w:rFonts w:ascii="Tahoma" w:hAnsi="Tahoma" w:cs="Tahoma"/>
          <w:sz w:val="18"/>
          <w:lang w:val="pt-BR"/>
        </w:rPr>
        <w:t>Visual Studio Professional com MSDN Premium</w:t>
      </w:r>
    </w:p>
    <w:p w:rsidR="00223A77" w:rsidRPr="00653421" w:rsidRDefault="00223A77" w:rsidP="00CB436E">
      <w:pPr>
        <w:pStyle w:val="FootnoteBulletLevel2"/>
        <w:numPr>
          <w:ilvl w:val="0"/>
          <w:numId w:val="6"/>
        </w:numPr>
        <w:spacing w:before="0" w:after="60"/>
        <w:ind w:left="1440"/>
      </w:pPr>
      <w:r w:rsidRPr="00653421">
        <w:rPr>
          <w:rFonts w:ascii="Tahoma" w:hAnsi="Tahoma" w:cs="Tahoma"/>
          <w:sz w:val="18"/>
        </w:rPr>
        <w:t>Visual Studio Team System Team Suite com MSDN Premium</w:t>
      </w:r>
    </w:p>
    <w:p w:rsidR="00223A77" w:rsidRPr="00653421" w:rsidRDefault="00223A77" w:rsidP="00CB436E">
      <w:pPr>
        <w:pStyle w:val="FootnoteBulletLevel2"/>
        <w:numPr>
          <w:ilvl w:val="0"/>
          <w:numId w:val="6"/>
        </w:numPr>
        <w:spacing w:before="0" w:after="60"/>
        <w:ind w:left="1440"/>
      </w:pPr>
      <w:r w:rsidRPr="00653421">
        <w:rPr>
          <w:rFonts w:ascii="Tahoma" w:hAnsi="Tahoma" w:cs="Tahoma"/>
          <w:sz w:val="18"/>
        </w:rPr>
        <w:t>Visual Studio Team System Test Edition com MSDN Premium</w:t>
      </w:r>
    </w:p>
    <w:p w:rsidR="00223A77" w:rsidRPr="00653421" w:rsidRDefault="00223A77" w:rsidP="00CB436E">
      <w:pPr>
        <w:pStyle w:val="FootnoteBulletLevel2"/>
        <w:numPr>
          <w:ilvl w:val="0"/>
          <w:numId w:val="6"/>
        </w:numPr>
        <w:spacing w:before="0" w:after="60"/>
        <w:ind w:left="1440"/>
      </w:pPr>
      <w:r w:rsidRPr="00653421">
        <w:rPr>
          <w:rFonts w:ascii="Tahoma" w:hAnsi="Tahoma" w:cs="Tahoma"/>
          <w:sz w:val="18"/>
        </w:rPr>
        <w:t>Visual Studio Team System Development Edition com MSDN Premium</w:t>
      </w:r>
    </w:p>
    <w:p w:rsidR="00223A77" w:rsidRPr="00653421" w:rsidRDefault="00223A77" w:rsidP="00CB436E">
      <w:pPr>
        <w:pStyle w:val="FootnoteBulletLevel2"/>
        <w:numPr>
          <w:ilvl w:val="0"/>
          <w:numId w:val="6"/>
        </w:numPr>
        <w:spacing w:before="0" w:after="60"/>
        <w:ind w:left="1440"/>
      </w:pPr>
      <w:r w:rsidRPr="00653421">
        <w:rPr>
          <w:rFonts w:ascii="Tahoma" w:hAnsi="Tahoma" w:cs="Tahoma"/>
          <w:sz w:val="18"/>
        </w:rPr>
        <w:t xml:space="preserve">Visual Studio Team System Architecture Edition com MSDN Premium </w:t>
      </w:r>
    </w:p>
    <w:p w:rsidR="00223A77" w:rsidRPr="00653421" w:rsidRDefault="00223A77" w:rsidP="00CB436E">
      <w:pPr>
        <w:pStyle w:val="FootnoteBulletLevel2"/>
        <w:numPr>
          <w:ilvl w:val="0"/>
          <w:numId w:val="6"/>
        </w:numPr>
        <w:spacing w:before="0" w:after="60"/>
        <w:ind w:left="1440"/>
      </w:pPr>
      <w:r w:rsidRPr="00653421">
        <w:rPr>
          <w:rFonts w:ascii="Tahoma" w:hAnsi="Tahoma" w:cs="Tahoma"/>
          <w:sz w:val="18"/>
        </w:rPr>
        <w:t>Visual Studio Team System Database Edition com MSDN Premium</w:t>
      </w:r>
    </w:p>
    <w:p w:rsidR="00223A77" w:rsidRPr="00C50FD1" w:rsidRDefault="00223A77" w:rsidP="00CB436E">
      <w:pPr>
        <w:pStyle w:val="FootnoteBulletLevel2"/>
        <w:numPr>
          <w:ilvl w:val="0"/>
          <w:numId w:val="6"/>
        </w:numPr>
        <w:spacing w:before="0" w:after="60"/>
        <w:ind w:left="1440"/>
        <w:rPr>
          <w:lang w:val="pt-BR"/>
        </w:rPr>
      </w:pPr>
      <w:r w:rsidRPr="00C50FD1">
        <w:rPr>
          <w:rFonts w:ascii="Tahoma" w:hAnsi="Tahoma" w:cs="Tahoma"/>
          <w:sz w:val="18"/>
          <w:lang w:val="pt-BR"/>
        </w:rPr>
        <w:t>Clientes com uma assinatura de varejo ativa para qualquer um dos softwares acima</w:t>
      </w:r>
    </w:p>
    <w:p w:rsidR="00223A77" w:rsidRPr="00C50FD1" w:rsidRDefault="00223A77" w:rsidP="00CF0D11">
      <w:pPr>
        <w:pStyle w:val="FootnoteBulletLevel1"/>
        <w:spacing w:before="0" w:after="0" w:line="160" w:lineRule="exact"/>
        <w:ind w:left="907" w:firstLine="0"/>
        <w:rPr>
          <w:rFonts w:ascii="Tahoma" w:hAnsi="Tahoma" w:cs="Tahoma"/>
          <w:sz w:val="16"/>
          <w:szCs w:val="16"/>
          <w:lang w:val="pt-BR"/>
        </w:rPr>
      </w:pPr>
    </w:p>
    <w:p w:rsidR="00223A77" w:rsidRPr="00C50FD1" w:rsidRDefault="00223A77" w:rsidP="00076CB4">
      <w:pPr>
        <w:pStyle w:val="FootnoteBulletLevel1"/>
        <w:tabs>
          <w:tab w:val="clear" w:pos="900"/>
        </w:tabs>
        <w:spacing w:before="0" w:after="0"/>
        <w:ind w:left="720" w:firstLine="0"/>
        <w:rPr>
          <w:lang w:val="pt-BR"/>
        </w:rPr>
      </w:pPr>
      <w:r w:rsidRPr="00C50FD1">
        <w:rPr>
          <w:rFonts w:ascii="Tahoma" w:hAnsi="Tahoma" w:cs="Tahoma"/>
          <w:sz w:val="18"/>
          <w:lang w:val="pt-BR"/>
        </w:rPr>
        <w:t xml:space="preserve">Os clientes com Software Assurance próximo à data de término referente ao Visual Studio Premium 2012 com MSDN estão qualificados a renovar suas coberturas como: </w:t>
      </w:r>
    </w:p>
    <w:p w:rsidR="00CB436E" w:rsidRPr="00C50FD1" w:rsidRDefault="00CB436E" w:rsidP="00CF0D11">
      <w:pPr>
        <w:pStyle w:val="FootnoteBulletLevel1"/>
        <w:spacing w:before="0" w:after="0" w:line="160" w:lineRule="exact"/>
        <w:ind w:left="907" w:firstLine="0"/>
        <w:rPr>
          <w:rFonts w:ascii="Tahoma" w:hAnsi="Tahoma" w:cs="Tahoma"/>
          <w:sz w:val="16"/>
          <w:szCs w:val="16"/>
          <w:lang w:val="pt-BR"/>
        </w:rPr>
      </w:pPr>
    </w:p>
    <w:p w:rsidR="00223A77" w:rsidRPr="00653421" w:rsidRDefault="00223A77" w:rsidP="00CB436E">
      <w:pPr>
        <w:pStyle w:val="FootnoteBulletLevel2"/>
        <w:numPr>
          <w:ilvl w:val="0"/>
          <w:numId w:val="6"/>
        </w:numPr>
        <w:spacing w:before="0" w:after="60"/>
        <w:ind w:left="1440"/>
      </w:pPr>
      <w:r w:rsidRPr="00653421">
        <w:rPr>
          <w:rFonts w:ascii="Tahoma" w:hAnsi="Tahoma" w:cs="Tahoma"/>
          <w:sz w:val="18"/>
        </w:rPr>
        <w:t>Visual Studio Professional com MSDN</w:t>
      </w:r>
    </w:p>
    <w:p w:rsidR="006771C8" w:rsidRPr="00653421" w:rsidRDefault="006771C8" w:rsidP="00CB436E">
      <w:pPr>
        <w:pStyle w:val="FootnoteBulletLevel2"/>
        <w:numPr>
          <w:ilvl w:val="0"/>
          <w:numId w:val="6"/>
        </w:numPr>
        <w:spacing w:before="0" w:after="60"/>
        <w:ind w:left="1440"/>
      </w:pPr>
      <w:r w:rsidRPr="00653421">
        <w:rPr>
          <w:rFonts w:ascii="Tahoma" w:hAnsi="Tahoma" w:cs="Tahoma"/>
          <w:sz w:val="18"/>
        </w:rPr>
        <w:t>Visual Studio Test Professional com MSDN</w:t>
      </w:r>
    </w:p>
    <w:p w:rsidR="00223A77" w:rsidRPr="00653421" w:rsidRDefault="00223A77" w:rsidP="00CB436E">
      <w:pPr>
        <w:pStyle w:val="FootnoteBulletLevel2"/>
        <w:numPr>
          <w:ilvl w:val="0"/>
          <w:numId w:val="6"/>
        </w:numPr>
        <w:spacing w:before="0" w:after="60"/>
        <w:ind w:left="1440"/>
      </w:pPr>
      <w:r w:rsidRPr="00653421">
        <w:rPr>
          <w:rFonts w:ascii="Tahoma" w:hAnsi="Tahoma" w:cs="Tahoma"/>
          <w:sz w:val="18"/>
        </w:rPr>
        <w:t>MSDN Operating Systems</w:t>
      </w:r>
    </w:p>
    <w:p w:rsidR="00223A77" w:rsidRPr="00653421" w:rsidRDefault="00223A77" w:rsidP="00CF0D11">
      <w:pPr>
        <w:pStyle w:val="FootnoteBulletLevel1"/>
        <w:spacing w:before="0" w:after="0" w:line="160" w:lineRule="exact"/>
        <w:ind w:left="907" w:firstLine="0"/>
        <w:rPr>
          <w:rFonts w:ascii="Tahoma" w:hAnsi="Tahoma" w:cs="Tahoma"/>
          <w:sz w:val="16"/>
          <w:szCs w:val="16"/>
        </w:rPr>
      </w:pPr>
    </w:p>
    <w:p w:rsidR="0055611F" w:rsidRPr="00C50FD1" w:rsidRDefault="00223A77" w:rsidP="00076CB4">
      <w:pPr>
        <w:pStyle w:val="FootnoteBulletLevel1"/>
        <w:tabs>
          <w:tab w:val="clear" w:pos="900"/>
        </w:tabs>
        <w:spacing w:before="0" w:after="0"/>
        <w:ind w:left="720" w:firstLine="0"/>
        <w:rPr>
          <w:lang w:val="pt-BR"/>
        </w:rPr>
      </w:pPr>
      <w:r w:rsidRPr="00C50FD1">
        <w:rPr>
          <w:rFonts w:ascii="Tahoma" w:hAnsi="Tahoma" w:cs="Tahoma"/>
          <w:sz w:val="18"/>
          <w:lang w:val="pt-BR"/>
        </w:rPr>
        <w:t xml:space="preserve">Os clientes do Enterprise, Select ou Open Value com cobertura do Software Assurance ativa para o Visual Studio Premium 2012 com MSDN também podem fazer step-up para o Visual Studio Ultimate 2012 com MSDN por meio da aquisição </w:t>
      </w:r>
      <w:r w:rsidRPr="00C50FD1">
        <w:rPr>
          <w:rFonts w:ascii="Tahoma" w:hAnsi="Tahoma" w:cs="Tahoma"/>
          <w:sz w:val="18"/>
          <w:szCs w:val="24"/>
          <w:lang w:val="pt-BR"/>
        </w:rPr>
        <w:t xml:space="preserve">de </w:t>
      </w:r>
      <w:hyperlink w:anchor="Step_Up" w:history="1">
        <w:r w:rsidRPr="00C50FD1">
          <w:rPr>
            <w:rFonts w:ascii="Tahoma" w:hAnsi="Tahoma" w:cs="Tahoma"/>
            <w:sz w:val="18"/>
            <w:szCs w:val="24"/>
            <w:lang w:val="pt-BR"/>
          </w:rPr>
          <w:t xml:space="preserve">SKUs de Step-Up </w:t>
        </w:r>
      </w:hyperlink>
      <w:r w:rsidRPr="00C50FD1">
        <w:rPr>
          <w:rFonts w:ascii="Tahoma" w:hAnsi="Tahoma" w:cs="Tahoma"/>
          <w:sz w:val="18"/>
          <w:lang w:val="pt-BR"/>
        </w:rPr>
        <w:t>apropriadas.</w:t>
      </w:r>
    </w:p>
    <w:p w:rsidR="00CB436E" w:rsidRPr="00C50FD1" w:rsidRDefault="00CB436E" w:rsidP="00CF0D11">
      <w:pPr>
        <w:pStyle w:val="FootnoteBulletLevel2"/>
        <w:tabs>
          <w:tab w:val="clear" w:pos="1260"/>
        </w:tabs>
        <w:snapToGrid/>
        <w:spacing w:before="0" w:line="160" w:lineRule="exact"/>
        <w:ind w:left="907" w:firstLine="0"/>
        <w:rPr>
          <w:rFonts w:ascii="Tahoma" w:hAnsi="Tahoma" w:cs="Tahoma"/>
          <w:sz w:val="16"/>
          <w:szCs w:val="16"/>
          <w:lang w:val="pt-BR"/>
        </w:rPr>
      </w:pPr>
    </w:p>
    <w:p w:rsidR="0055611F" w:rsidRPr="00C50FD1" w:rsidRDefault="0055611F" w:rsidP="00864B8A">
      <w:pPr>
        <w:spacing w:after="60"/>
        <w:ind w:left="720"/>
        <w:rPr>
          <w:lang w:val="pt-BR"/>
        </w:rPr>
      </w:pPr>
      <w:r w:rsidRPr="00C50FD1">
        <w:rPr>
          <w:rFonts w:cs="Tahoma"/>
          <w:b/>
          <w:lang w:val="pt-BR"/>
        </w:rPr>
        <w:t>Serviços de Assinatura</w:t>
      </w:r>
    </w:p>
    <w:p w:rsidR="0055611F" w:rsidRPr="00C50FD1" w:rsidRDefault="0055611F" w:rsidP="00076CB4">
      <w:pPr>
        <w:pStyle w:val="FootnoteBulletLevel2"/>
        <w:tabs>
          <w:tab w:val="clear" w:pos="1260"/>
        </w:tabs>
        <w:spacing w:before="0"/>
        <w:ind w:left="720" w:firstLine="0"/>
        <w:rPr>
          <w:lang w:val="pt-BR"/>
        </w:rPr>
      </w:pPr>
      <w:r w:rsidRPr="00C50FD1">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rsidR="0055611F" w:rsidRPr="00C50FD1" w:rsidRDefault="0055611F" w:rsidP="00CF0D11">
      <w:pPr>
        <w:pStyle w:val="FootnoteBulletLevel1"/>
        <w:tabs>
          <w:tab w:val="clear" w:pos="900"/>
        </w:tabs>
        <w:spacing w:before="0" w:after="0" w:line="160" w:lineRule="exact"/>
        <w:ind w:left="907" w:firstLine="0"/>
        <w:rPr>
          <w:rFonts w:ascii="Tahoma" w:hAnsi="Tahoma" w:cs="Tahoma"/>
          <w:sz w:val="16"/>
          <w:szCs w:val="16"/>
          <w:lang w:val="pt-BR"/>
        </w:rPr>
      </w:pPr>
    </w:p>
    <w:p w:rsidR="0055611F" w:rsidRPr="00C50FD1" w:rsidRDefault="009B2474" w:rsidP="00864B8A">
      <w:pPr>
        <w:spacing w:after="60"/>
        <w:ind w:left="720"/>
        <w:rPr>
          <w:lang w:val="pt-BR"/>
        </w:rPr>
      </w:pPr>
      <w:r w:rsidRPr="00C50FD1">
        <w:rPr>
          <w:rFonts w:cs="Tahoma"/>
          <w:b/>
          <w:lang w:val="pt-BR"/>
        </w:rPr>
        <w:t>Serviços da Plataforma do Windows Azure</w:t>
      </w:r>
    </w:p>
    <w:p w:rsidR="0055611F" w:rsidRPr="00C50FD1" w:rsidRDefault="0055611F" w:rsidP="00076CB4">
      <w:pPr>
        <w:pStyle w:val="FootnoteBulletLevel2"/>
        <w:tabs>
          <w:tab w:val="clear" w:pos="1260"/>
        </w:tabs>
        <w:spacing w:before="0"/>
        <w:ind w:left="720" w:firstLine="0"/>
        <w:rPr>
          <w:lang w:val="pt-BR"/>
        </w:rPr>
      </w:pPr>
      <w:r w:rsidRPr="00C50FD1">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rsidR="0055611F" w:rsidRPr="00C50FD1" w:rsidRDefault="0055611F" w:rsidP="00CF0D11">
      <w:pPr>
        <w:pStyle w:val="FootnoteBulletLevel2"/>
        <w:tabs>
          <w:tab w:val="clear" w:pos="1260"/>
        </w:tabs>
        <w:snapToGrid/>
        <w:spacing w:before="0" w:line="160" w:lineRule="exact"/>
        <w:ind w:left="907" w:firstLine="0"/>
        <w:rPr>
          <w:rFonts w:ascii="Tahoma" w:hAnsi="Tahoma" w:cs="Tahoma"/>
          <w:sz w:val="16"/>
          <w:szCs w:val="16"/>
          <w:lang w:val="pt-BR"/>
        </w:rPr>
      </w:pPr>
    </w:p>
    <w:p w:rsidR="00E03856" w:rsidRPr="00C50FD1" w:rsidRDefault="00E03856" w:rsidP="00CF0D11">
      <w:pPr>
        <w:pStyle w:val="FootnoteBulletLevel2"/>
        <w:tabs>
          <w:tab w:val="clear" w:pos="1260"/>
        </w:tabs>
        <w:snapToGrid/>
        <w:spacing w:before="0" w:line="160" w:lineRule="exact"/>
        <w:ind w:left="907" w:firstLine="0"/>
        <w:rPr>
          <w:rFonts w:ascii="Tahoma" w:hAnsi="Tahoma" w:cs="Tahoma"/>
          <w:sz w:val="16"/>
          <w:szCs w:val="16"/>
          <w:lang w:val="pt-BR"/>
        </w:rPr>
      </w:pPr>
    </w:p>
    <w:p w:rsidR="00223A77" w:rsidRPr="00C50FD1" w:rsidRDefault="004668D9" w:rsidP="00223A77">
      <w:pPr>
        <w:pStyle w:val="Heading3"/>
        <w:rPr>
          <w:lang w:val="pt-BR"/>
        </w:rPr>
      </w:pPr>
      <w:bookmarkStart w:id="1116" w:name="_22_Visual_Studio"/>
      <w:bookmarkStart w:id="1117" w:name="_Toc336338278"/>
      <w:bookmarkStart w:id="1118" w:name="_Toc353470926"/>
      <w:bookmarkStart w:id="1119" w:name="Aps_18VS2010UltimateMSDN"/>
      <w:bookmarkEnd w:id="1116"/>
      <w:r w:rsidRPr="00C50FD1">
        <w:rPr>
          <w:rFonts w:ascii="Tahoma" w:hAnsi="Tahoma"/>
          <w:caps/>
          <w:color w:val="F66400"/>
          <w:sz w:val="22"/>
          <w:vertAlign w:val="superscript"/>
          <w:lang w:val="pt-BR"/>
        </w:rPr>
        <w:t>22</w:t>
      </w:r>
      <w:r w:rsidRPr="00C50FD1">
        <w:rPr>
          <w:rFonts w:ascii="Tahoma" w:hAnsi="Tahoma"/>
          <w:color w:val="F66400"/>
          <w:sz w:val="22"/>
          <w:lang w:val="pt-BR"/>
        </w:rPr>
        <w:t xml:space="preserve"> Visual Studio Ultimate 2012 com MSDN</w:t>
      </w:r>
      <w:bookmarkEnd w:id="1117"/>
      <w:bookmarkEnd w:id="1118"/>
      <w:r w:rsidRPr="00C50FD1">
        <w:rPr>
          <w:rFonts w:ascii="Tahoma" w:hAnsi="Tahoma"/>
          <w:color w:val="F66400"/>
          <w:sz w:val="22"/>
          <w:lang w:val="pt-BR"/>
        </w:rPr>
        <w:t xml:space="preserve"> </w:t>
      </w:r>
    </w:p>
    <w:bookmarkEnd w:id="1119"/>
    <w:p w:rsidR="0032113C" w:rsidRPr="00C50FD1" w:rsidRDefault="0032113C" w:rsidP="00CF0D11">
      <w:pPr>
        <w:adjustRightInd w:val="0"/>
        <w:spacing w:line="160" w:lineRule="exact"/>
        <w:ind w:left="907"/>
        <w:textAlignment w:val="baseline"/>
        <w:rPr>
          <w:rFonts w:cs="Tahoma"/>
          <w:sz w:val="16"/>
          <w:szCs w:val="16"/>
          <w:lang w:val="pt-BR"/>
        </w:rPr>
      </w:pPr>
    </w:p>
    <w:p w:rsidR="001026FD" w:rsidRPr="00C50FD1" w:rsidRDefault="001026FD" w:rsidP="00864B8A">
      <w:pPr>
        <w:spacing w:after="60"/>
        <w:ind w:left="720"/>
        <w:rPr>
          <w:lang w:val="pt-BR"/>
        </w:rPr>
      </w:pPr>
      <w:r w:rsidRPr="00C50FD1">
        <w:rPr>
          <w:rFonts w:cs="Tahoma"/>
          <w:b/>
          <w:lang w:val="pt-BR"/>
        </w:rPr>
        <w:t>Visual Studio Team Foundation Server 2012</w:t>
      </w:r>
    </w:p>
    <w:p w:rsidR="001026FD" w:rsidRPr="00C50FD1" w:rsidRDefault="001026FD" w:rsidP="007A4659">
      <w:pPr>
        <w:pStyle w:val="EndnoteText"/>
        <w:ind w:left="720"/>
        <w:rPr>
          <w:lang w:val="pt-BR"/>
        </w:rPr>
      </w:pPr>
      <w:r w:rsidRPr="00C50FD1">
        <w:rPr>
          <w:rFonts w:ascii="Tahoma" w:hAnsi="Tahoma" w:cs="Tahoma"/>
          <w:sz w:val="18"/>
          <w:lang w:val="pt-BR"/>
        </w:rPr>
        <w:t>O assinante está qualificado para uma licença de servidor para o Visual Studio Team Foundation Server</w:t>
      </w:r>
      <w:r w:rsidR="000247C9" w:rsidRPr="00C50FD1">
        <w:rPr>
          <w:rFonts w:ascii="Tahoma" w:hAnsi="Tahoma" w:cs="Tahoma"/>
          <w:sz w:val="18"/>
          <w:lang w:val="pt-BR"/>
        </w:rPr>
        <w:t> </w:t>
      </w:r>
      <w:r w:rsidRPr="00C50FD1">
        <w:rPr>
          <w:rFonts w:ascii="Tahoma" w:hAnsi="Tahoma" w:cs="Tahoma"/>
          <w:sz w:val="18"/>
          <w:lang w:val="pt-BR"/>
        </w:rPr>
        <w:t>2012 e uma CAL de Usuário do Team Foundation Server.</w:t>
      </w:r>
      <w:r w:rsidR="005A52A2" w:rsidRPr="00C50FD1">
        <w:rPr>
          <w:rFonts w:ascii="Tahoma" w:hAnsi="Tahoma" w:cs="Tahoma"/>
          <w:sz w:val="18"/>
          <w:lang w:val="pt-BR"/>
        </w:rPr>
        <w:t xml:space="preserve"> </w:t>
      </w:r>
      <w:r w:rsidRPr="00C50FD1">
        <w:rPr>
          <w:rFonts w:ascii="Tahoma" w:hAnsi="Tahoma" w:cs="Tahoma"/>
          <w:sz w:val="18"/>
          <w:lang w:val="pt-BR"/>
        </w:rPr>
        <w:t>A CAL é reservada unicamente para</w:t>
      </w:r>
      <w:r w:rsidR="00392523" w:rsidRPr="00C50FD1">
        <w:rPr>
          <w:rFonts w:ascii="Tahoma" w:hAnsi="Tahoma" w:cs="Tahoma"/>
          <w:sz w:val="18"/>
          <w:lang w:val="pt-BR"/>
        </w:rPr>
        <w:t> </w:t>
      </w:r>
      <w:r w:rsidRPr="00C50FD1">
        <w:rPr>
          <w:rFonts w:ascii="Tahoma" w:hAnsi="Tahoma" w:cs="Tahoma"/>
          <w:sz w:val="18"/>
          <w:lang w:val="pt-BR"/>
        </w:rPr>
        <w:t>uso</w:t>
      </w:r>
      <w:r w:rsidR="000247C9" w:rsidRPr="00C50FD1">
        <w:rPr>
          <w:rFonts w:ascii="Tahoma" w:hAnsi="Tahoma" w:cs="Tahoma"/>
          <w:sz w:val="18"/>
          <w:lang w:val="pt-BR"/>
        </w:rPr>
        <w:t> </w:t>
      </w:r>
      <w:r w:rsidRPr="00C50FD1">
        <w:rPr>
          <w:rFonts w:ascii="Tahoma" w:hAnsi="Tahoma" w:cs="Tahoma"/>
          <w:sz w:val="18"/>
          <w:lang w:val="pt-BR"/>
        </w:rPr>
        <w:t>do</w:t>
      </w:r>
      <w:r w:rsidR="000247C9" w:rsidRPr="00C50FD1">
        <w:rPr>
          <w:rFonts w:ascii="Tahoma" w:hAnsi="Tahoma" w:cs="Tahoma"/>
          <w:sz w:val="18"/>
          <w:lang w:val="pt-BR"/>
        </w:rPr>
        <w:t> </w:t>
      </w:r>
      <w:r w:rsidRPr="00C50FD1">
        <w:rPr>
          <w:rFonts w:ascii="Tahoma" w:hAnsi="Tahoma" w:cs="Tahoma"/>
          <w:sz w:val="18"/>
          <w:lang w:val="pt-BR"/>
        </w:rPr>
        <w:t>assinante.</w:t>
      </w:r>
    </w:p>
    <w:p w:rsidR="001026FD" w:rsidRPr="00C50FD1" w:rsidRDefault="001026FD" w:rsidP="00CF0D11">
      <w:pPr>
        <w:pStyle w:val="EndnoteText"/>
        <w:adjustRightInd w:val="0"/>
        <w:spacing w:line="160" w:lineRule="exact"/>
        <w:ind w:left="907"/>
        <w:textAlignment w:val="baseline"/>
        <w:rPr>
          <w:rFonts w:ascii="Tahoma" w:hAnsi="Tahoma" w:cs="Tahoma"/>
          <w:sz w:val="16"/>
          <w:szCs w:val="16"/>
          <w:lang w:val="pt-BR"/>
        </w:rPr>
      </w:pPr>
    </w:p>
    <w:p w:rsidR="001026FD" w:rsidRPr="00C50FD1" w:rsidRDefault="001026FD" w:rsidP="00864B8A">
      <w:pPr>
        <w:spacing w:after="60"/>
        <w:ind w:left="720"/>
        <w:rPr>
          <w:lang w:val="pt-BR"/>
        </w:rPr>
      </w:pPr>
      <w:r w:rsidRPr="00C50FD1">
        <w:rPr>
          <w:rFonts w:cs="Tahoma"/>
          <w:b/>
          <w:lang w:val="pt-BR"/>
        </w:rPr>
        <w:t>SQL Server Parallel Data Warehouse Developer</w:t>
      </w:r>
    </w:p>
    <w:p w:rsidR="001026FD" w:rsidRPr="00C50FD1" w:rsidRDefault="001026FD" w:rsidP="007A4659">
      <w:pPr>
        <w:pStyle w:val="EndnoteText"/>
        <w:ind w:left="720"/>
        <w:rPr>
          <w:lang w:val="pt-BR"/>
        </w:rPr>
      </w:pPr>
      <w:r w:rsidRPr="00C50FD1">
        <w:rPr>
          <w:rFonts w:ascii="Tahoma" w:hAnsi="Tahoma" w:cs="Tahoma"/>
          <w:sz w:val="18"/>
          <w:lang w:val="pt-BR"/>
        </w:rPr>
        <w:t>O assinante é qualificado para uma licença do SQL Server 2008 R2 Parallel Data Warehouse Developer.</w:t>
      </w:r>
    </w:p>
    <w:p w:rsidR="007A4659" w:rsidRPr="00C50FD1" w:rsidRDefault="007A4659"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92523" w:rsidRPr="00C50FD1" w:rsidRDefault="00392523" w:rsidP="00CF0D11">
      <w:pPr>
        <w:adjustRightInd w:val="0"/>
        <w:spacing w:line="160" w:lineRule="exact"/>
        <w:ind w:left="907"/>
        <w:textAlignment w:val="baseline"/>
        <w:rPr>
          <w:sz w:val="16"/>
          <w:szCs w:val="16"/>
          <w:lang w:val="pt-BR"/>
        </w:rPr>
      </w:pPr>
    </w:p>
    <w:p w:rsidR="0032113C" w:rsidRPr="00C50FD1" w:rsidRDefault="0032113C" w:rsidP="00864B8A">
      <w:pPr>
        <w:spacing w:after="60"/>
        <w:ind w:left="720"/>
        <w:rPr>
          <w:lang w:val="pt-BR"/>
        </w:rPr>
      </w:pPr>
      <w:r w:rsidRPr="00C50FD1">
        <w:rPr>
          <w:rFonts w:cs="Tahoma"/>
          <w:b/>
          <w:lang w:val="pt-BR"/>
        </w:rPr>
        <w:lastRenderedPageBreak/>
        <w:t>Qualificação do Software Assurance</w:t>
      </w:r>
    </w:p>
    <w:p w:rsidR="0032113C" w:rsidRPr="00C50FD1" w:rsidRDefault="0032113C" w:rsidP="00101859">
      <w:pPr>
        <w:pStyle w:val="EndnoteText"/>
        <w:rPr>
          <w:rFonts w:ascii="Tahoma" w:hAnsi="Tahoma" w:cs="Tahoma"/>
          <w:sz w:val="18"/>
          <w:szCs w:val="18"/>
          <w:lang w:val="pt-BR"/>
        </w:rPr>
      </w:pPr>
      <w:r w:rsidRPr="00C50FD1">
        <w:rPr>
          <w:rFonts w:cs="Tahoma"/>
          <w:sz w:val="18"/>
          <w:szCs w:val="18"/>
          <w:lang w:val="pt-BR"/>
        </w:rPr>
        <w:t>Os clientes com Software Assurance próximo à data de término referente aos produtos a</w:t>
      </w:r>
      <w:r w:rsidR="001179C0" w:rsidRPr="00C50FD1">
        <w:rPr>
          <w:rFonts w:cs="Tahoma"/>
          <w:sz w:val="18"/>
          <w:szCs w:val="18"/>
          <w:lang w:val="pt-BR"/>
        </w:rPr>
        <w:t> </w:t>
      </w:r>
      <w:r w:rsidRPr="00C50FD1">
        <w:rPr>
          <w:rFonts w:cs="Tahoma"/>
          <w:sz w:val="18"/>
          <w:szCs w:val="18"/>
          <w:lang w:val="pt-BR"/>
        </w:rPr>
        <w:t>seguir estão qualificados a renovar suas coberturas como Visual Studio Ultimate 2012 com</w:t>
      </w:r>
      <w:r w:rsidR="001179C0" w:rsidRPr="00C50FD1">
        <w:rPr>
          <w:rFonts w:cs="Tahoma"/>
          <w:sz w:val="18"/>
          <w:szCs w:val="18"/>
          <w:lang w:val="pt-BR"/>
        </w:rPr>
        <w:t> </w:t>
      </w:r>
      <w:r w:rsidRPr="00C50FD1">
        <w:rPr>
          <w:rFonts w:cs="Tahoma"/>
          <w:sz w:val="18"/>
          <w:szCs w:val="18"/>
          <w:lang w:val="pt-BR"/>
        </w:rPr>
        <w:t xml:space="preserve">MSDN. </w:t>
      </w:r>
      <w:r w:rsidRPr="00C50FD1">
        <w:rPr>
          <w:rFonts w:ascii="Tahoma" w:hAnsi="Tahoma" w:cs="Tahoma"/>
          <w:sz w:val="18"/>
          <w:szCs w:val="18"/>
          <w:lang w:val="pt-BR"/>
        </w:rPr>
        <w:t>Ao renovar uma nível de assinatura MSDN diferente, os novos termos de uso substituirão</w:t>
      </w:r>
      <w:r w:rsidR="001179C0" w:rsidRPr="00C50FD1">
        <w:rPr>
          <w:rFonts w:ascii="Tahoma" w:hAnsi="Tahoma" w:cs="Tahoma"/>
          <w:sz w:val="18"/>
          <w:szCs w:val="18"/>
          <w:lang w:val="pt-BR"/>
        </w:rPr>
        <w:t> </w:t>
      </w:r>
      <w:r w:rsidRPr="00C50FD1">
        <w:rPr>
          <w:rFonts w:ascii="Tahoma" w:hAnsi="Tahoma" w:cs="Tahoma"/>
          <w:sz w:val="18"/>
          <w:szCs w:val="18"/>
          <w:lang w:val="pt-BR"/>
        </w:rPr>
        <w:t>os</w:t>
      </w:r>
      <w:r w:rsidR="001179C0" w:rsidRPr="00C50FD1">
        <w:rPr>
          <w:rFonts w:ascii="Tahoma" w:hAnsi="Tahoma" w:cs="Tahoma"/>
          <w:sz w:val="18"/>
          <w:szCs w:val="18"/>
          <w:lang w:val="pt-BR"/>
        </w:rPr>
        <w:t> </w:t>
      </w:r>
      <w:r w:rsidRPr="00C50FD1">
        <w:rPr>
          <w:rFonts w:ascii="Tahoma" w:hAnsi="Tahoma" w:cs="Tahoma"/>
          <w:sz w:val="18"/>
          <w:szCs w:val="18"/>
          <w:lang w:val="pt-BR"/>
        </w:rPr>
        <w:t>termos de uso anteriores, e</w:t>
      </w:r>
      <w:r w:rsidR="00392523" w:rsidRPr="00C50FD1">
        <w:rPr>
          <w:rFonts w:ascii="Tahoma" w:hAnsi="Tahoma" w:cs="Tahoma"/>
          <w:sz w:val="18"/>
          <w:szCs w:val="18"/>
          <w:lang w:val="pt-BR"/>
        </w:rPr>
        <w:t> </w:t>
      </w:r>
      <w:r w:rsidRPr="00C50FD1">
        <w:rPr>
          <w:rFonts w:ascii="Tahoma" w:hAnsi="Tahoma" w:cs="Tahoma"/>
          <w:sz w:val="18"/>
          <w:szCs w:val="18"/>
          <w:lang w:val="pt-BR"/>
        </w:rPr>
        <w:t>qualquer software não incluído na nova assinatura MSDN</w:t>
      </w:r>
      <w:r w:rsidR="001179C0" w:rsidRPr="00C50FD1">
        <w:rPr>
          <w:rFonts w:ascii="Tahoma" w:hAnsi="Tahoma" w:cs="Tahoma"/>
          <w:sz w:val="18"/>
          <w:szCs w:val="18"/>
          <w:lang w:val="pt-BR"/>
        </w:rPr>
        <w:t> </w:t>
      </w:r>
      <w:r w:rsidRPr="00C50FD1">
        <w:rPr>
          <w:rFonts w:ascii="Tahoma" w:hAnsi="Tahoma" w:cs="Tahoma"/>
          <w:sz w:val="18"/>
          <w:szCs w:val="18"/>
          <w:lang w:val="pt-BR"/>
        </w:rPr>
        <w:t>deverá ser removido.</w:t>
      </w:r>
    </w:p>
    <w:p w:rsidR="00392523" w:rsidRPr="00C50FD1" w:rsidRDefault="00392523" w:rsidP="00101859">
      <w:pPr>
        <w:pStyle w:val="EndnoteText"/>
        <w:rPr>
          <w:sz w:val="18"/>
          <w:szCs w:val="18"/>
          <w:lang w:val="pt-BR"/>
        </w:rPr>
      </w:pP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Visual Studio Ultimate com MSDN</w:t>
      </w: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Visual Studio Team System Team Suite com MSDN Premium</w:t>
      </w: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Visual Studio Team System Test Edition com MSDN Premium</w:t>
      </w: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Visual Studio Team System Development Edition com MSDN Premium</w:t>
      </w: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 xml:space="preserve">Visual Studio Team System Architecture Edition com MSDN Premium </w:t>
      </w: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Visual Studio Team System Database Edition com MSDN Premium</w:t>
      </w:r>
    </w:p>
    <w:p w:rsidR="0032113C" w:rsidRPr="00C50FD1" w:rsidRDefault="0032113C" w:rsidP="007A4659">
      <w:pPr>
        <w:numPr>
          <w:ilvl w:val="0"/>
          <w:numId w:val="6"/>
        </w:numPr>
        <w:adjustRightInd w:val="0"/>
        <w:snapToGrid w:val="0"/>
        <w:spacing w:after="60"/>
        <w:ind w:left="1440"/>
        <w:textAlignment w:val="baseline"/>
        <w:rPr>
          <w:lang w:val="pt-BR"/>
        </w:rPr>
      </w:pPr>
      <w:r w:rsidRPr="00C50FD1">
        <w:rPr>
          <w:rFonts w:cs="Tahoma"/>
          <w:szCs w:val="24"/>
          <w:lang w:val="pt-BR"/>
        </w:rPr>
        <w:t>Clientes com uma assinatura de varejo ativa para qualquer um dos softwares acima</w:t>
      </w:r>
    </w:p>
    <w:p w:rsidR="00392523" w:rsidRPr="00C50FD1" w:rsidRDefault="00392523" w:rsidP="00392523">
      <w:pPr>
        <w:adjustRightInd w:val="0"/>
        <w:snapToGrid w:val="0"/>
        <w:spacing w:after="60"/>
        <w:ind w:left="1440"/>
        <w:textAlignment w:val="baseline"/>
        <w:rPr>
          <w:lang w:val="pt-BR"/>
        </w:rPr>
      </w:pPr>
    </w:p>
    <w:p w:rsidR="0032113C" w:rsidRPr="00C50FD1" w:rsidRDefault="0032113C" w:rsidP="007A4659">
      <w:pPr>
        <w:adjustRightInd w:val="0"/>
        <w:ind w:left="720"/>
        <w:textAlignment w:val="baseline"/>
        <w:rPr>
          <w:lang w:val="pt-BR"/>
        </w:rPr>
      </w:pPr>
      <w:r w:rsidRPr="00C50FD1">
        <w:rPr>
          <w:rFonts w:cs="Tahoma"/>
          <w:szCs w:val="20"/>
          <w:lang w:val="pt-BR"/>
        </w:rPr>
        <w:t xml:space="preserve">Os clientes com Software Assurance próximo à data de término referente ao Visual Studio Ultimate 2012 com MSDN estão qualificados a renovar suas coberturas como: </w:t>
      </w:r>
    </w:p>
    <w:p w:rsidR="007A4659" w:rsidRPr="00C50FD1" w:rsidRDefault="007A4659" w:rsidP="007A4659">
      <w:pPr>
        <w:adjustRightInd w:val="0"/>
        <w:ind w:left="720"/>
        <w:textAlignment w:val="baseline"/>
        <w:rPr>
          <w:lang w:val="pt-BR"/>
        </w:rPr>
      </w:pP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Visual Studio Premium com MSDN</w:t>
      </w: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Visual Studio Professional com MSDN</w:t>
      </w: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Visual Studio Test Professional com MSDN</w:t>
      </w:r>
    </w:p>
    <w:p w:rsidR="0032113C" w:rsidRPr="00653421" w:rsidRDefault="0032113C" w:rsidP="007A4659">
      <w:pPr>
        <w:numPr>
          <w:ilvl w:val="0"/>
          <w:numId w:val="6"/>
        </w:numPr>
        <w:adjustRightInd w:val="0"/>
        <w:snapToGrid w:val="0"/>
        <w:spacing w:after="60"/>
        <w:ind w:left="1440"/>
        <w:textAlignment w:val="baseline"/>
      </w:pPr>
      <w:r w:rsidRPr="00653421">
        <w:rPr>
          <w:rFonts w:cs="Tahoma"/>
          <w:szCs w:val="24"/>
        </w:rPr>
        <w:t>MSDN Operating Systems</w:t>
      </w:r>
    </w:p>
    <w:p w:rsidR="0055611F" w:rsidRPr="00653421" w:rsidRDefault="0055611F" w:rsidP="007A4659">
      <w:pPr>
        <w:adjustRightInd w:val="0"/>
        <w:snapToGrid w:val="0"/>
        <w:textAlignment w:val="baseline"/>
      </w:pPr>
    </w:p>
    <w:p w:rsidR="0055611F" w:rsidRPr="00653421" w:rsidRDefault="009B2474" w:rsidP="00864B8A">
      <w:pPr>
        <w:spacing w:after="60"/>
        <w:ind w:left="720"/>
      </w:pPr>
      <w:r w:rsidRPr="00653421">
        <w:rPr>
          <w:rFonts w:cs="Tahoma"/>
          <w:b/>
        </w:rPr>
        <w:t>Serviços de Assinatura</w:t>
      </w:r>
    </w:p>
    <w:p w:rsidR="0055611F" w:rsidRPr="00C50FD1" w:rsidRDefault="0055611F" w:rsidP="007A4659">
      <w:pPr>
        <w:pStyle w:val="FootnoteBulletLevel2"/>
        <w:tabs>
          <w:tab w:val="clear" w:pos="1260"/>
        </w:tabs>
        <w:spacing w:before="0"/>
        <w:ind w:left="720" w:firstLine="0"/>
        <w:rPr>
          <w:lang w:val="pt-BR"/>
        </w:rPr>
      </w:pPr>
      <w:r w:rsidRPr="00C50FD1">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rsidR="0055611F" w:rsidRPr="00C50FD1" w:rsidRDefault="0055611F" w:rsidP="007A4659">
      <w:pPr>
        <w:pStyle w:val="FootnoteBulletLevel1"/>
        <w:spacing w:before="0" w:after="0"/>
        <w:ind w:left="720" w:firstLine="0"/>
        <w:rPr>
          <w:rFonts w:ascii="Tahoma" w:hAnsi="Tahoma" w:cs="Tahoma"/>
          <w:sz w:val="18"/>
          <w:szCs w:val="18"/>
          <w:lang w:val="pt-BR"/>
        </w:rPr>
      </w:pPr>
    </w:p>
    <w:p w:rsidR="0055611F" w:rsidRPr="00C50FD1" w:rsidRDefault="0055611F" w:rsidP="00864B8A">
      <w:pPr>
        <w:spacing w:after="60"/>
        <w:ind w:left="720"/>
        <w:rPr>
          <w:lang w:val="pt-BR"/>
        </w:rPr>
      </w:pPr>
      <w:r w:rsidRPr="00C50FD1">
        <w:rPr>
          <w:rFonts w:cs="Tahoma"/>
          <w:b/>
          <w:lang w:val="pt-BR"/>
        </w:rPr>
        <w:t>Serviços da Plataforma do Windows Azure</w:t>
      </w:r>
    </w:p>
    <w:p w:rsidR="00C2130B" w:rsidRPr="00C50FD1" w:rsidRDefault="0055611F" w:rsidP="007A4659">
      <w:pPr>
        <w:adjustRightInd w:val="0"/>
        <w:snapToGrid w:val="0"/>
        <w:ind w:left="720"/>
        <w:textAlignment w:val="baseline"/>
        <w:rPr>
          <w:lang w:val="pt-BR"/>
        </w:rPr>
      </w:pPr>
      <w:r w:rsidRPr="00C50FD1">
        <w:rPr>
          <w:rFonts w:cs="Tahoma"/>
          <w:lang w:val="pt-BR"/>
        </w:rPr>
        <w:t>Os benefícios do Windows Azure não podem ser combinados de várias assinaturas do MSDN em uma única conta do Windows Azure. O uso do Windows Azure está sujeito aos termos de uso do Windows Azure.</w:t>
      </w:r>
      <w:bookmarkStart w:id="1120" w:name="Aps_19VS2010TestMSDN"/>
    </w:p>
    <w:p w:rsidR="007A4659" w:rsidRPr="00C50FD1" w:rsidRDefault="007A4659" w:rsidP="007A4659">
      <w:pPr>
        <w:adjustRightInd w:val="0"/>
        <w:snapToGrid w:val="0"/>
        <w:textAlignment w:val="baseline"/>
        <w:rPr>
          <w:lang w:val="pt-BR"/>
        </w:rPr>
      </w:pPr>
    </w:p>
    <w:p w:rsidR="007A4659" w:rsidRPr="00C50FD1" w:rsidRDefault="007A4659" w:rsidP="007A4659">
      <w:pPr>
        <w:adjustRightInd w:val="0"/>
        <w:snapToGrid w:val="0"/>
        <w:textAlignment w:val="baseline"/>
        <w:rPr>
          <w:lang w:val="pt-BR"/>
        </w:rPr>
      </w:pPr>
    </w:p>
    <w:p w:rsidR="00223A77" w:rsidRPr="00653421" w:rsidRDefault="004668D9" w:rsidP="00223A77">
      <w:pPr>
        <w:pStyle w:val="Heading3"/>
      </w:pPr>
      <w:bookmarkStart w:id="1121" w:name="_23_Visual_Studio"/>
      <w:bookmarkStart w:id="1122" w:name="_Toc336338279"/>
      <w:bookmarkStart w:id="1123" w:name="_Toc353470927"/>
      <w:bookmarkEnd w:id="1121"/>
      <w:r w:rsidRPr="00653421">
        <w:rPr>
          <w:rFonts w:ascii="Tahoma" w:hAnsi="Tahoma"/>
          <w:caps/>
          <w:color w:val="F66400"/>
          <w:sz w:val="22"/>
          <w:vertAlign w:val="superscript"/>
        </w:rPr>
        <w:t>23</w:t>
      </w:r>
      <w:r w:rsidRPr="00653421">
        <w:rPr>
          <w:rFonts w:ascii="Tahoma" w:hAnsi="Tahoma"/>
          <w:color w:val="F66400"/>
          <w:sz w:val="22"/>
        </w:rPr>
        <w:t xml:space="preserve"> Visual Studio Test Professional 2012 com </w:t>
      </w:r>
      <w:bookmarkEnd w:id="1120"/>
      <w:r w:rsidRPr="00653421">
        <w:rPr>
          <w:rFonts w:ascii="Tahoma" w:hAnsi="Tahoma"/>
          <w:color w:val="F66400"/>
          <w:sz w:val="22"/>
        </w:rPr>
        <w:t>MSDN</w:t>
      </w:r>
      <w:bookmarkEnd w:id="1122"/>
      <w:bookmarkEnd w:id="1123"/>
      <w:r w:rsidRPr="00653421">
        <w:rPr>
          <w:rFonts w:ascii="Tahoma" w:hAnsi="Tahoma"/>
          <w:color w:val="F66400"/>
          <w:sz w:val="22"/>
        </w:rPr>
        <w:t xml:space="preserve"> </w:t>
      </w:r>
    </w:p>
    <w:p w:rsidR="00AC4485" w:rsidRPr="00653421" w:rsidRDefault="00AC4485" w:rsidP="00392523">
      <w:pPr>
        <w:pStyle w:val="EndnoteText"/>
        <w:ind w:left="720"/>
        <w:rPr>
          <w:rFonts w:ascii="Tahoma" w:hAnsi="Tahoma" w:cs="Tahoma"/>
          <w:sz w:val="18"/>
          <w:szCs w:val="18"/>
        </w:rPr>
      </w:pPr>
    </w:p>
    <w:p w:rsidR="001026FD" w:rsidRPr="00653421" w:rsidRDefault="001026FD" w:rsidP="00864B8A">
      <w:pPr>
        <w:spacing w:after="60"/>
        <w:ind w:left="720"/>
      </w:pPr>
      <w:r w:rsidRPr="00653421">
        <w:rPr>
          <w:rFonts w:cs="Tahoma"/>
          <w:b/>
        </w:rPr>
        <w:t>Visual Studio Team Foundation Server 2012</w:t>
      </w:r>
    </w:p>
    <w:p w:rsidR="001026FD" w:rsidRPr="00C50FD1" w:rsidRDefault="001026FD" w:rsidP="00E7500D">
      <w:pPr>
        <w:pStyle w:val="EndnoteText"/>
        <w:ind w:left="720"/>
        <w:rPr>
          <w:lang w:val="pt-BR"/>
        </w:rPr>
      </w:pPr>
      <w:r w:rsidRPr="00C50FD1">
        <w:rPr>
          <w:rFonts w:ascii="Tahoma" w:hAnsi="Tahoma" w:cs="Tahoma"/>
          <w:sz w:val="18"/>
          <w:lang w:val="pt-BR"/>
        </w:rPr>
        <w:t>O assinante está qualificado para uma licença de servidor para o Visual Studio Team Foundation Server</w:t>
      </w:r>
      <w:r w:rsidR="00CF0D11" w:rsidRPr="00C50FD1">
        <w:rPr>
          <w:rFonts w:ascii="Tahoma" w:hAnsi="Tahoma" w:cs="Tahoma"/>
          <w:sz w:val="18"/>
          <w:lang w:val="pt-BR"/>
        </w:rPr>
        <w:t> </w:t>
      </w:r>
      <w:r w:rsidRPr="00C50FD1">
        <w:rPr>
          <w:rFonts w:ascii="Tahoma" w:hAnsi="Tahoma" w:cs="Tahoma"/>
          <w:sz w:val="18"/>
          <w:lang w:val="pt-BR"/>
        </w:rPr>
        <w:t>2012 e uma CAL de Usuário do Team Foundation Server.</w:t>
      </w:r>
      <w:r w:rsidR="005A52A2" w:rsidRPr="00C50FD1">
        <w:rPr>
          <w:rFonts w:ascii="Tahoma" w:hAnsi="Tahoma" w:cs="Tahoma"/>
          <w:sz w:val="18"/>
          <w:lang w:val="pt-BR"/>
        </w:rPr>
        <w:t xml:space="preserve"> </w:t>
      </w:r>
      <w:r w:rsidRPr="00C50FD1">
        <w:rPr>
          <w:rFonts w:ascii="Tahoma" w:hAnsi="Tahoma" w:cs="Tahoma"/>
          <w:sz w:val="18"/>
          <w:lang w:val="pt-BR"/>
        </w:rPr>
        <w:t>A CAL é reservada unicamente para</w:t>
      </w:r>
      <w:r w:rsidR="00392523" w:rsidRPr="00C50FD1">
        <w:rPr>
          <w:rFonts w:ascii="Tahoma" w:hAnsi="Tahoma" w:cs="Tahoma"/>
          <w:sz w:val="18"/>
          <w:lang w:val="pt-BR"/>
        </w:rPr>
        <w:t> </w:t>
      </w:r>
      <w:r w:rsidRPr="00C50FD1">
        <w:rPr>
          <w:rFonts w:ascii="Tahoma" w:hAnsi="Tahoma" w:cs="Tahoma"/>
          <w:sz w:val="18"/>
          <w:lang w:val="pt-BR"/>
        </w:rPr>
        <w:t>uso</w:t>
      </w:r>
      <w:r w:rsidR="00CF0D11" w:rsidRPr="00C50FD1">
        <w:rPr>
          <w:rFonts w:ascii="Tahoma" w:hAnsi="Tahoma" w:cs="Tahoma"/>
          <w:sz w:val="18"/>
          <w:lang w:val="pt-BR"/>
        </w:rPr>
        <w:t> </w:t>
      </w:r>
      <w:r w:rsidRPr="00C50FD1">
        <w:rPr>
          <w:rFonts w:ascii="Tahoma" w:hAnsi="Tahoma" w:cs="Tahoma"/>
          <w:sz w:val="18"/>
          <w:lang w:val="pt-BR"/>
        </w:rPr>
        <w:t>do</w:t>
      </w:r>
      <w:r w:rsidR="00CF0D11" w:rsidRPr="00C50FD1">
        <w:rPr>
          <w:rFonts w:ascii="Tahoma" w:hAnsi="Tahoma" w:cs="Tahoma"/>
          <w:sz w:val="18"/>
          <w:lang w:val="pt-BR"/>
        </w:rPr>
        <w:t> </w:t>
      </w:r>
      <w:r w:rsidRPr="00C50FD1">
        <w:rPr>
          <w:rFonts w:ascii="Tahoma" w:hAnsi="Tahoma" w:cs="Tahoma"/>
          <w:sz w:val="18"/>
          <w:lang w:val="pt-BR"/>
        </w:rPr>
        <w:t>assinante.</w:t>
      </w:r>
    </w:p>
    <w:p w:rsidR="001026FD" w:rsidRPr="00C50FD1" w:rsidRDefault="001026FD" w:rsidP="00E7500D">
      <w:pPr>
        <w:pStyle w:val="EndnoteText"/>
        <w:ind w:left="720"/>
        <w:rPr>
          <w:rFonts w:ascii="Tahoma" w:hAnsi="Tahoma" w:cs="Tahoma"/>
          <w:sz w:val="18"/>
          <w:szCs w:val="18"/>
          <w:lang w:val="pt-BR"/>
        </w:rPr>
      </w:pPr>
    </w:p>
    <w:p w:rsidR="001026FD" w:rsidRPr="00C50FD1" w:rsidRDefault="001026FD" w:rsidP="00864B8A">
      <w:pPr>
        <w:spacing w:after="60"/>
        <w:ind w:left="720"/>
        <w:rPr>
          <w:lang w:val="pt-BR"/>
        </w:rPr>
      </w:pPr>
      <w:r w:rsidRPr="00C50FD1">
        <w:rPr>
          <w:rFonts w:cs="Tahoma"/>
          <w:b/>
          <w:lang w:val="pt-BR"/>
        </w:rPr>
        <w:t>SQL Server Parallel Data Warehouse Developer</w:t>
      </w:r>
    </w:p>
    <w:p w:rsidR="001026FD" w:rsidRPr="00C50FD1" w:rsidRDefault="001026FD" w:rsidP="00E7500D">
      <w:pPr>
        <w:pStyle w:val="EndnoteText"/>
        <w:ind w:left="720"/>
        <w:rPr>
          <w:lang w:val="pt-BR"/>
        </w:rPr>
      </w:pPr>
      <w:r w:rsidRPr="00C50FD1">
        <w:rPr>
          <w:rFonts w:ascii="Tahoma" w:hAnsi="Tahoma" w:cs="Tahoma"/>
          <w:sz w:val="18"/>
          <w:lang w:val="pt-BR"/>
        </w:rPr>
        <w:t>O assinante é qualificado para uma licença do SQL Server 2008 R2 Parallel Data Warehouse Developer.</w:t>
      </w:r>
    </w:p>
    <w:p w:rsidR="00E7500D" w:rsidRPr="00C50FD1" w:rsidRDefault="00E7500D" w:rsidP="00392523">
      <w:pPr>
        <w:pStyle w:val="EndnoteText"/>
        <w:ind w:left="720"/>
        <w:rPr>
          <w:rFonts w:ascii="Tahoma" w:hAnsi="Tahoma" w:cs="Tahoma"/>
          <w:sz w:val="18"/>
          <w:szCs w:val="18"/>
          <w:lang w:val="pt-BR"/>
        </w:rPr>
      </w:pPr>
    </w:p>
    <w:p w:rsidR="00223A77" w:rsidRPr="00C50FD1" w:rsidRDefault="00223A77" w:rsidP="00864B8A">
      <w:pPr>
        <w:spacing w:after="60"/>
        <w:ind w:left="720"/>
        <w:rPr>
          <w:lang w:val="pt-BR"/>
        </w:rPr>
      </w:pPr>
      <w:r w:rsidRPr="00C50FD1">
        <w:rPr>
          <w:rFonts w:cs="Tahoma"/>
          <w:b/>
          <w:lang w:val="pt-BR"/>
        </w:rPr>
        <w:t>Qualificação do Software Assurance</w:t>
      </w:r>
    </w:p>
    <w:p w:rsidR="00223A77" w:rsidRPr="00C50FD1" w:rsidRDefault="00223A77" w:rsidP="00101859">
      <w:pPr>
        <w:tabs>
          <w:tab w:val="num" w:pos="1170"/>
        </w:tabs>
        <w:ind w:left="900"/>
        <w:rPr>
          <w:lang w:val="pt-BR"/>
        </w:rPr>
      </w:pPr>
      <w:r w:rsidRPr="00C50FD1">
        <w:rPr>
          <w:rFonts w:cs="Tahoma"/>
          <w:lang w:val="pt-BR"/>
        </w:rPr>
        <w:t>Os clientes com Software Assurance próximo à data de término referente aos produtos a seguir estão qualificados a renovar suas coberturas como Visual Studio Test Professional 2012 com MSDN</w:t>
      </w:r>
      <w:r w:rsidRPr="00C50FD1">
        <w:rPr>
          <w:rFonts w:cs="Tahoma"/>
          <w:szCs w:val="24"/>
          <w:lang w:val="pt-BR"/>
        </w:rPr>
        <w:t xml:space="preserve">. </w:t>
      </w:r>
      <w:r w:rsidRPr="00C50FD1">
        <w:rPr>
          <w:rFonts w:cs="Tahoma"/>
          <w:lang w:val="pt-BR"/>
        </w:rPr>
        <w:t>Ao renovar</w:t>
      </w:r>
      <w:r w:rsidR="00CF0D11" w:rsidRPr="00C50FD1">
        <w:rPr>
          <w:rFonts w:cs="Tahoma"/>
          <w:lang w:val="pt-BR"/>
        </w:rPr>
        <w:t> </w:t>
      </w:r>
      <w:r w:rsidRPr="00C50FD1">
        <w:rPr>
          <w:rFonts w:cs="Tahoma"/>
          <w:lang w:val="pt-BR"/>
        </w:rPr>
        <w:t>uma nível de assinatura MSDN diferente, os novos termos de uso substituirão os termos de</w:t>
      </w:r>
      <w:r w:rsidR="00CF0D11" w:rsidRPr="00C50FD1">
        <w:rPr>
          <w:rFonts w:cs="Tahoma"/>
          <w:lang w:val="pt-BR"/>
        </w:rPr>
        <w:t> </w:t>
      </w:r>
      <w:r w:rsidRPr="00C50FD1">
        <w:rPr>
          <w:rFonts w:cs="Tahoma"/>
          <w:lang w:val="pt-BR"/>
        </w:rPr>
        <w:t>uso</w:t>
      </w:r>
      <w:r w:rsidR="00CF0D11" w:rsidRPr="00C50FD1">
        <w:rPr>
          <w:rFonts w:cs="Tahoma"/>
          <w:lang w:val="pt-BR"/>
        </w:rPr>
        <w:t> </w:t>
      </w:r>
      <w:r w:rsidRPr="00C50FD1">
        <w:rPr>
          <w:rFonts w:cs="Tahoma"/>
          <w:lang w:val="pt-BR"/>
        </w:rPr>
        <w:t>anteriores, e qualquer software não incluído na nova assinatura MSDN deverá ser removido.</w:t>
      </w:r>
    </w:p>
    <w:p w:rsidR="00223A77" w:rsidRPr="00C50FD1" w:rsidRDefault="00223A77" w:rsidP="00392523">
      <w:pPr>
        <w:pStyle w:val="EndnoteText"/>
        <w:ind w:left="720"/>
        <w:rPr>
          <w:rFonts w:ascii="Tahoma" w:hAnsi="Tahoma" w:cs="Tahoma"/>
          <w:sz w:val="18"/>
          <w:szCs w:val="18"/>
          <w:lang w:val="pt-BR"/>
        </w:rPr>
      </w:pPr>
    </w:p>
    <w:p w:rsidR="00223A77" w:rsidRPr="00653421" w:rsidRDefault="00223A77" w:rsidP="00E7500D">
      <w:pPr>
        <w:pStyle w:val="FootnoteBulletLevel2"/>
        <w:numPr>
          <w:ilvl w:val="0"/>
          <w:numId w:val="5"/>
        </w:numPr>
        <w:spacing w:before="0" w:after="60"/>
        <w:ind w:left="1440"/>
      </w:pPr>
      <w:r w:rsidRPr="00653421">
        <w:rPr>
          <w:rFonts w:ascii="Tahoma" w:hAnsi="Tahoma" w:cs="Tahoma"/>
          <w:sz w:val="18"/>
        </w:rPr>
        <w:t>Visual Studio Ultimate com MSDN</w:t>
      </w:r>
    </w:p>
    <w:p w:rsidR="00061A45" w:rsidRPr="00653421" w:rsidRDefault="00BE4D27" w:rsidP="00E7500D">
      <w:pPr>
        <w:pStyle w:val="FootnoteBulletLevel2"/>
        <w:numPr>
          <w:ilvl w:val="0"/>
          <w:numId w:val="5"/>
        </w:numPr>
        <w:spacing w:before="0" w:after="60"/>
        <w:ind w:left="1440"/>
      </w:pPr>
      <w:r w:rsidRPr="00653421">
        <w:rPr>
          <w:rFonts w:ascii="Tahoma" w:hAnsi="Tahoma" w:cs="Tahoma"/>
          <w:sz w:val="18"/>
        </w:rPr>
        <w:t>Visual Studio Premium com MSDN</w:t>
      </w:r>
    </w:p>
    <w:p w:rsidR="00223A77" w:rsidRPr="00653421" w:rsidRDefault="00223A77" w:rsidP="00E7500D">
      <w:pPr>
        <w:pStyle w:val="FootnoteBulletLevel2"/>
        <w:numPr>
          <w:ilvl w:val="0"/>
          <w:numId w:val="5"/>
        </w:numPr>
        <w:spacing w:before="0" w:after="60"/>
        <w:ind w:left="1440"/>
      </w:pPr>
      <w:r w:rsidRPr="00653421">
        <w:rPr>
          <w:rFonts w:ascii="Tahoma" w:hAnsi="Tahoma" w:cs="Tahoma"/>
          <w:sz w:val="18"/>
        </w:rPr>
        <w:t>Visual Studio Test Professional com MSDN</w:t>
      </w:r>
    </w:p>
    <w:p w:rsidR="00223A77" w:rsidRPr="00C50FD1" w:rsidRDefault="00223A77" w:rsidP="00E7500D">
      <w:pPr>
        <w:pStyle w:val="FootnoteBulletLevel2"/>
        <w:numPr>
          <w:ilvl w:val="0"/>
          <w:numId w:val="5"/>
        </w:numPr>
        <w:spacing w:before="0" w:after="60"/>
        <w:ind w:left="1440"/>
        <w:rPr>
          <w:lang w:val="pt-BR"/>
        </w:rPr>
      </w:pPr>
      <w:r w:rsidRPr="00C50FD1">
        <w:rPr>
          <w:rFonts w:ascii="Tahoma" w:hAnsi="Tahoma" w:cs="Tahoma"/>
          <w:sz w:val="18"/>
          <w:lang w:val="pt-BR"/>
        </w:rPr>
        <w:t>Clientes com uma assinatura de varejo ativa para qualquer um dos softwares acima</w:t>
      </w:r>
    </w:p>
    <w:p w:rsidR="00E7500D" w:rsidRPr="00C50FD1" w:rsidRDefault="00223A77" w:rsidP="00E7500D">
      <w:pPr>
        <w:pStyle w:val="FootnoteBulletLevel2"/>
        <w:tabs>
          <w:tab w:val="clear" w:pos="1260"/>
        </w:tabs>
        <w:spacing w:before="0"/>
        <w:ind w:left="720" w:firstLine="0"/>
        <w:rPr>
          <w:lang w:val="pt-BR"/>
        </w:rPr>
      </w:pPr>
      <w:r w:rsidRPr="00C50FD1">
        <w:rPr>
          <w:rFonts w:ascii="Tahoma" w:hAnsi="Tahoma" w:cs="Tahoma"/>
          <w:sz w:val="18"/>
          <w:lang w:val="pt-BR"/>
        </w:rPr>
        <w:lastRenderedPageBreak/>
        <w:t xml:space="preserve">Os clientes do Enterprise, Select ou Open Value com cobertura do Software Assurance ativa para o Visual Studio Test Professional 2012 com MSDN também podem fazer step-up para o Visual Studio Premium 2012 com MSDN por meio da aquisição das </w:t>
      </w:r>
      <w:hyperlink w:anchor="Step_Up" w:history="1">
        <w:r w:rsidRPr="00C50FD1">
          <w:rPr>
            <w:rFonts w:ascii="Tahoma" w:hAnsi="Tahoma" w:cs="Tahoma"/>
            <w:sz w:val="18"/>
            <w:lang w:val="pt-BR"/>
          </w:rPr>
          <w:t>SKUs de Step-up</w:t>
        </w:r>
      </w:hyperlink>
    </w:p>
    <w:p w:rsidR="00CF0D11" w:rsidRPr="00C50FD1" w:rsidRDefault="00CF0D11">
      <w:pPr>
        <w:rPr>
          <w:lang w:val="pt-BR"/>
        </w:rPr>
      </w:pPr>
    </w:p>
    <w:p w:rsidR="005C11D1" w:rsidRPr="00C50FD1" w:rsidRDefault="009B2474" w:rsidP="00864B8A">
      <w:pPr>
        <w:spacing w:after="60"/>
        <w:ind w:left="720"/>
        <w:rPr>
          <w:lang w:val="pt-BR"/>
        </w:rPr>
      </w:pPr>
      <w:r w:rsidRPr="00C50FD1">
        <w:rPr>
          <w:rFonts w:cs="Tahoma"/>
          <w:b/>
          <w:lang w:val="pt-BR"/>
        </w:rPr>
        <w:t>Serviços de Assinatura</w:t>
      </w:r>
    </w:p>
    <w:p w:rsidR="001051D1" w:rsidRPr="00C50FD1" w:rsidRDefault="005C11D1" w:rsidP="00E7500D">
      <w:pPr>
        <w:ind w:left="720"/>
        <w:rPr>
          <w:lang w:val="pt-BR"/>
        </w:rPr>
      </w:pPr>
      <w:r w:rsidRPr="00C50FD1">
        <w:rPr>
          <w:lang w:val="pt-BR"/>
        </w:rPr>
        <w:t>Os serviços de assinatura MSDN, que podem incluir downloads, chaves de produto, benefícios do Windows</w:t>
      </w:r>
      <w:r w:rsidR="00392523" w:rsidRPr="00C50FD1">
        <w:rPr>
          <w:lang w:val="pt-BR"/>
        </w:rPr>
        <w:t> </w:t>
      </w:r>
      <w:r w:rsidRPr="00C50FD1">
        <w:rPr>
          <w:lang w:val="pt-BR"/>
        </w:rPr>
        <w:t xml:space="preserve">Azure, </w:t>
      </w:r>
      <w:r w:rsidRPr="00C50FD1">
        <w:rPr>
          <w:rFonts w:cs="Tahoma"/>
          <w:lang w:val="pt-BR"/>
        </w:rPr>
        <w:t xml:space="preserve">benefícios do Office 365 Developer, </w:t>
      </w:r>
      <w:r w:rsidRPr="00C50FD1">
        <w:rPr>
          <w:lang w:val="pt-BR"/>
        </w:rPr>
        <w:t>e-learning, suporte técnico, benefícios do Windows</w:t>
      </w:r>
      <w:r w:rsidR="00392523" w:rsidRPr="00C50FD1">
        <w:rPr>
          <w:lang w:val="pt-BR"/>
        </w:rPr>
        <w:t> </w:t>
      </w:r>
      <w:r w:rsidRPr="00C50FD1">
        <w:rPr>
          <w:lang w:val="pt-BR"/>
        </w:rPr>
        <w:t>Store e outros serviços, só estarão disponíveis enquanto a assinatura estiver ativa.</w:t>
      </w:r>
      <w:bookmarkStart w:id="1124" w:name="_14_Operating_System"/>
      <w:bookmarkEnd w:id="1124"/>
    </w:p>
    <w:p w:rsidR="00E03856" w:rsidRPr="00C50FD1" w:rsidRDefault="001051D1">
      <w:pPr>
        <w:rPr>
          <w:lang w:val="pt-BR"/>
        </w:rPr>
      </w:pPr>
      <w:r w:rsidRPr="00C50FD1">
        <w:rPr>
          <w:lang w:val="pt-BR"/>
        </w:rPr>
        <w:br w:type="page"/>
      </w:r>
      <w:bookmarkStart w:id="1125" w:name="_Toc336338280"/>
    </w:p>
    <w:p w:rsidR="00023FE7" w:rsidRPr="00C50FD1" w:rsidRDefault="00023FE7" w:rsidP="002E57CF">
      <w:pPr>
        <w:pStyle w:val="Heading2"/>
        <w:ind w:left="0"/>
        <w:rPr>
          <w:lang w:val="pt-BR"/>
        </w:rPr>
      </w:pPr>
      <w:bookmarkStart w:id="1126" w:name="_Toc353470928"/>
      <w:r w:rsidRPr="00C50FD1">
        <w:rPr>
          <w:rFonts w:ascii="Tahoma" w:hAnsi="Tahoma" w:cs="Tahoma"/>
          <w:sz w:val="28"/>
          <w:lang w:val="pt-BR"/>
        </w:rPr>
        <w:lastRenderedPageBreak/>
        <w:t>Pool de Sistemas</w:t>
      </w:r>
      <w:bookmarkEnd w:id="1125"/>
      <w:bookmarkEnd w:id="1126"/>
    </w:p>
    <w:p w:rsidR="00023FE7" w:rsidRPr="00C50FD1" w:rsidRDefault="00023FE7">
      <w:pPr>
        <w:rPr>
          <w:sz w:val="16"/>
          <w:szCs w:val="16"/>
          <w:lang w:val="pt-BR"/>
        </w:rPr>
      </w:pPr>
    </w:p>
    <w:p w:rsidR="009C2B6B" w:rsidRPr="00C50FD1" w:rsidRDefault="009C2B6B">
      <w:pPr>
        <w:rPr>
          <w:sz w:val="16"/>
          <w:szCs w:val="16"/>
          <w:lang w:val="pt-BR"/>
        </w:rPr>
      </w:pPr>
    </w:p>
    <w:p w:rsidR="00E14FF2" w:rsidRPr="00C50FD1" w:rsidRDefault="004668D9" w:rsidP="00A53269">
      <w:pPr>
        <w:pStyle w:val="Heading3"/>
        <w:rPr>
          <w:lang w:val="pt-BR"/>
        </w:rPr>
      </w:pPr>
      <w:bookmarkStart w:id="1127" w:name="_24_Microsoft_Desktop"/>
      <w:bookmarkStart w:id="1128" w:name="_Toc336338283"/>
      <w:bookmarkStart w:id="1129" w:name="_Toc353470929"/>
      <w:bookmarkStart w:id="1130" w:name="Sys_21MDOPforSA"/>
      <w:bookmarkStart w:id="1131" w:name="Sys_25MDOPforSA"/>
      <w:bookmarkEnd w:id="1127"/>
      <w:r w:rsidRPr="00C50FD1">
        <w:rPr>
          <w:rFonts w:ascii="Tahoma" w:hAnsi="Tahoma"/>
          <w:caps/>
          <w:color w:val="F66400"/>
          <w:sz w:val="22"/>
          <w:vertAlign w:val="superscript"/>
          <w:lang w:val="pt-BR"/>
        </w:rPr>
        <w:t>24</w:t>
      </w:r>
      <w:r w:rsidRPr="00C50FD1">
        <w:rPr>
          <w:rFonts w:ascii="Tahoma" w:hAnsi="Tahoma"/>
          <w:color w:val="F66400"/>
          <w:sz w:val="22"/>
          <w:lang w:val="pt-BR"/>
        </w:rPr>
        <w:t xml:space="preserve"> Microsoft Desktop Optimization Pack para Software Assurance</w:t>
      </w:r>
      <w:bookmarkEnd w:id="1128"/>
      <w:bookmarkEnd w:id="1129"/>
    </w:p>
    <w:bookmarkEnd w:id="1130"/>
    <w:p w:rsidR="007A73DF" w:rsidRPr="00C50FD1" w:rsidRDefault="007A73DF" w:rsidP="00483B3D">
      <w:pPr>
        <w:rPr>
          <w:sz w:val="16"/>
          <w:szCs w:val="16"/>
          <w:lang w:val="pt-BR"/>
        </w:rPr>
      </w:pPr>
    </w:p>
    <w:p w:rsidR="00475147" w:rsidRPr="00C50FD1" w:rsidRDefault="0037362E" w:rsidP="00483B3D">
      <w:pPr>
        <w:ind w:left="720"/>
        <w:rPr>
          <w:lang w:val="pt-BR"/>
        </w:rPr>
      </w:pPr>
      <w:r w:rsidRPr="00C50FD1">
        <w:rPr>
          <w:rFonts w:eastAsia="Calibri" w:cs="Tahoma"/>
          <w:color w:val="000000"/>
          <w:szCs w:val="18"/>
          <w:lang w:val="pt-BR"/>
        </w:rPr>
        <w:t>Os Clientes que desejam adquirir o Microsoft Desktop Optimization Pack for Software Assurance (MDOP) devem primeiro adquirir e atribuir a seu desktop um dos seguintes:</w:t>
      </w:r>
    </w:p>
    <w:p w:rsidR="00676723" w:rsidRPr="00C50FD1" w:rsidRDefault="00676723" w:rsidP="00483B3D">
      <w:pPr>
        <w:ind w:left="720"/>
        <w:rPr>
          <w:sz w:val="16"/>
          <w:szCs w:val="16"/>
          <w:lang w:val="pt-BR"/>
        </w:rPr>
      </w:pPr>
    </w:p>
    <w:p w:rsidR="00475147" w:rsidRPr="00C50FD1" w:rsidRDefault="00475147" w:rsidP="00483B3D">
      <w:pPr>
        <w:numPr>
          <w:ilvl w:val="0"/>
          <w:numId w:val="63"/>
        </w:numPr>
        <w:tabs>
          <w:tab w:val="left" w:pos="1440"/>
        </w:tabs>
        <w:ind w:left="1440" w:hanging="446"/>
        <w:rPr>
          <w:lang w:val="pt-BR"/>
        </w:rPr>
      </w:pPr>
      <w:r w:rsidRPr="00C50FD1">
        <w:rPr>
          <w:rFonts w:eastAsia="Calibri" w:cs="Tahoma"/>
          <w:color w:val="000000"/>
          <w:szCs w:val="18"/>
          <w:lang w:val="pt-BR"/>
        </w:rPr>
        <w:t>Software Assurance ativo para o Sistema Operacional Windows Desktop ou</w:t>
      </w:r>
    </w:p>
    <w:p w:rsidR="00475147" w:rsidRPr="00C50FD1" w:rsidRDefault="00475147" w:rsidP="00483B3D">
      <w:pPr>
        <w:numPr>
          <w:ilvl w:val="0"/>
          <w:numId w:val="63"/>
        </w:numPr>
        <w:tabs>
          <w:tab w:val="left" w:pos="1440"/>
        </w:tabs>
        <w:ind w:left="1440" w:hanging="446"/>
        <w:rPr>
          <w:lang w:val="pt-BR"/>
        </w:rPr>
      </w:pPr>
      <w:r w:rsidRPr="00C50FD1">
        <w:rPr>
          <w:rFonts w:eastAsia="Calibri" w:cs="Tahoma"/>
          <w:color w:val="000000"/>
          <w:szCs w:val="18"/>
          <w:lang w:val="pt-BR"/>
        </w:rPr>
        <w:t>Uma licença do Windows Virtual Desktop Access ou</w:t>
      </w:r>
    </w:p>
    <w:p w:rsidR="00475147" w:rsidRPr="00C50FD1" w:rsidRDefault="00475147" w:rsidP="00483B3D">
      <w:pPr>
        <w:numPr>
          <w:ilvl w:val="0"/>
          <w:numId w:val="63"/>
        </w:numPr>
        <w:tabs>
          <w:tab w:val="left" w:pos="1440"/>
        </w:tabs>
        <w:ind w:left="1440" w:hanging="446"/>
        <w:rPr>
          <w:lang w:val="pt-BR"/>
        </w:rPr>
      </w:pPr>
      <w:r w:rsidRPr="00C50FD1">
        <w:rPr>
          <w:rFonts w:eastAsia="Calibri" w:cs="Tahoma"/>
          <w:color w:val="000000"/>
          <w:szCs w:val="18"/>
          <w:lang w:val="pt-BR"/>
        </w:rPr>
        <w:t xml:space="preserve">Uma assinatura ativa para Windows Intune </w:t>
      </w:r>
      <w:r w:rsidRPr="00C50FD1">
        <w:rPr>
          <w:rFonts w:cs="Tahoma"/>
          <w:szCs w:val="18"/>
          <w:lang w:val="pt-BR"/>
        </w:rPr>
        <w:t>(Por Dispositivo)</w:t>
      </w:r>
      <w:r w:rsidRPr="00C50FD1">
        <w:rPr>
          <w:rFonts w:eastAsia="Calibri" w:cs="Tahoma"/>
          <w:color w:val="000000"/>
          <w:szCs w:val="18"/>
          <w:lang w:val="pt-BR"/>
        </w:rPr>
        <w:t>.</w:t>
      </w:r>
    </w:p>
    <w:p w:rsidR="00475147" w:rsidRPr="00C50FD1" w:rsidRDefault="00475147" w:rsidP="00483B3D">
      <w:pPr>
        <w:spacing w:before="120"/>
        <w:ind w:left="720"/>
        <w:rPr>
          <w:lang w:val="pt-BR"/>
        </w:rPr>
      </w:pPr>
      <w:r w:rsidRPr="00C50FD1">
        <w:rPr>
          <w:rFonts w:eastAsia="Calibri" w:cs="Tahoma"/>
          <w:color w:val="000000"/>
          <w:szCs w:val="18"/>
          <w:lang w:val="pt-BR"/>
        </w:rPr>
        <w:t>Dispositivos cobertos pela Licença de Assinatura do Companion ativa também são permitidos.</w:t>
      </w:r>
    </w:p>
    <w:p w:rsidR="007A73DF" w:rsidRPr="00C50FD1" w:rsidRDefault="007A73DF" w:rsidP="00483B3D">
      <w:pPr>
        <w:ind w:left="720"/>
        <w:rPr>
          <w:sz w:val="16"/>
          <w:szCs w:val="16"/>
          <w:lang w:val="pt-BR"/>
        </w:rPr>
      </w:pPr>
    </w:p>
    <w:p w:rsidR="00F7027D" w:rsidRPr="00C50FD1" w:rsidRDefault="00F7027D" w:rsidP="00483B3D">
      <w:pPr>
        <w:ind w:left="720"/>
        <w:rPr>
          <w:lang w:val="pt-BR"/>
        </w:rPr>
      </w:pPr>
      <w:r w:rsidRPr="00C50FD1">
        <w:rPr>
          <w:rFonts w:eastAsia="Calibri" w:cs="Tahoma"/>
          <w:color w:val="000000"/>
          <w:szCs w:val="18"/>
          <w:lang w:val="pt-BR"/>
        </w:rPr>
        <w:t>Os clientes de Licenciamento por Volume com licenças ativas para o MDOP receberão os seguintes softwares (conforme forem disponibilizados).</w:t>
      </w:r>
    </w:p>
    <w:p w:rsidR="007A73DF" w:rsidRPr="00C50FD1" w:rsidRDefault="007A73DF" w:rsidP="00483B3D">
      <w:pPr>
        <w:ind w:left="720"/>
        <w:rPr>
          <w:sz w:val="16"/>
          <w:szCs w:val="16"/>
          <w:lang w:val="pt-BR"/>
        </w:rPr>
      </w:pPr>
    </w:p>
    <w:p w:rsidR="00E52A26" w:rsidRPr="00653421" w:rsidRDefault="00E52A26" w:rsidP="00483B3D">
      <w:pPr>
        <w:numPr>
          <w:ilvl w:val="0"/>
          <w:numId w:val="63"/>
        </w:numPr>
        <w:tabs>
          <w:tab w:val="left" w:pos="1440"/>
        </w:tabs>
        <w:spacing w:after="60"/>
        <w:ind w:left="1440" w:hanging="446"/>
      </w:pPr>
      <w:r w:rsidRPr="00653421">
        <w:rPr>
          <w:rFonts w:eastAsia="Calibri" w:cs="Tahoma"/>
          <w:color w:val="000000"/>
          <w:szCs w:val="18"/>
        </w:rPr>
        <w:t>Microsoft Application Virtualization para Windows Desktops (App-V)</w:t>
      </w:r>
    </w:p>
    <w:p w:rsidR="00E52A26" w:rsidRPr="00C50FD1" w:rsidRDefault="00E52A26" w:rsidP="00483B3D">
      <w:pPr>
        <w:numPr>
          <w:ilvl w:val="0"/>
          <w:numId w:val="63"/>
        </w:numPr>
        <w:tabs>
          <w:tab w:val="left" w:pos="1440"/>
        </w:tabs>
        <w:spacing w:after="60"/>
        <w:ind w:left="1440" w:hanging="446"/>
        <w:rPr>
          <w:lang w:val="pt-BR"/>
        </w:rPr>
      </w:pPr>
      <w:r w:rsidRPr="00C50FD1">
        <w:rPr>
          <w:rFonts w:eastAsia="Calibri" w:cs="Tahoma"/>
          <w:color w:val="000000"/>
          <w:szCs w:val="18"/>
          <w:lang w:val="pt-BR"/>
        </w:rPr>
        <w:t>Gerenciamento da Política do Grupo Avançado da Microsoft (AGPM)</w:t>
      </w:r>
    </w:p>
    <w:p w:rsidR="00E52A26" w:rsidRPr="00C50FD1" w:rsidRDefault="00E52A26" w:rsidP="00483B3D">
      <w:pPr>
        <w:numPr>
          <w:ilvl w:val="0"/>
          <w:numId w:val="63"/>
        </w:numPr>
        <w:tabs>
          <w:tab w:val="left" w:pos="1440"/>
        </w:tabs>
        <w:spacing w:after="60"/>
        <w:ind w:left="1440" w:hanging="446"/>
        <w:rPr>
          <w:lang w:val="pt-BR"/>
        </w:rPr>
      </w:pPr>
      <w:r w:rsidRPr="00C50FD1">
        <w:rPr>
          <w:rFonts w:eastAsia="Calibri" w:cs="Tahoma"/>
          <w:color w:val="000000"/>
          <w:szCs w:val="18"/>
          <w:lang w:val="pt-BR"/>
        </w:rPr>
        <w:t>Ferramentas de Diagnóstico e Recuperação da Microsoft (DART)</w:t>
      </w:r>
    </w:p>
    <w:p w:rsidR="00E52A26" w:rsidRPr="00653421" w:rsidRDefault="00E52A26" w:rsidP="00483B3D">
      <w:pPr>
        <w:numPr>
          <w:ilvl w:val="0"/>
          <w:numId w:val="63"/>
        </w:numPr>
        <w:tabs>
          <w:tab w:val="left" w:pos="1440"/>
        </w:tabs>
        <w:spacing w:after="60"/>
        <w:ind w:left="1440" w:hanging="446"/>
      </w:pPr>
      <w:r w:rsidRPr="00653421">
        <w:rPr>
          <w:rFonts w:eastAsia="Calibri" w:cs="Tahoma"/>
          <w:color w:val="000000"/>
          <w:szCs w:val="18"/>
        </w:rPr>
        <w:t>Microsoft Enterprise Desktop Virtualization (MED-V)</w:t>
      </w:r>
    </w:p>
    <w:p w:rsidR="00E52A26" w:rsidRPr="00653421" w:rsidRDefault="00E52A26" w:rsidP="00483B3D">
      <w:pPr>
        <w:numPr>
          <w:ilvl w:val="0"/>
          <w:numId w:val="63"/>
        </w:numPr>
        <w:tabs>
          <w:tab w:val="left" w:pos="1440"/>
        </w:tabs>
        <w:spacing w:after="60"/>
        <w:ind w:left="1440" w:hanging="446"/>
      </w:pPr>
      <w:r w:rsidRPr="00653421">
        <w:rPr>
          <w:rFonts w:eastAsia="Calibri" w:cs="Tahoma"/>
          <w:color w:val="000000"/>
          <w:szCs w:val="18"/>
        </w:rPr>
        <w:t>Microsoft BitLocker</w:t>
      </w:r>
      <w:r w:rsidRPr="00653421">
        <w:rPr>
          <w:rFonts w:eastAsia="Calibri" w:cs="Tahoma"/>
          <w:color w:val="000000"/>
          <w:szCs w:val="18"/>
          <w:vertAlign w:val="superscript"/>
        </w:rPr>
        <w:t>®</w:t>
      </w:r>
      <w:r w:rsidRPr="00653421">
        <w:rPr>
          <w:rFonts w:eastAsia="Calibri" w:cs="Tahoma"/>
          <w:color w:val="000000"/>
          <w:szCs w:val="18"/>
        </w:rPr>
        <w:t xml:space="preserve"> Administration and Monitoring (MBAM)</w:t>
      </w:r>
    </w:p>
    <w:p w:rsidR="00670296" w:rsidRPr="00653421" w:rsidRDefault="00670296" w:rsidP="00483B3D">
      <w:pPr>
        <w:numPr>
          <w:ilvl w:val="0"/>
          <w:numId w:val="63"/>
        </w:numPr>
        <w:tabs>
          <w:tab w:val="left" w:pos="1440"/>
        </w:tabs>
        <w:spacing w:after="60"/>
        <w:ind w:left="1440" w:hanging="446"/>
      </w:pPr>
      <w:r w:rsidRPr="00653421">
        <w:rPr>
          <w:rFonts w:eastAsia="Calibri" w:cs="Tahoma"/>
          <w:color w:val="000000"/>
          <w:szCs w:val="18"/>
        </w:rPr>
        <w:t>Microsoft User Experience Virtualization (UE-V)</w:t>
      </w:r>
    </w:p>
    <w:p w:rsidR="007A73DF" w:rsidRPr="00653421" w:rsidRDefault="007A73DF" w:rsidP="00483B3D">
      <w:pPr>
        <w:tabs>
          <w:tab w:val="left" w:pos="1440"/>
        </w:tabs>
        <w:ind w:left="994"/>
        <w:rPr>
          <w:sz w:val="16"/>
          <w:szCs w:val="16"/>
        </w:rPr>
      </w:pPr>
    </w:p>
    <w:p w:rsidR="007045C0" w:rsidRPr="00C50FD1" w:rsidRDefault="007045C0" w:rsidP="00483B3D">
      <w:pPr>
        <w:spacing w:after="60"/>
        <w:ind w:left="720"/>
        <w:rPr>
          <w:lang w:val="pt-BR"/>
        </w:rPr>
      </w:pPr>
      <w:r w:rsidRPr="00C50FD1">
        <w:rPr>
          <w:rFonts w:eastAsia="Calibri" w:cs="Tahoma"/>
          <w:b/>
          <w:color w:val="000000"/>
          <w:szCs w:val="18"/>
          <w:lang w:val="pt-BR"/>
        </w:rPr>
        <w:t>Licença de Assinatura do Windows Companion (CSL) e MDOP</w:t>
      </w:r>
    </w:p>
    <w:p w:rsidR="007045C0" w:rsidRPr="00C50FD1" w:rsidRDefault="007045C0" w:rsidP="00483B3D">
      <w:pPr>
        <w:tabs>
          <w:tab w:val="left" w:pos="1440"/>
        </w:tabs>
        <w:ind w:left="720"/>
        <w:rPr>
          <w:lang w:val="pt-BR"/>
        </w:rPr>
      </w:pPr>
      <w:r w:rsidRPr="00C50FD1">
        <w:rPr>
          <w:rFonts w:cs="Tahoma"/>
          <w:color w:val="000000"/>
          <w:szCs w:val="18"/>
          <w:lang w:val="pt-BR"/>
        </w:rPr>
        <w:t>Usuários Principais de um dispositivo cobertos com uma licença MDOP ativa e CSL pode acessar a</w:t>
      </w:r>
      <w:r w:rsidR="00CF0D11" w:rsidRPr="00C50FD1">
        <w:rPr>
          <w:rFonts w:cs="Tahoma"/>
          <w:color w:val="000000"/>
          <w:szCs w:val="18"/>
          <w:lang w:val="pt-BR"/>
        </w:rPr>
        <w:t> </w:t>
      </w:r>
      <w:r w:rsidRPr="00C50FD1">
        <w:rPr>
          <w:rFonts w:cs="Tahoma"/>
          <w:color w:val="000000"/>
          <w:szCs w:val="18"/>
          <w:lang w:val="pt-BR"/>
        </w:rPr>
        <w:t>funcionalidade MDOP por meio de seus Companion Devices sem a necessidade de comprar licenças MDOP</w:t>
      </w:r>
      <w:r w:rsidR="00CF0D11" w:rsidRPr="00C50FD1">
        <w:rPr>
          <w:rFonts w:cs="Tahoma"/>
          <w:color w:val="000000"/>
          <w:szCs w:val="18"/>
          <w:lang w:val="pt-BR"/>
        </w:rPr>
        <w:t> </w:t>
      </w:r>
      <w:r w:rsidRPr="00C50FD1">
        <w:rPr>
          <w:rFonts w:cs="Tahoma"/>
          <w:color w:val="000000"/>
          <w:szCs w:val="18"/>
          <w:lang w:val="pt-BR"/>
        </w:rPr>
        <w:t>adicionais para cada Companion Device.</w:t>
      </w:r>
    </w:p>
    <w:p w:rsidR="007045C0" w:rsidRPr="00C50FD1" w:rsidRDefault="007045C0" w:rsidP="00483B3D">
      <w:pPr>
        <w:tabs>
          <w:tab w:val="left" w:pos="1440"/>
        </w:tabs>
        <w:ind w:left="994"/>
        <w:rPr>
          <w:sz w:val="16"/>
          <w:szCs w:val="16"/>
          <w:lang w:val="pt-BR"/>
        </w:rPr>
      </w:pPr>
    </w:p>
    <w:p w:rsidR="0031394C" w:rsidRPr="00C50FD1" w:rsidRDefault="0031394C" w:rsidP="00483B3D">
      <w:pPr>
        <w:spacing w:after="60"/>
        <w:ind w:left="720"/>
        <w:rPr>
          <w:lang w:val="pt-BR"/>
        </w:rPr>
      </w:pPr>
      <w:r w:rsidRPr="00C50FD1">
        <w:rPr>
          <w:rFonts w:eastAsia="Calibri" w:cs="Tahoma"/>
          <w:b/>
          <w:color w:val="000000"/>
          <w:szCs w:val="18"/>
          <w:lang w:val="pt-BR"/>
        </w:rPr>
        <w:t>Oferta do Windows Intune (Por Dispositivo) para Clientes do Microsoft Desktop Optimization Pack (MDOP) que Usam o Asset Inventory Service</w:t>
      </w:r>
    </w:p>
    <w:p w:rsidR="00BB0250" w:rsidRPr="00C50FD1" w:rsidRDefault="00BB0250" w:rsidP="00483B3D">
      <w:pPr>
        <w:ind w:left="720"/>
        <w:rPr>
          <w:lang w:val="pt-BR"/>
        </w:rPr>
      </w:pPr>
      <w:r w:rsidRPr="00C50FD1">
        <w:rPr>
          <w:rFonts w:cs="Tahoma"/>
          <w:color w:val="000000"/>
          <w:szCs w:val="18"/>
          <w:lang w:val="pt-BR"/>
        </w:rPr>
        <w:t>O Asset Inventory Service (AIS) oferecido como parte do MDOP será descontinuado em 3 de abril de 2013. A partir dessa data, os clientes não terão mais acesso ao serviço.</w:t>
      </w:r>
      <w:r w:rsidR="005A52A2" w:rsidRPr="00C50FD1">
        <w:rPr>
          <w:rFonts w:cs="Tahoma"/>
          <w:color w:val="000000"/>
          <w:szCs w:val="18"/>
          <w:lang w:val="pt-BR"/>
        </w:rPr>
        <w:t xml:space="preserve"> </w:t>
      </w:r>
      <w:r w:rsidRPr="00C50FD1">
        <w:rPr>
          <w:rFonts w:cs="Tahoma"/>
          <w:color w:val="000000"/>
          <w:szCs w:val="18"/>
          <w:lang w:val="pt-BR"/>
        </w:rPr>
        <w:t xml:space="preserve">Os clientes MDOP com contas AIS ativas ativadas no Volume Licensing Service Center (Centro de Atendimento de Licenciamento por Volume) em ou antes de 30 de abril de 2012 terão a opção de mudar para e usar o serviço online Windows Intune </w:t>
      </w:r>
      <w:r w:rsidRPr="00C50FD1">
        <w:rPr>
          <w:rFonts w:cs="Tahoma"/>
          <w:szCs w:val="18"/>
          <w:lang w:val="pt-BR"/>
        </w:rPr>
        <w:t>(Por Dispositivo)</w:t>
      </w:r>
      <w:r w:rsidR="005A52A2" w:rsidRPr="00C50FD1">
        <w:rPr>
          <w:rFonts w:cs="Tahoma"/>
          <w:szCs w:val="18"/>
          <w:lang w:val="pt-BR"/>
        </w:rPr>
        <w:t xml:space="preserve"> </w:t>
      </w:r>
      <w:r w:rsidRPr="00C50FD1">
        <w:rPr>
          <w:color w:val="000000"/>
          <w:lang w:val="pt-BR"/>
        </w:rPr>
        <w:t xml:space="preserve">desde que o </w:t>
      </w:r>
      <w:r w:rsidRPr="00C50FD1">
        <w:rPr>
          <w:rFonts w:cs="Tahoma"/>
          <w:color w:val="000000"/>
          <w:szCs w:val="18"/>
          <w:lang w:val="pt-BR"/>
        </w:rPr>
        <w:t xml:space="preserve">Windows Intune </w:t>
      </w:r>
      <w:r w:rsidRPr="00C50FD1">
        <w:rPr>
          <w:rFonts w:cs="Tahoma"/>
          <w:szCs w:val="18"/>
          <w:lang w:val="pt-BR"/>
        </w:rPr>
        <w:t xml:space="preserve">(Por Dispositivo) </w:t>
      </w:r>
      <w:r w:rsidRPr="00C50FD1">
        <w:rPr>
          <w:color w:val="000000"/>
          <w:lang w:val="pt-BR"/>
        </w:rPr>
        <w:t>esteja comercialmente disponível no país do cliente.</w:t>
      </w:r>
      <w:r w:rsidR="005A52A2" w:rsidRPr="00C50FD1">
        <w:rPr>
          <w:color w:val="000000"/>
          <w:lang w:val="pt-BR"/>
        </w:rPr>
        <w:t xml:space="preserve"> </w:t>
      </w:r>
      <w:r w:rsidRPr="00C50FD1">
        <w:rPr>
          <w:color w:val="000000"/>
          <w:lang w:val="pt-BR"/>
        </w:rPr>
        <w:t xml:space="preserve">Uma lista de países nos quais o Windows Intune </w:t>
      </w:r>
      <w:r w:rsidRPr="00C50FD1">
        <w:rPr>
          <w:rFonts w:cs="Tahoma"/>
          <w:szCs w:val="18"/>
          <w:lang w:val="pt-BR"/>
        </w:rPr>
        <w:t xml:space="preserve">(Por Dispositivo) </w:t>
      </w:r>
      <w:r w:rsidRPr="00C50FD1">
        <w:rPr>
          <w:color w:val="000000"/>
          <w:lang w:val="pt-BR"/>
        </w:rPr>
        <w:t xml:space="preserve">está comercialmente disponível pode ser encontrada aqui: </w:t>
      </w:r>
      <w:hyperlink r:id="rId42" w:history="1">
        <w:r w:rsidRPr="00C50FD1">
          <w:rPr>
            <w:color w:val="0000FF"/>
            <w:u w:val="single"/>
            <w:lang w:val="pt-BR"/>
          </w:rPr>
          <w:t>www.microsoft.com/en-us/windows/windowsintune/faq/default.aspx</w:t>
        </w:r>
      </w:hyperlink>
      <w:r w:rsidRPr="00C50FD1">
        <w:rPr>
          <w:color w:val="0000FF"/>
          <w:lang w:val="pt-BR"/>
        </w:rPr>
        <w:t>.</w:t>
      </w:r>
    </w:p>
    <w:p w:rsidR="007A73DF" w:rsidRPr="00C50FD1" w:rsidRDefault="007A73DF" w:rsidP="00483B3D">
      <w:pPr>
        <w:ind w:left="720"/>
        <w:rPr>
          <w:sz w:val="16"/>
          <w:szCs w:val="16"/>
          <w:lang w:val="pt-BR"/>
        </w:rPr>
      </w:pPr>
    </w:p>
    <w:p w:rsidR="007A73DF" w:rsidRPr="00653421" w:rsidRDefault="0031394C" w:rsidP="00483B3D">
      <w:pPr>
        <w:spacing w:after="60"/>
        <w:ind w:left="720"/>
      </w:pPr>
      <w:r w:rsidRPr="00653421">
        <w:rPr>
          <w:rFonts w:eastAsia="Calibri" w:cs="Tahoma"/>
          <w:b/>
          <w:color w:val="000000"/>
          <w:szCs w:val="18"/>
        </w:rPr>
        <w:t>Detalhes da Oferta</w:t>
      </w:r>
    </w:p>
    <w:p w:rsidR="0031394C" w:rsidRPr="00C50FD1" w:rsidRDefault="0031394C" w:rsidP="00483B3D">
      <w:pPr>
        <w:numPr>
          <w:ilvl w:val="1"/>
          <w:numId w:val="100"/>
        </w:numPr>
        <w:spacing w:after="60"/>
        <w:rPr>
          <w:lang w:val="pt-BR"/>
        </w:rPr>
      </w:pPr>
      <w:r w:rsidRPr="00C50FD1">
        <w:rPr>
          <w:rFonts w:eastAsia="Calibri" w:cs="Tahoma"/>
          <w:color w:val="000000"/>
          <w:szCs w:val="18"/>
          <w:lang w:val="pt-BR"/>
        </w:rPr>
        <w:t>Esta oferta pode ser aceita a qualquer momento entre 3 de abril de 2012 e a expiração da assinatura MDOP atual dos clientes.</w:t>
      </w:r>
    </w:p>
    <w:p w:rsidR="0031394C" w:rsidRPr="00C50FD1" w:rsidRDefault="0031394C" w:rsidP="00483B3D">
      <w:pPr>
        <w:numPr>
          <w:ilvl w:val="1"/>
          <w:numId w:val="100"/>
        </w:numPr>
        <w:spacing w:after="60"/>
        <w:rPr>
          <w:lang w:val="pt-BR"/>
        </w:rPr>
      </w:pPr>
      <w:r w:rsidRPr="00C50FD1">
        <w:rPr>
          <w:rFonts w:eastAsia="Calibri" w:cs="Tahoma"/>
          <w:color w:val="000000"/>
          <w:szCs w:val="18"/>
          <w:lang w:val="pt-BR"/>
        </w:rPr>
        <w:t xml:space="preserve">Para aceitar a oferta, os clientes devem (1) criar uma conta de avaliação do Windows Intune </w:t>
      </w:r>
      <w:r w:rsidRPr="00C50FD1">
        <w:rPr>
          <w:rFonts w:cs="Tahoma"/>
          <w:szCs w:val="18"/>
          <w:lang w:val="pt-BR"/>
        </w:rPr>
        <w:t>(Por</w:t>
      </w:r>
      <w:r w:rsidR="00791C64" w:rsidRPr="00C50FD1">
        <w:rPr>
          <w:rFonts w:cs="Tahoma"/>
          <w:szCs w:val="18"/>
          <w:lang w:val="pt-BR"/>
        </w:rPr>
        <w:t> </w:t>
      </w:r>
      <w:r w:rsidRPr="00C50FD1">
        <w:rPr>
          <w:rFonts w:cs="Tahoma"/>
          <w:szCs w:val="18"/>
          <w:lang w:val="pt-BR"/>
        </w:rPr>
        <w:t xml:space="preserve">Dispositivo) </w:t>
      </w:r>
      <w:r w:rsidRPr="00C50FD1">
        <w:rPr>
          <w:rFonts w:eastAsia="Calibri" w:cs="Tahoma"/>
          <w:color w:val="000000"/>
          <w:szCs w:val="18"/>
          <w:lang w:val="pt-BR"/>
        </w:rPr>
        <w:t>acessando o site http://www.microsoft.com/en-us/windows/windowsintune/</w:t>
      </w:r>
      <w:r w:rsidR="00392523" w:rsidRPr="00C50FD1">
        <w:rPr>
          <w:rFonts w:eastAsia="Calibri" w:cs="Tahoma"/>
          <w:color w:val="000000"/>
          <w:szCs w:val="18"/>
          <w:lang w:val="pt-BR"/>
        </w:rPr>
        <w:br/>
      </w:r>
      <w:r w:rsidRPr="00C50FD1">
        <w:rPr>
          <w:rFonts w:eastAsia="Calibri" w:cs="Tahoma"/>
          <w:color w:val="000000"/>
          <w:szCs w:val="18"/>
          <w:lang w:val="pt-BR"/>
        </w:rPr>
        <w:t>try-and-buy.aspx e, em seguida, (2) enviar o formulário de aceitação da oferta no site http://go.microsoft.com/fwlink/?LinkID=242876.</w:t>
      </w:r>
    </w:p>
    <w:p w:rsidR="0031394C" w:rsidRPr="00C50FD1" w:rsidRDefault="0031394C" w:rsidP="00483B3D">
      <w:pPr>
        <w:numPr>
          <w:ilvl w:val="1"/>
          <w:numId w:val="100"/>
        </w:numPr>
        <w:spacing w:after="60"/>
        <w:rPr>
          <w:lang w:val="pt-BR"/>
        </w:rPr>
      </w:pPr>
      <w:r w:rsidRPr="00C50FD1">
        <w:rPr>
          <w:rFonts w:eastAsia="Calibri" w:cs="Tahoma"/>
          <w:color w:val="000000"/>
          <w:szCs w:val="18"/>
          <w:lang w:val="pt-BR"/>
        </w:rPr>
        <w:t xml:space="preserve">O acesso e o uso do Windows Intune </w:t>
      </w:r>
      <w:r w:rsidRPr="00C50FD1">
        <w:rPr>
          <w:rFonts w:cs="Tahoma"/>
          <w:szCs w:val="18"/>
          <w:lang w:val="pt-BR"/>
        </w:rPr>
        <w:t xml:space="preserve">(Por Dispositivo) </w:t>
      </w:r>
      <w:r w:rsidRPr="00C50FD1">
        <w:rPr>
          <w:rFonts w:eastAsia="Calibri" w:cs="Tahoma"/>
          <w:color w:val="000000"/>
          <w:szCs w:val="18"/>
          <w:lang w:val="pt-BR"/>
        </w:rPr>
        <w:t>concedido por esta oferta expirará no término da assinatura MDOP do cliente.</w:t>
      </w:r>
    </w:p>
    <w:p w:rsidR="0031394C" w:rsidRPr="00C50FD1" w:rsidRDefault="0031394C" w:rsidP="00483B3D">
      <w:pPr>
        <w:numPr>
          <w:ilvl w:val="1"/>
          <w:numId w:val="100"/>
        </w:numPr>
        <w:spacing w:after="60"/>
        <w:rPr>
          <w:lang w:val="pt-BR"/>
        </w:rPr>
      </w:pPr>
      <w:r w:rsidRPr="00C50FD1">
        <w:rPr>
          <w:rFonts w:eastAsia="Calibri" w:cs="Tahoma"/>
          <w:color w:val="000000"/>
          <w:szCs w:val="18"/>
          <w:lang w:val="pt-BR"/>
        </w:rPr>
        <w:t>Os termos e as condições dos contratos dos clientes, os Termos Universais de Licença dos Direitos de Uso do Produto e os Termos Gerais de Licença da seção Serviços Online dos Direitos de Uso do Produto regem o uso do serviço.</w:t>
      </w:r>
    </w:p>
    <w:p w:rsidR="0031394C" w:rsidRPr="00C50FD1" w:rsidRDefault="0031394C" w:rsidP="00483B3D">
      <w:pPr>
        <w:numPr>
          <w:ilvl w:val="1"/>
          <w:numId w:val="100"/>
        </w:numPr>
        <w:spacing w:after="60"/>
        <w:rPr>
          <w:lang w:val="pt-BR"/>
        </w:rPr>
      </w:pPr>
      <w:r w:rsidRPr="00C50FD1">
        <w:rPr>
          <w:rFonts w:eastAsia="Calibri" w:cs="Tahoma"/>
          <w:color w:val="000000"/>
          <w:szCs w:val="18"/>
          <w:lang w:val="pt-BR"/>
        </w:rPr>
        <w:t xml:space="preserve">O número de dispositivos a partir do qual um cliente está qualificado para acessar o Windows Intune </w:t>
      </w:r>
      <w:r w:rsidRPr="00C50FD1">
        <w:rPr>
          <w:rFonts w:cs="Tahoma"/>
          <w:szCs w:val="18"/>
          <w:lang w:val="pt-BR"/>
        </w:rPr>
        <w:t>(Por Dispositivo)</w:t>
      </w:r>
      <w:r w:rsidRPr="00C50FD1">
        <w:rPr>
          <w:rFonts w:eastAsia="Calibri" w:cs="Tahoma"/>
          <w:color w:val="000000"/>
          <w:szCs w:val="18"/>
          <w:lang w:val="pt-BR"/>
        </w:rPr>
        <w:t xml:space="preserve"> sob esta oferta é igual ao número total de assinatura do AIS do cliente no</w:t>
      </w:r>
      <w:r w:rsidR="00791C64" w:rsidRPr="00C50FD1">
        <w:rPr>
          <w:rFonts w:eastAsia="Calibri" w:cs="Tahoma"/>
          <w:color w:val="000000"/>
          <w:szCs w:val="18"/>
          <w:lang w:val="pt-BR"/>
        </w:rPr>
        <w:t> </w:t>
      </w:r>
      <w:r w:rsidRPr="00C50FD1">
        <w:rPr>
          <w:rFonts w:eastAsia="Calibri" w:cs="Tahoma"/>
          <w:color w:val="000000"/>
          <w:szCs w:val="18"/>
          <w:lang w:val="pt-BR"/>
        </w:rPr>
        <w:t xml:space="preserve">momento em que o cliente aceita esta oferta do Windows Intune </w:t>
      </w:r>
      <w:r w:rsidRPr="00C50FD1">
        <w:rPr>
          <w:rFonts w:cs="Tahoma"/>
          <w:szCs w:val="18"/>
          <w:lang w:val="pt-BR"/>
        </w:rPr>
        <w:t>(Por Dispositivo)</w:t>
      </w:r>
      <w:r w:rsidRPr="00C50FD1">
        <w:rPr>
          <w:rFonts w:eastAsia="Calibri" w:cs="Tahoma"/>
          <w:color w:val="000000"/>
          <w:szCs w:val="18"/>
          <w:lang w:val="pt-BR"/>
        </w:rPr>
        <w:t>.</w:t>
      </w:r>
      <w:r w:rsidR="005A52A2" w:rsidRPr="00C50FD1">
        <w:rPr>
          <w:rFonts w:eastAsia="Calibri" w:cs="Tahoma"/>
          <w:color w:val="000000"/>
          <w:szCs w:val="18"/>
          <w:lang w:val="pt-BR"/>
        </w:rPr>
        <w:t xml:space="preserve"> </w:t>
      </w:r>
      <w:r w:rsidRPr="00C50FD1">
        <w:rPr>
          <w:rFonts w:eastAsia="Calibri" w:cs="Tahoma"/>
          <w:color w:val="000000"/>
          <w:szCs w:val="18"/>
          <w:lang w:val="pt-BR"/>
        </w:rPr>
        <w:t>O número de AIS adicionado a uma conta ativa a qualquer momento até o momento em que o cliente aceitar</w:t>
      </w:r>
      <w:r w:rsidR="00791C64" w:rsidRPr="00C50FD1">
        <w:rPr>
          <w:rFonts w:eastAsia="Calibri" w:cs="Tahoma"/>
          <w:color w:val="000000"/>
          <w:szCs w:val="18"/>
          <w:lang w:val="pt-BR"/>
        </w:rPr>
        <w:t> </w:t>
      </w:r>
      <w:r w:rsidRPr="00C50FD1">
        <w:rPr>
          <w:rFonts w:eastAsia="Calibri" w:cs="Tahoma"/>
          <w:color w:val="000000"/>
          <w:szCs w:val="18"/>
          <w:lang w:val="pt-BR"/>
        </w:rPr>
        <w:t>a oferta do Windows</w:t>
      </w:r>
      <w:r w:rsidRPr="00C50FD1">
        <w:rPr>
          <w:rFonts w:eastAsia="Calibri" w:cs="Tahoma"/>
          <w:color w:val="000000"/>
          <w:szCs w:val="18"/>
          <w:vertAlign w:val="superscript"/>
          <w:lang w:val="pt-BR"/>
        </w:rPr>
        <w:t>®</w:t>
      </w:r>
      <w:r w:rsidRPr="00C50FD1">
        <w:rPr>
          <w:rFonts w:eastAsia="Calibri" w:cs="Tahoma"/>
          <w:color w:val="000000"/>
          <w:szCs w:val="18"/>
          <w:lang w:val="pt-BR"/>
        </w:rPr>
        <w:t xml:space="preserve"> Intune será incluído na conta.</w:t>
      </w:r>
    </w:p>
    <w:p w:rsidR="0031394C" w:rsidRPr="00C50FD1" w:rsidRDefault="0031394C" w:rsidP="00483B3D">
      <w:pPr>
        <w:numPr>
          <w:ilvl w:val="1"/>
          <w:numId w:val="100"/>
        </w:numPr>
        <w:spacing w:after="60"/>
        <w:rPr>
          <w:lang w:val="pt-BR"/>
        </w:rPr>
      </w:pPr>
      <w:r w:rsidRPr="00C50FD1">
        <w:rPr>
          <w:rFonts w:eastAsia="Calibri" w:cs="Tahoma"/>
          <w:color w:val="000000"/>
          <w:szCs w:val="18"/>
          <w:lang w:val="pt-BR"/>
        </w:rPr>
        <w:lastRenderedPageBreak/>
        <w:t xml:space="preserve">O número de MDOP adquirido depois que um cliente aceita esta oferta do Windows Intune </w:t>
      </w:r>
      <w:r w:rsidRPr="00C50FD1">
        <w:rPr>
          <w:rFonts w:cs="Tahoma"/>
          <w:szCs w:val="18"/>
          <w:lang w:val="pt-BR"/>
        </w:rPr>
        <w:t>(Por</w:t>
      </w:r>
      <w:r w:rsidR="00791C64" w:rsidRPr="00C50FD1">
        <w:rPr>
          <w:rFonts w:cs="Tahoma"/>
          <w:szCs w:val="18"/>
          <w:lang w:val="pt-BR"/>
        </w:rPr>
        <w:t> </w:t>
      </w:r>
      <w:r w:rsidRPr="00C50FD1">
        <w:rPr>
          <w:rFonts w:cs="Tahoma"/>
          <w:szCs w:val="18"/>
          <w:lang w:val="pt-BR"/>
        </w:rPr>
        <w:t>Dispositivo)</w:t>
      </w:r>
      <w:r w:rsidRPr="00C50FD1">
        <w:rPr>
          <w:rFonts w:eastAsia="Calibri" w:cs="Tahoma"/>
          <w:color w:val="000000"/>
          <w:szCs w:val="18"/>
          <w:lang w:val="pt-BR"/>
        </w:rPr>
        <w:t xml:space="preserve">, incluindo as licenças adquiridas por meio do processo de adequação (“true-up”) sob seu contrato de licenciamento por volume não será qualificado para acessar o Windows Intune </w:t>
      </w:r>
      <w:r w:rsidRPr="00C50FD1">
        <w:rPr>
          <w:rFonts w:cs="Tahoma"/>
          <w:szCs w:val="18"/>
          <w:lang w:val="pt-BR"/>
        </w:rPr>
        <w:t xml:space="preserve">(Por Dispositivo) </w:t>
      </w:r>
      <w:r w:rsidRPr="00C50FD1">
        <w:rPr>
          <w:rFonts w:eastAsia="Calibri" w:cs="Tahoma"/>
          <w:color w:val="000000"/>
          <w:szCs w:val="18"/>
          <w:lang w:val="pt-BR"/>
        </w:rPr>
        <w:t xml:space="preserve">sob esta oferta. Se um cliente desejar acessar o Windows Intune </w:t>
      </w:r>
      <w:r w:rsidRPr="00C50FD1">
        <w:rPr>
          <w:rFonts w:cs="Tahoma"/>
          <w:szCs w:val="18"/>
          <w:lang w:val="pt-BR"/>
        </w:rPr>
        <w:t>(Por Dispositivo)</w:t>
      </w:r>
      <w:r w:rsidRPr="00C50FD1">
        <w:rPr>
          <w:rFonts w:eastAsia="Calibri" w:cs="Tahoma"/>
          <w:color w:val="000000"/>
          <w:szCs w:val="18"/>
          <w:lang w:val="pt-BR"/>
        </w:rPr>
        <w:t xml:space="preserve"> a partir de um número de dispositivos além do número permitido sob esta oferta, eles precisarão adquirir separadamente licenças adicionais.</w:t>
      </w:r>
    </w:p>
    <w:p w:rsidR="005403C8" w:rsidRPr="00C50FD1" w:rsidRDefault="0031394C" w:rsidP="00483B3D">
      <w:pPr>
        <w:numPr>
          <w:ilvl w:val="1"/>
          <w:numId w:val="100"/>
        </w:numPr>
        <w:spacing w:after="60"/>
        <w:rPr>
          <w:lang w:val="pt-BR"/>
        </w:rPr>
      </w:pPr>
      <w:r w:rsidRPr="00C50FD1">
        <w:rPr>
          <w:rFonts w:eastAsia="Calibri" w:cs="Tahoma"/>
          <w:color w:val="000000"/>
          <w:szCs w:val="18"/>
          <w:lang w:val="pt-BR"/>
        </w:rPr>
        <w:t xml:space="preserve">Os direitos de acesso ao Windows Intune </w:t>
      </w:r>
      <w:r w:rsidRPr="00C50FD1">
        <w:rPr>
          <w:rFonts w:cs="Tahoma"/>
          <w:szCs w:val="18"/>
          <w:lang w:val="pt-BR"/>
        </w:rPr>
        <w:t>(Por Dispositivo)</w:t>
      </w:r>
      <w:r w:rsidRPr="00C50FD1">
        <w:rPr>
          <w:rFonts w:eastAsia="Calibri" w:cs="Tahoma"/>
          <w:color w:val="000000"/>
          <w:szCs w:val="18"/>
          <w:lang w:val="pt-BR"/>
        </w:rPr>
        <w:t xml:space="preserve"> sob esta oferta não incluem qualquer direito de usar o sistema operacional do desktop do Windows.</w:t>
      </w:r>
      <w:r w:rsidR="005A52A2" w:rsidRPr="00C50FD1">
        <w:rPr>
          <w:rFonts w:eastAsia="Calibri" w:cs="Tahoma"/>
          <w:color w:val="000000"/>
          <w:szCs w:val="18"/>
          <w:lang w:val="pt-BR"/>
        </w:rPr>
        <w:t xml:space="preserve"> </w:t>
      </w:r>
      <w:bookmarkStart w:id="1132" w:name="_24_Windows®_Companion"/>
      <w:bookmarkStart w:id="1133" w:name="_24_Windows®_8"/>
      <w:bookmarkStart w:id="1134" w:name="Sys_22WindowsPartnersLearning"/>
      <w:bookmarkEnd w:id="1131"/>
      <w:bookmarkEnd w:id="1132"/>
      <w:bookmarkEnd w:id="1133"/>
    </w:p>
    <w:p w:rsidR="00810479" w:rsidRPr="00C50FD1" w:rsidRDefault="00810479" w:rsidP="007A73DF">
      <w:pPr>
        <w:contextualSpacing/>
        <w:rPr>
          <w:sz w:val="16"/>
          <w:szCs w:val="16"/>
          <w:lang w:val="pt-BR"/>
        </w:rPr>
      </w:pPr>
    </w:p>
    <w:p w:rsidR="00483B3D" w:rsidRPr="00C50FD1" w:rsidRDefault="00483B3D" w:rsidP="007A73DF">
      <w:pPr>
        <w:contextualSpacing/>
        <w:rPr>
          <w:sz w:val="16"/>
          <w:szCs w:val="16"/>
          <w:lang w:val="pt-BR"/>
        </w:rPr>
      </w:pPr>
    </w:p>
    <w:p w:rsidR="00483B3D" w:rsidRPr="00C50FD1" w:rsidRDefault="004668D9" w:rsidP="00483B3D">
      <w:pPr>
        <w:pStyle w:val="Heading3"/>
        <w:rPr>
          <w:lang w:val="pt-BR"/>
        </w:rPr>
      </w:pPr>
      <w:bookmarkStart w:id="1135" w:name="_25_Licença_de"/>
      <w:bookmarkStart w:id="1136" w:name="_Toc336338281"/>
      <w:bookmarkStart w:id="1137" w:name="_Toc353470930"/>
      <w:bookmarkEnd w:id="1135"/>
      <w:r w:rsidRPr="00C50FD1">
        <w:rPr>
          <w:rFonts w:ascii="Tahoma" w:hAnsi="Tahoma"/>
          <w:caps/>
          <w:color w:val="F66400"/>
          <w:sz w:val="22"/>
          <w:vertAlign w:val="superscript"/>
          <w:lang w:val="pt-BR"/>
        </w:rPr>
        <w:t>25</w:t>
      </w:r>
      <w:r w:rsidRPr="00C50FD1">
        <w:rPr>
          <w:rFonts w:ascii="Tahoma" w:hAnsi="Tahoma"/>
          <w:caps/>
          <w:color w:val="F66400"/>
          <w:sz w:val="22"/>
          <w:lang w:val="pt-BR"/>
        </w:rPr>
        <w:t xml:space="preserve"> </w:t>
      </w:r>
      <w:r w:rsidRPr="00C50FD1">
        <w:rPr>
          <w:rFonts w:ascii="Tahoma" w:hAnsi="Tahoma"/>
          <w:color w:val="F66400"/>
          <w:sz w:val="22"/>
          <w:lang w:val="pt-BR"/>
        </w:rPr>
        <w:t>Licença de Assinatura do Windows</w:t>
      </w:r>
      <w:r w:rsidRPr="00C50FD1">
        <w:rPr>
          <w:rFonts w:ascii="Tahoma" w:hAnsi="Tahoma"/>
          <w:color w:val="F66400"/>
          <w:sz w:val="22"/>
          <w:vertAlign w:val="superscript"/>
          <w:lang w:val="pt-BR"/>
        </w:rPr>
        <w:t>®</w:t>
      </w:r>
      <w:r w:rsidRPr="00C50FD1">
        <w:rPr>
          <w:rFonts w:ascii="Tahoma" w:hAnsi="Tahoma"/>
          <w:color w:val="F66400"/>
          <w:sz w:val="22"/>
          <w:lang w:val="pt-BR"/>
        </w:rPr>
        <w:t xml:space="preserve"> Companion</w:t>
      </w:r>
      <w:bookmarkEnd w:id="1136"/>
      <w:bookmarkEnd w:id="1137"/>
    </w:p>
    <w:p w:rsidR="00483B3D" w:rsidRPr="00C50FD1" w:rsidRDefault="00483B3D" w:rsidP="00483B3D">
      <w:pPr>
        <w:rPr>
          <w:sz w:val="16"/>
          <w:szCs w:val="16"/>
          <w:lang w:val="pt-BR"/>
        </w:rPr>
      </w:pPr>
    </w:p>
    <w:p w:rsidR="00483B3D" w:rsidRPr="00C50FD1" w:rsidRDefault="00483B3D" w:rsidP="00483B3D">
      <w:pPr>
        <w:spacing w:after="60"/>
        <w:ind w:left="720"/>
        <w:rPr>
          <w:lang w:val="pt-BR"/>
        </w:rPr>
      </w:pPr>
      <w:r w:rsidRPr="00C50FD1">
        <w:rPr>
          <w:b/>
          <w:color w:val="000000"/>
          <w:lang w:val="pt-BR"/>
        </w:rPr>
        <w:t>Instituições com um Contrato School</w:t>
      </w:r>
    </w:p>
    <w:p w:rsidR="00483B3D" w:rsidRPr="00C50FD1" w:rsidRDefault="00483B3D" w:rsidP="00483B3D">
      <w:pPr>
        <w:ind w:left="720"/>
        <w:rPr>
          <w:lang w:val="pt-BR"/>
        </w:rPr>
      </w:pPr>
      <w:r w:rsidRPr="00C50FD1">
        <w:rPr>
          <w:color w:val="000000"/>
          <w:lang w:val="pt-BR"/>
        </w:rPr>
        <w:t>As Instituições podem comprar a Licença de Assinatura do Windows Companion (CSL) se elas tiverem cobertura para os produtos qualificados.</w:t>
      </w:r>
      <w:r w:rsidR="005A52A2" w:rsidRPr="00C50FD1">
        <w:rPr>
          <w:color w:val="000000"/>
          <w:lang w:val="pt-BR"/>
        </w:rPr>
        <w:t xml:space="preserve"> </w:t>
      </w:r>
      <w:r w:rsidRPr="00C50FD1">
        <w:rPr>
          <w:color w:val="000000"/>
          <w:lang w:val="pt-BR"/>
        </w:rPr>
        <w:t>A quantidade máxima de CSLs que podem ser compradas é igual à</w:t>
      </w:r>
      <w:r w:rsidR="00791C64" w:rsidRPr="00C50FD1">
        <w:rPr>
          <w:color w:val="000000"/>
          <w:lang w:val="pt-BR"/>
        </w:rPr>
        <w:t> </w:t>
      </w:r>
      <w:r w:rsidRPr="00C50FD1">
        <w:rPr>
          <w:color w:val="000000"/>
          <w:lang w:val="pt-BR"/>
        </w:rPr>
        <w:t>contagem de PC Qualificado da instituição dos produtos qualificados.</w:t>
      </w:r>
    </w:p>
    <w:p w:rsidR="00483B3D" w:rsidRPr="00C50FD1" w:rsidRDefault="00483B3D" w:rsidP="00483B3D">
      <w:pPr>
        <w:rPr>
          <w:sz w:val="16"/>
          <w:szCs w:val="16"/>
          <w:lang w:val="pt-BR"/>
        </w:rPr>
      </w:pPr>
    </w:p>
    <w:p w:rsidR="00483B3D" w:rsidRPr="00C50FD1" w:rsidRDefault="00483B3D" w:rsidP="00483B3D">
      <w:pPr>
        <w:spacing w:after="60"/>
        <w:ind w:left="720"/>
        <w:rPr>
          <w:lang w:val="pt-BR"/>
        </w:rPr>
      </w:pPr>
      <w:r w:rsidRPr="00C50FD1">
        <w:rPr>
          <w:b/>
          <w:color w:val="000000"/>
          <w:lang w:val="pt-BR"/>
        </w:rPr>
        <w:t>Companion Devices e Dispositivos Qualificados</w:t>
      </w:r>
    </w:p>
    <w:p w:rsidR="00483B3D" w:rsidRPr="00C50FD1" w:rsidRDefault="00483B3D" w:rsidP="00483B3D">
      <w:pPr>
        <w:ind w:left="720"/>
        <w:rPr>
          <w:lang w:val="pt-BR"/>
        </w:rPr>
      </w:pPr>
      <w:r w:rsidRPr="00C50FD1">
        <w:rPr>
          <w:color w:val="000000"/>
          <w:lang w:val="pt-BR"/>
        </w:rPr>
        <w:t>Os Companion Devices que usam os direitos de uso fornecidos pelo CSL são Dispositivos Qualificados.</w:t>
      </w:r>
      <w:r w:rsidR="005A52A2" w:rsidRPr="00C50FD1">
        <w:rPr>
          <w:color w:val="000000"/>
          <w:lang w:val="pt-BR"/>
        </w:rPr>
        <w:t xml:space="preserve"> </w:t>
      </w:r>
      <w:r w:rsidRPr="00C50FD1">
        <w:rPr>
          <w:color w:val="000000"/>
          <w:lang w:val="pt-BR"/>
        </w:rPr>
        <w:t>O</w:t>
      </w:r>
      <w:r w:rsidR="00791C64" w:rsidRPr="00C50FD1">
        <w:rPr>
          <w:color w:val="000000"/>
          <w:lang w:val="pt-BR"/>
        </w:rPr>
        <w:t> </w:t>
      </w:r>
      <w:r w:rsidRPr="00C50FD1">
        <w:rPr>
          <w:color w:val="000000"/>
          <w:lang w:val="pt-BR"/>
        </w:rPr>
        <w:t>CSL é um Produto Enterprise e, portanto, preenche a parte dos Sistemas de qualquer compromisso de compra de Dispositivos Qualificados.</w:t>
      </w:r>
      <w:r w:rsidR="005A52A2" w:rsidRPr="00C50FD1">
        <w:rPr>
          <w:color w:val="000000"/>
          <w:lang w:val="pt-BR"/>
        </w:rPr>
        <w:t xml:space="preserve"> </w:t>
      </w:r>
      <w:r w:rsidRPr="00C50FD1">
        <w:rPr>
          <w:color w:val="000000"/>
          <w:lang w:val="pt-BR"/>
        </w:rPr>
        <w:t>O CSL pode ser adquirido em qualquer quantidade e não precisa ser</w:t>
      </w:r>
      <w:r w:rsidR="00791C64" w:rsidRPr="00C50FD1">
        <w:rPr>
          <w:color w:val="000000"/>
          <w:lang w:val="pt-BR"/>
        </w:rPr>
        <w:t> </w:t>
      </w:r>
      <w:r w:rsidRPr="00C50FD1">
        <w:rPr>
          <w:color w:val="000000"/>
          <w:lang w:val="pt-BR"/>
        </w:rPr>
        <w:t xml:space="preserve">comprado para todos os Dispositivos </w:t>
      </w:r>
      <w:r w:rsidRPr="00C50FD1">
        <w:rPr>
          <w:lang w:val="pt-BR"/>
        </w:rPr>
        <w:t>Qualificados de uma organização, mas de nenhuma forma a contagem de CSL pode exceder a combinação de todas as contagens de Licença VDA e Windows Upgrade.</w:t>
      </w:r>
    </w:p>
    <w:p w:rsidR="00483B3D" w:rsidRPr="00C50FD1" w:rsidRDefault="00483B3D" w:rsidP="00483B3D">
      <w:pPr>
        <w:rPr>
          <w:sz w:val="16"/>
          <w:szCs w:val="16"/>
          <w:lang w:val="pt-BR"/>
        </w:rPr>
      </w:pPr>
    </w:p>
    <w:p w:rsidR="00483B3D" w:rsidRPr="00C50FD1" w:rsidRDefault="00483B3D" w:rsidP="00483B3D">
      <w:pPr>
        <w:rPr>
          <w:sz w:val="16"/>
          <w:szCs w:val="16"/>
          <w:lang w:val="pt-BR"/>
        </w:rPr>
      </w:pPr>
    </w:p>
    <w:p w:rsidR="00483B3D" w:rsidRPr="00C50FD1" w:rsidRDefault="004668D9" w:rsidP="00483B3D">
      <w:pPr>
        <w:pStyle w:val="Heading3"/>
        <w:rPr>
          <w:lang w:val="pt-BR"/>
        </w:rPr>
      </w:pPr>
      <w:bookmarkStart w:id="1138" w:name="_26_Windows_Vista"/>
      <w:bookmarkStart w:id="1139" w:name="_Toc336338282"/>
      <w:bookmarkStart w:id="1140" w:name="_Toc353470931"/>
      <w:bookmarkStart w:id="1141" w:name="Sys_24WindowsVistaDVDPack"/>
      <w:bookmarkEnd w:id="1138"/>
      <w:r w:rsidRPr="00C50FD1">
        <w:rPr>
          <w:rFonts w:ascii="Tahoma" w:hAnsi="Tahoma"/>
          <w:caps/>
          <w:color w:val="F66400"/>
          <w:sz w:val="22"/>
          <w:vertAlign w:val="superscript"/>
          <w:lang w:val="pt-BR"/>
        </w:rPr>
        <w:t>26</w:t>
      </w:r>
      <w:r w:rsidRPr="00C50FD1">
        <w:rPr>
          <w:rFonts w:ascii="Tahoma" w:eastAsia="Times New Roman" w:hAnsi="Tahoma" w:cs="Tahoma"/>
          <w:bCs/>
          <w:color w:val="F66400"/>
          <w:sz w:val="22"/>
          <w:szCs w:val="22"/>
          <w:lang w:val="pt-BR"/>
        </w:rPr>
        <w:t xml:space="preserve"> Windows Vista DVD Playback Pack</w:t>
      </w:r>
      <w:bookmarkEnd w:id="1139"/>
      <w:bookmarkEnd w:id="1140"/>
    </w:p>
    <w:bookmarkEnd w:id="1141"/>
    <w:p w:rsidR="00483B3D" w:rsidRPr="00C50FD1" w:rsidRDefault="00483B3D" w:rsidP="00483B3D">
      <w:pPr>
        <w:rPr>
          <w:sz w:val="16"/>
          <w:szCs w:val="16"/>
          <w:lang w:val="pt-BR"/>
        </w:rPr>
      </w:pPr>
    </w:p>
    <w:p w:rsidR="00483B3D" w:rsidRPr="00C50FD1" w:rsidRDefault="00483B3D" w:rsidP="00483B3D">
      <w:pPr>
        <w:ind w:left="720"/>
        <w:rPr>
          <w:lang w:val="pt-BR"/>
        </w:rPr>
      </w:pPr>
      <w:r w:rsidRPr="00C50FD1">
        <w:rPr>
          <w:rFonts w:eastAsia="Calibri" w:cs="Tahoma"/>
          <w:color w:val="000000"/>
          <w:szCs w:val="18"/>
          <w:lang w:val="pt-BR"/>
        </w:rPr>
        <w:t>Os clientes do Licenciamento por Volume instalando ou operando o DVD Playback Pack Windows Vista devem consultar os Direitos de Uso de Produto (PUR) do Microsoft Licensing de dezembro de 2010 sobre os</w:t>
      </w:r>
      <w:r w:rsidR="00791C64" w:rsidRPr="00C50FD1">
        <w:rPr>
          <w:rFonts w:eastAsia="Calibri" w:cs="Tahoma"/>
          <w:color w:val="000000"/>
          <w:szCs w:val="18"/>
          <w:lang w:val="pt-BR"/>
        </w:rPr>
        <w:t> </w:t>
      </w:r>
      <w:r w:rsidRPr="00C50FD1">
        <w:rPr>
          <w:rFonts w:eastAsia="Calibri" w:cs="Tahoma"/>
          <w:color w:val="000000"/>
          <w:szCs w:val="18"/>
          <w:lang w:val="pt-BR"/>
        </w:rPr>
        <w:t>termos de licença.</w:t>
      </w:r>
    </w:p>
    <w:p w:rsidR="00483B3D" w:rsidRPr="00C50FD1" w:rsidRDefault="00483B3D" w:rsidP="00483B3D">
      <w:pPr>
        <w:rPr>
          <w:sz w:val="16"/>
          <w:szCs w:val="16"/>
          <w:lang w:val="pt-BR"/>
        </w:rPr>
      </w:pPr>
    </w:p>
    <w:p w:rsidR="007A73DF" w:rsidRPr="00C50FD1" w:rsidRDefault="007A73DF" w:rsidP="007A73DF">
      <w:pPr>
        <w:contextualSpacing/>
        <w:rPr>
          <w:sz w:val="16"/>
          <w:szCs w:val="16"/>
          <w:lang w:val="pt-BR"/>
        </w:rPr>
      </w:pPr>
    </w:p>
    <w:p w:rsidR="005D4DAB" w:rsidRPr="00653421" w:rsidRDefault="004668D9" w:rsidP="00C646B3">
      <w:pPr>
        <w:pStyle w:val="Heading3"/>
      </w:pPr>
      <w:bookmarkStart w:id="1142" w:name="_27_Windows®_8"/>
      <w:bookmarkStart w:id="1143" w:name="_Toc336338284"/>
      <w:bookmarkStart w:id="1144" w:name="_Toc353470932"/>
      <w:bookmarkEnd w:id="1142"/>
      <w:r w:rsidRPr="00653421">
        <w:rPr>
          <w:rFonts w:ascii="Tahoma" w:hAnsi="Tahoma"/>
          <w:caps/>
          <w:color w:val="F66400"/>
          <w:sz w:val="22"/>
          <w:vertAlign w:val="superscript"/>
        </w:rPr>
        <w:t>27</w:t>
      </w:r>
      <w:r w:rsidRPr="00653421">
        <w:rPr>
          <w:rFonts w:ascii="Tahoma" w:hAnsi="Tahoma"/>
          <w:color w:val="F66400"/>
          <w:sz w:val="22"/>
        </w:rPr>
        <w:t xml:space="preserve"> Windows</w:t>
      </w:r>
      <w:r w:rsidRPr="00653421">
        <w:rPr>
          <w:rFonts w:ascii="Tahoma" w:hAnsi="Tahoma"/>
          <w:color w:val="F66400"/>
          <w:sz w:val="22"/>
          <w:vertAlign w:val="superscript"/>
        </w:rPr>
        <w:t>®</w:t>
      </w:r>
      <w:r w:rsidRPr="00653421">
        <w:rPr>
          <w:rFonts w:ascii="Tahoma" w:hAnsi="Tahoma"/>
          <w:color w:val="F66400"/>
          <w:sz w:val="22"/>
        </w:rPr>
        <w:t xml:space="preserve"> 8 Enterprise Sideloading</w:t>
      </w:r>
      <w:bookmarkEnd w:id="1143"/>
      <w:bookmarkEnd w:id="1144"/>
    </w:p>
    <w:p w:rsidR="009B2474" w:rsidRPr="00653421" w:rsidRDefault="009B2474" w:rsidP="009B2474">
      <w:pPr>
        <w:rPr>
          <w:sz w:val="16"/>
          <w:szCs w:val="16"/>
        </w:rPr>
      </w:pPr>
    </w:p>
    <w:p w:rsidR="009B2474" w:rsidRPr="00653421" w:rsidRDefault="009B2474" w:rsidP="009B2474">
      <w:pPr>
        <w:rPr>
          <w:sz w:val="16"/>
          <w:szCs w:val="16"/>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C50FD1"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653421" w:rsidRDefault="00433F5F" w:rsidP="005D4DAB">
            <w:pPr>
              <w:jc w:val="center"/>
              <w:rPr>
                <w:rFonts w:eastAsia="Calibri" w:cs="Tahoma"/>
                <w:b/>
                <w:bCs/>
                <w:szCs w:val="18"/>
              </w:rPr>
            </w:pPr>
            <w:r w:rsidRPr="00653421">
              <w:rPr>
                <w:rFonts w:cs="Tahoma"/>
                <w:b/>
                <w:bCs/>
                <w:szCs w:val="18"/>
              </w:rPr>
              <w:t>Disponibilidade do Produto</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653421" w:rsidRDefault="005D4DAB" w:rsidP="005D4DAB">
            <w:pPr>
              <w:jc w:val="center"/>
              <w:rPr>
                <w:rFonts w:cs="Tahoma"/>
                <w:b/>
                <w:bCs/>
                <w:szCs w:val="18"/>
              </w:rPr>
            </w:pPr>
            <w:r w:rsidRPr="00653421">
              <w:rPr>
                <w:rFonts w:cs="Tahoma"/>
                <w:b/>
                <w:bCs/>
                <w:szCs w:val="18"/>
              </w:rPr>
              <w:t>Licenças Disponíveis para Aquisição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C50FD1" w:rsidRDefault="005D4DAB" w:rsidP="00791C64">
            <w:pPr>
              <w:jc w:val="center"/>
              <w:rPr>
                <w:rFonts w:eastAsia="Calibri" w:cs="Tahoma"/>
                <w:b/>
                <w:bCs/>
                <w:szCs w:val="18"/>
                <w:lang w:val="pt-BR"/>
              </w:rPr>
            </w:pPr>
            <w:r w:rsidRPr="00C50FD1">
              <w:rPr>
                <w:rFonts w:cs="Tahoma"/>
                <w:b/>
                <w:bCs/>
                <w:szCs w:val="18"/>
                <w:lang w:val="pt-BR"/>
              </w:rPr>
              <w:t>Disponível como um Benefício do</w:t>
            </w:r>
            <w:r w:rsidR="00791C64" w:rsidRPr="00C50FD1">
              <w:rPr>
                <w:rFonts w:cs="Tahoma"/>
                <w:b/>
                <w:bCs/>
                <w:szCs w:val="18"/>
                <w:lang w:val="pt-BR"/>
              </w:rPr>
              <w:t> </w:t>
            </w:r>
            <w:r w:rsidRPr="00C50FD1">
              <w:rPr>
                <w:rFonts w:cs="Tahoma"/>
                <w:b/>
                <w:bCs/>
                <w:szCs w:val="18"/>
                <w:lang w:val="pt-BR"/>
              </w:rPr>
              <w:t>SA</w:t>
            </w:r>
          </w:p>
        </w:tc>
      </w:tr>
      <w:tr w:rsidR="005D4DAB" w:rsidRPr="00653421"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653421" w:rsidRDefault="005D4DAB" w:rsidP="005D4DAB">
            <w:pPr>
              <w:jc w:val="center"/>
              <w:rPr>
                <w:rFonts w:eastAsia="Calibri" w:cs="Tahoma"/>
                <w:b/>
                <w:bCs/>
                <w:szCs w:val="18"/>
              </w:rPr>
            </w:pPr>
            <w:r w:rsidRPr="00653421">
              <w:rPr>
                <w:rFonts w:cs="Tahoma"/>
                <w:b/>
                <w:bCs/>
                <w:szCs w:val="18"/>
              </w:rPr>
              <w:t>Licença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653421" w:rsidRDefault="005D4DAB" w:rsidP="005D4DAB">
            <w:pPr>
              <w:jc w:val="center"/>
              <w:rPr>
                <w:rFonts w:cs="Tahoma"/>
                <w:szCs w:val="18"/>
              </w:rPr>
            </w:pPr>
            <w:r w:rsidRPr="0065342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653421" w:rsidRDefault="005D4DAB" w:rsidP="005D4DAB">
            <w:pPr>
              <w:jc w:val="center"/>
              <w:rPr>
                <w:rFonts w:eastAsia="Calibri" w:cs="Tahoma"/>
                <w:szCs w:val="18"/>
              </w:rPr>
            </w:pPr>
          </w:p>
        </w:tc>
      </w:tr>
      <w:tr w:rsidR="005D4DAB" w:rsidRPr="00653421"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53421" w:rsidRDefault="005D4DAB" w:rsidP="005D4DAB">
            <w:pPr>
              <w:jc w:val="center"/>
              <w:rPr>
                <w:rFonts w:cs="Tahoma"/>
                <w:b/>
                <w:bCs/>
                <w:szCs w:val="18"/>
              </w:rPr>
            </w:pPr>
            <w:r w:rsidRPr="00653421">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653421" w:rsidRDefault="005D4DAB" w:rsidP="005D4DAB">
            <w:pPr>
              <w:jc w:val="center"/>
              <w:rPr>
                <w:rFonts w:cs="Tahoma"/>
                <w:szCs w:val="18"/>
              </w:rPr>
            </w:pPr>
            <w:r w:rsidRPr="0065342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53421" w:rsidRDefault="005D4DAB" w:rsidP="005D4DAB">
            <w:pPr>
              <w:jc w:val="center"/>
              <w:rPr>
                <w:rFonts w:eastAsia="Calibri" w:cs="Tahoma"/>
                <w:szCs w:val="18"/>
              </w:rPr>
            </w:pPr>
            <w:r w:rsidRPr="00653421">
              <w:rPr>
                <w:rFonts w:eastAsia="Calibri" w:cs="Tahoma"/>
                <w:szCs w:val="18"/>
              </w:rPr>
              <w:t>x</w:t>
            </w:r>
          </w:p>
        </w:tc>
      </w:tr>
      <w:tr w:rsidR="005D4DAB" w:rsidRPr="00653421"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53421" w:rsidRDefault="005D4DAB" w:rsidP="005D4DAB">
            <w:pPr>
              <w:jc w:val="center"/>
              <w:rPr>
                <w:rFonts w:cs="Tahoma"/>
                <w:b/>
                <w:bCs/>
                <w:szCs w:val="18"/>
              </w:rPr>
            </w:pPr>
            <w:r w:rsidRPr="00653421">
              <w:rPr>
                <w:rFonts w:cs="Tahoma"/>
                <w:b/>
                <w:bCs/>
                <w:szCs w:val="18"/>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653421"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53421" w:rsidRDefault="005D4DAB" w:rsidP="005D4DAB">
            <w:pPr>
              <w:jc w:val="center"/>
              <w:rPr>
                <w:rFonts w:eastAsia="Calibri" w:cs="Tahoma"/>
                <w:szCs w:val="18"/>
              </w:rPr>
            </w:pPr>
            <w:r w:rsidRPr="00653421">
              <w:rPr>
                <w:rFonts w:eastAsia="Calibri" w:cs="Tahoma"/>
                <w:szCs w:val="18"/>
              </w:rPr>
              <w:t>x</w:t>
            </w:r>
          </w:p>
        </w:tc>
      </w:tr>
      <w:tr w:rsidR="00755633" w:rsidRPr="00653421"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653421" w:rsidRDefault="00755633" w:rsidP="005D4DAB">
            <w:pPr>
              <w:jc w:val="center"/>
              <w:rPr>
                <w:rFonts w:cs="Tahoma"/>
                <w:b/>
                <w:bCs/>
                <w:szCs w:val="18"/>
              </w:rPr>
            </w:pPr>
            <w:r w:rsidRPr="00653421">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653421"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653421" w:rsidRDefault="00755633" w:rsidP="005D4DAB">
            <w:pPr>
              <w:jc w:val="center"/>
              <w:rPr>
                <w:rFonts w:eastAsia="Calibri" w:cs="Tahoma"/>
                <w:szCs w:val="18"/>
              </w:rPr>
            </w:pPr>
            <w:r w:rsidRPr="00653421">
              <w:rPr>
                <w:rFonts w:eastAsia="Calibri" w:cs="Tahoma"/>
                <w:szCs w:val="18"/>
              </w:rPr>
              <w:t>x</w:t>
            </w:r>
          </w:p>
        </w:tc>
      </w:tr>
    </w:tbl>
    <w:p w:rsidR="005D4DAB" w:rsidRPr="00653421" w:rsidRDefault="005D4DAB" w:rsidP="00572128">
      <w:pPr>
        <w:ind w:left="900"/>
        <w:rPr>
          <w:sz w:val="16"/>
          <w:szCs w:val="16"/>
        </w:rPr>
      </w:pPr>
    </w:p>
    <w:p w:rsidR="005D4DAB" w:rsidRPr="00C50FD1" w:rsidRDefault="005D4DAB" w:rsidP="00EE035D">
      <w:pPr>
        <w:ind w:left="720"/>
        <w:rPr>
          <w:lang w:val="pt-BR"/>
        </w:rPr>
      </w:pPr>
      <w:r w:rsidRPr="00C50FD1">
        <w:rPr>
          <w:rFonts w:cs="Tahoma"/>
          <w:szCs w:val="18"/>
          <w:lang w:val="pt-BR"/>
        </w:rPr>
        <w:t>O Windows Enterprise Sideloading é o processo de instalar novos Aplicativos do Windows 8 que estão sendo usados para o benefício do cliente, diretamente em um dispositivo, sem passar pela Windows Store.</w:t>
      </w:r>
      <w:r w:rsidR="005A52A2" w:rsidRPr="00C50FD1">
        <w:rPr>
          <w:rFonts w:cs="Tahoma"/>
          <w:szCs w:val="18"/>
          <w:lang w:val="pt-BR"/>
        </w:rPr>
        <w:t xml:space="preserve"> </w:t>
      </w:r>
      <w:r w:rsidRPr="00C50FD1">
        <w:rPr>
          <w:rFonts w:cs="Tahoma"/>
          <w:szCs w:val="18"/>
          <w:lang w:val="pt-BR"/>
        </w:rPr>
        <w:t>Os dispositivos que fazem parte do domínio que estão executando a edição Windows 8 Enterprise, em qualquer programa VL, possuem recursos habilitados para Windows Enterprise Sideloading.</w:t>
      </w:r>
      <w:r w:rsidR="005A52A2" w:rsidRPr="00C50FD1">
        <w:rPr>
          <w:rFonts w:cs="Tahoma"/>
          <w:szCs w:val="18"/>
          <w:lang w:val="pt-BR"/>
        </w:rPr>
        <w:t xml:space="preserve"> </w:t>
      </w:r>
      <w:r w:rsidRPr="00C50FD1">
        <w:rPr>
          <w:rFonts w:cs="Tahoma"/>
          <w:szCs w:val="18"/>
          <w:lang w:val="pt-BR"/>
        </w:rPr>
        <w:t>O Windows Enterprise Sideloading também pode ser habilitado em dispositivos que estão executando o Windows 8 Enterprise que não fazem parte do domínio e em dispositivos que estão executando o Windows 8 Pro ou Windows RT por meio do uso de uma chave de produto.</w:t>
      </w:r>
      <w:r w:rsidR="005A52A2" w:rsidRPr="00C50FD1">
        <w:rPr>
          <w:rFonts w:cs="Tahoma"/>
          <w:szCs w:val="18"/>
          <w:lang w:val="pt-BR"/>
        </w:rPr>
        <w:t xml:space="preserve"> </w:t>
      </w:r>
      <w:r w:rsidRPr="00C50FD1">
        <w:rPr>
          <w:rFonts w:cs="Tahoma"/>
          <w:szCs w:val="18"/>
          <w:lang w:val="pt-BR"/>
        </w:rPr>
        <w:t>Em todos os casos, o Windows Enterprise Sideloading só pode ser usado para implantar Aplicativos que são usados para o benefício do cliente de Licenciamento por Volume.</w:t>
      </w:r>
      <w:r w:rsidR="005A52A2" w:rsidRPr="00C50FD1">
        <w:rPr>
          <w:rFonts w:cs="Tahoma"/>
          <w:szCs w:val="18"/>
          <w:lang w:val="pt-BR"/>
        </w:rPr>
        <w:t xml:space="preserve"> </w:t>
      </w:r>
      <w:r w:rsidRPr="00C50FD1">
        <w:rPr>
          <w:rFonts w:cs="Tahoma"/>
          <w:szCs w:val="18"/>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rsidR="005D4DAB" w:rsidRPr="00C50FD1" w:rsidRDefault="005D4DAB" w:rsidP="00572128">
      <w:pPr>
        <w:ind w:left="900"/>
        <w:rPr>
          <w:lang w:val="pt-BR"/>
        </w:rPr>
      </w:pPr>
    </w:p>
    <w:p w:rsidR="005D4DAB" w:rsidRPr="00C50FD1" w:rsidRDefault="005D4DAB" w:rsidP="009B2474">
      <w:pPr>
        <w:spacing w:after="60"/>
        <w:ind w:left="720"/>
        <w:rPr>
          <w:lang w:val="pt-BR"/>
        </w:rPr>
      </w:pPr>
      <w:r w:rsidRPr="00C50FD1">
        <w:rPr>
          <w:rFonts w:cs="Tahoma"/>
          <w:b/>
          <w:szCs w:val="18"/>
          <w:lang w:val="pt-BR"/>
        </w:rPr>
        <w:lastRenderedPageBreak/>
        <w:t>Benefício do Software Assurance</w:t>
      </w:r>
    </w:p>
    <w:p w:rsidR="005D4DAB" w:rsidRPr="00C50FD1" w:rsidRDefault="005D4DAB" w:rsidP="00EE035D">
      <w:pPr>
        <w:ind w:left="720"/>
        <w:rPr>
          <w:lang w:val="pt-BR"/>
        </w:rPr>
      </w:pPr>
      <w:r w:rsidRPr="00C50FD1">
        <w:rPr>
          <w:rFonts w:cs="Tahoma"/>
          <w:szCs w:val="18"/>
          <w:lang w:val="pt-BR"/>
        </w:rPr>
        <w:t>Uma chave de produto pode ser usada para habilitar o Windows Enterprise Sideloading em qualquer um dos dispositivos a seguir:</w:t>
      </w:r>
    </w:p>
    <w:p w:rsidR="009B2474" w:rsidRPr="00C50FD1" w:rsidRDefault="009B2474" w:rsidP="00EE035D">
      <w:pPr>
        <w:ind w:left="720"/>
        <w:rPr>
          <w:lang w:val="pt-BR"/>
        </w:rPr>
      </w:pPr>
    </w:p>
    <w:p w:rsidR="005D4DAB" w:rsidRPr="00C50FD1" w:rsidRDefault="005D4DAB" w:rsidP="009B2474">
      <w:pPr>
        <w:pStyle w:val="ListParagraph"/>
        <w:numPr>
          <w:ilvl w:val="0"/>
          <w:numId w:val="101"/>
        </w:numPr>
        <w:spacing w:after="60"/>
        <w:ind w:left="1440"/>
        <w:contextualSpacing w:val="0"/>
        <w:rPr>
          <w:lang w:val="pt-BR"/>
        </w:rPr>
      </w:pPr>
      <w:r w:rsidRPr="00C50FD1">
        <w:rPr>
          <w:rFonts w:ascii="Tahoma" w:hAnsi="Tahoma" w:cs="Tahoma"/>
          <w:sz w:val="18"/>
          <w:szCs w:val="18"/>
          <w:lang w:val="pt-BR"/>
        </w:rPr>
        <w:t>Dispositivos com cobertura ativa do Software Assurance do Windows</w:t>
      </w:r>
    </w:p>
    <w:p w:rsidR="005D4DAB" w:rsidRPr="00C50FD1" w:rsidRDefault="005D4DAB" w:rsidP="009B2474">
      <w:pPr>
        <w:pStyle w:val="ListParagraph"/>
        <w:numPr>
          <w:ilvl w:val="0"/>
          <w:numId w:val="101"/>
        </w:numPr>
        <w:spacing w:after="60"/>
        <w:ind w:left="1440"/>
        <w:contextualSpacing w:val="0"/>
        <w:rPr>
          <w:lang w:val="pt-BR"/>
        </w:rPr>
      </w:pPr>
      <w:r w:rsidRPr="00C50FD1">
        <w:rPr>
          <w:rFonts w:ascii="Tahoma" w:hAnsi="Tahoma" w:cs="Tahoma"/>
          <w:sz w:val="18"/>
          <w:szCs w:val="18"/>
          <w:lang w:val="pt-BR"/>
        </w:rPr>
        <w:t>Dispositivos com uma assinatura ativa do Windows Intune (Por Dispositivo) ou VDA</w:t>
      </w:r>
    </w:p>
    <w:p w:rsidR="005D4DAB" w:rsidRPr="00653421" w:rsidRDefault="005D4DAB" w:rsidP="009B2474">
      <w:pPr>
        <w:pStyle w:val="ListParagraph"/>
        <w:numPr>
          <w:ilvl w:val="0"/>
          <w:numId w:val="101"/>
        </w:numPr>
        <w:spacing w:after="60"/>
        <w:ind w:left="1440"/>
        <w:contextualSpacing w:val="0"/>
      </w:pPr>
      <w:r w:rsidRPr="00653421">
        <w:rPr>
          <w:rFonts w:ascii="Tahoma" w:hAnsi="Tahoma" w:cs="Tahoma"/>
          <w:sz w:val="18"/>
          <w:szCs w:val="18"/>
        </w:rPr>
        <w:t>Dispositivos do Windows RT</w:t>
      </w:r>
    </w:p>
    <w:p w:rsidR="00EB2B3F" w:rsidRPr="00C50FD1" w:rsidRDefault="00EB2B3F" w:rsidP="009B2474">
      <w:pPr>
        <w:pStyle w:val="ListParagraph"/>
        <w:numPr>
          <w:ilvl w:val="0"/>
          <w:numId w:val="101"/>
        </w:numPr>
        <w:spacing w:after="60"/>
        <w:ind w:left="1440"/>
        <w:contextualSpacing w:val="0"/>
        <w:rPr>
          <w:lang w:val="pt-BR"/>
        </w:rPr>
      </w:pPr>
      <w:r w:rsidRPr="00C50FD1">
        <w:rPr>
          <w:rFonts w:ascii="Tahoma" w:hAnsi="Tahoma" w:cs="Tahoma"/>
          <w:sz w:val="18"/>
          <w:szCs w:val="18"/>
          <w:lang w:val="pt-BR"/>
        </w:rPr>
        <w:t>Dispositivos cobertos pela Licença de Assinatura do Windows Companion</w:t>
      </w:r>
    </w:p>
    <w:p w:rsidR="005D4DAB" w:rsidRPr="00C50FD1" w:rsidRDefault="005D4DAB" w:rsidP="00572128">
      <w:pPr>
        <w:ind w:left="900"/>
        <w:rPr>
          <w:lang w:val="pt-BR"/>
        </w:rPr>
      </w:pPr>
    </w:p>
    <w:p w:rsidR="005D4DAB" w:rsidRPr="00C50FD1" w:rsidRDefault="005D4DAB" w:rsidP="00EE035D">
      <w:pPr>
        <w:ind w:left="720"/>
        <w:rPr>
          <w:lang w:val="pt-BR"/>
        </w:rPr>
      </w:pPr>
      <w:r w:rsidRPr="00C50FD1">
        <w:rPr>
          <w:rFonts w:cs="Tahoma"/>
          <w:szCs w:val="18"/>
          <w:lang w:val="pt-BR"/>
        </w:rPr>
        <w:t xml:space="preserve">O Windows Enterprise Sideloading só pode ser habilitado em um dispositivo permitido antes do término da cobertura do Software Assurance correspondente ou da Licença de Assinatura. </w:t>
      </w:r>
      <w:r w:rsidRPr="00C50FD1">
        <w:rPr>
          <w:lang w:val="pt-BR"/>
        </w:rPr>
        <w:t>Nos programas Academic, o</w:t>
      </w:r>
      <w:r w:rsidR="0006630D" w:rsidRPr="00C50FD1">
        <w:rPr>
          <w:lang w:val="pt-BR"/>
        </w:rPr>
        <w:t> </w:t>
      </w:r>
      <w:r w:rsidRPr="00C50FD1">
        <w:rPr>
          <w:lang w:val="pt-BR"/>
        </w:rPr>
        <w:t>Windows Enterprise Sideloading só pode ser habilitado em dispositivos pertencentes à instituição</w:t>
      </w:r>
      <w:r w:rsidRPr="00C50FD1">
        <w:rPr>
          <w:rFonts w:cs="Tahoma"/>
          <w:szCs w:val="18"/>
          <w:lang w:val="pt-BR"/>
        </w:rPr>
        <w:t>.</w:t>
      </w:r>
    </w:p>
    <w:p w:rsidR="005D4DAB" w:rsidRPr="00C50FD1" w:rsidRDefault="005D4DAB" w:rsidP="00572128">
      <w:pPr>
        <w:ind w:left="900"/>
        <w:rPr>
          <w:lang w:val="pt-BR"/>
        </w:rPr>
      </w:pPr>
    </w:p>
    <w:p w:rsidR="005D4DAB" w:rsidRPr="00C50FD1" w:rsidRDefault="009B2474" w:rsidP="009B2474">
      <w:pPr>
        <w:spacing w:after="60"/>
        <w:ind w:left="720"/>
        <w:rPr>
          <w:lang w:val="pt-BR"/>
        </w:rPr>
      </w:pPr>
      <w:r w:rsidRPr="00C50FD1">
        <w:rPr>
          <w:rFonts w:cs="Tahoma"/>
          <w:b/>
          <w:szCs w:val="18"/>
          <w:lang w:val="pt-BR"/>
        </w:rPr>
        <w:t>Licenças do Enterprise Sideloading Disponíveis para Aquisição</w:t>
      </w:r>
    </w:p>
    <w:p w:rsidR="00697E59" w:rsidRPr="00C50FD1" w:rsidRDefault="005D4DAB" w:rsidP="00AF3B19">
      <w:pPr>
        <w:ind w:left="720"/>
        <w:rPr>
          <w:lang w:val="pt-BR"/>
        </w:rPr>
      </w:pPr>
      <w:r w:rsidRPr="00C50FD1">
        <w:rPr>
          <w:rFonts w:cs="Tahoma"/>
          <w:szCs w:val="18"/>
          <w:lang w:val="pt-BR"/>
        </w:rPr>
        <w:t>Os clientes podem adquirir licenças do Enterprise Sideloading.</w:t>
      </w:r>
      <w:r w:rsidR="005A52A2" w:rsidRPr="00C50FD1">
        <w:rPr>
          <w:rFonts w:cs="Tahoma"/>
          <w:szCs w:val="18"/>
          <w:lang w:val="pt-BR"/>
        </w:rPr>
        <w:t xml:space="preserve"> </w:t>
      </w:r>
      <w:r w:rsidRPr="00C50FD1">
        <w:rPr>
          <w:rFonts w:cs="Tahoma"/>
          <w:szCs w:val="18"/>
          <w:lang w:val="pt-BR"/>
        </w:rPr>
        <w:t xml:space="preserve">Cada licença do Enterprise Sideloading deve ser atribuída permanentemente a um único dispositivo. </w:t>
      </w:r>
      <w:r w:rsidRPr="00C50FD1">
        <w:rPr>
          <w:lang w:val="pt-BR"/>
        </w:rPr>
        <w:t>Nos programas Academic, o Windows Enterprise Sideloading só pode ser habilitado em dispositivos pertencentes à instituição</w:t>
      </w:r>
      <w:r w:rsidRPr="00C50FD1">
        <w:rPr>
          <w:rFonts w:cs="Tahoma"/>
          <w:szCs w:val="18"/>
          <w:lang w:val="pt-BR"/>
        </w:rPr>
        <w:t>.</w:t>
      </w:r>
      <w:bookmarkStart w:id="1145" w:name="_Toc336338285"/>
    </w:p>
    <w:p w:rsidR="00AF3B19" w:rsidRPr="00C50FD1" w:rsidRDefault="00AF3B19" w:rsidP="00B50A5B">
      <w:pPr>
        <w:spacing w:after="60"/>
        <w:rPr>
          <w:lang w:val="pt-BR"/>
        </w:rPr>
      </w:pPr>
    </w:p>
    <w:p w:rsidR="005C55EB" w:rsidRPr="00C50FD1" w:rsidRDefault="005C55EB" w:rsidP="00B50A5B">
      <w:pPr>
        <w:spacing w:after="60"/>
        <w:ind w:left="720"/>
        <w:rPr>
          <w:lang w:val="pt-BR"/>
        </w:rPr>
      </w:pPr>
      <w:r w:rsidRPr="00C50FD1">
        <w:rPr>
          <w:rFonts w:cs="Tahoma"/>
          <w:b/>
          <w:szCs w:val="18"/>
          <w:lang w:val="pt-BR"/>
        </w:rPr>
        <w:t>Windows Embedded 8 Pro Sideloading</w:t>
      </w:r>
    </w:p>
    <w:p w:rsidR="005C55EB" w:rsidRPr="00C50FD1" w:rsidRDefault="005C55EB" w:rsidP="005C55EB">
      <w:pPr>
        <w:ind w:left="720"/>
        <w:rPr>
          <w:lang w:val="pt-BR"/>
        </w:rPr>
      </w:pPr>
      <w:r w:rsidRPr="00C50FD1">
        <w:rPr>
          <w:rFonts w:cs="Tahoma"/>
          <w:szCs w:val="18"/>
          <w:lang w:val="pt-BR"/>
        </w:rPr>
        <w:t>Os clientes que compram os dispositivos Windows Embedded 8 Pro por meio de um OEM podem comprar as</w:t>
      </w:r>
      <w:r w:rsidR="0006630D" w:rsidRPr="00C50FD1">
        <w:rPr>
          <w:rFonts w:cs="Tahoma"/>
          <w:szCs w:val="18"/>
          <w:lang w:val="pt-BR"/>
        </w:rPr>
        <w:t> </w:t>
      </w:r>
      <w:r w:rsidRPr="00C50FD1">
        <w:rPr>
          <w:rFonts w:cs="Tahoma"/>
          <w:szCs w:val="18"/>
          <w:lang w:val="pt-BR"/>
        </w:rPr>
        <w:t>licenças do Windows 8 Enterprise Sideloading destes dispositivos.</w:t>
      </w:r>
    </w:p>
    <w:p w:rsidR="005C55EB" w:rsidRPr="00C50FD1" w:rsidRDefault="005C55EB" w:rsidP="00AF3B19">
      <w:pPr>
        <w:rPr>
          <w:lang w:val="pt-BR"/>
        </w:rPr>
      </w:pPr>
    </w:p>
    <w:p w:rsidR="00AF3B19" w:rsidRPr="00C50FD1" w:rsidRDefault="00AF3B19" w:rsidP="00AF3B19">
      <w:pPr>
        <w:rPr>
          <w:lang w:val="pt-BR"/>
        </w:rPr>
      </w:pPr>
    </w:p>
    <w:p w:rsidR="00C646B3" w:rsidRPr="00C50FD1" w:rsidRDefault="004668D9" w:rsidP="00C646B3">
      <w:pPr>
        <w:pStyle w:val="Heading3"/>
        <w:rPr>
          <w:lang w:val="pt-BR"/>
        </w:rPr>
      </w:pPr>
      <w:bookmarkStart w:id="1146" w:name="_28_Parceiros_na"/>
      <w:bookmarkStart w:id="1147" w:name="Sys_25WindowsPartnersLearning"/>
      <w:bookmarkStart w:id="1148" w:name="_Toc353470933"/>
      <w:bookmarkEnd w:id="1146"/>
      <w:r w:rsidRPr="00C50FD1">
        <w:rPr>
          <w:rFonts w:ascii="Tahoma" w:hAnsi="Tahoma"/>
          <w:caps/>
          <w:color w:val="F66400"/>
          <w:sz w:val="22"/>
          <w:vertAlign w:val="superscript"/>
          <w:lang w:val="pt-BR"/>
        </w:rPr>
        <w:t>28</w:t>
      </w:r>
      <w:r w:rsidRPr="00C50FD1">
        <w:rPr>
          <w:rFonts w:ascii="Tahoma" w:hAnsi="Tahoma"/>
          <w:color w:val="F66400"/>
          <w:sz w:val="22"/>
          <w:lang w:val="pt-BR"/>
        </w:rPr>
        <w:t xml:space="preserve"> Parceiros na Aprendizagem do Windows</w:t>
      </w:r>
      <w:r w:rsidRPr="00C50FD1">
        <w:rPr>
          <w:rFonts w:ascii="Tahoma" w:hAnsi="Tahoma"/>
          <w:color w:val="F66400"/>
          <w:sz w:val="22"/>
          <w:vertAlign w:val="superscript"/>
          <w:lang w:val="pt-BR"/>
        </w:rPr>
        <w:t>®</w:t>
      </w:r>
      <w:r w:rsidRPr="00C50FD1">
        <w:rPr>
          <w:rFonts w:ascii="Tahoma" w:hAnsi="Tahoma"/>
          <w:color w:val="F66400"/>
          <w:sz w:val="22"/>
          <w:lang w:val="pt-BR"/>
        </w:rPr>
        <w:t xml:space="preserve"> 7</w:t>
      </w:r>
      <w:bookmarkEnd w:id="1134"/>
      <w:bookmarkEnd w:id="1145"/>
      <w:bookmarkEnd w:id="1147"/>
      <w:bookmarkEnd w:id="1148"/>
    </w:p>
    <w:p w:rsidR="00C646B3" w:rsidRPr="00C50FD1" w:rsidRDefault="00C646B3" w:rsidP="00C646B3">
      <w:pPr>
        <w:rPr>
          <w:lang w:val="pt-BR"/>
        </w:rPr>
      </w:pPr>
    </w:p>
    <w:p w:rsidR="00C646B3" w:rsidRPr="00C50FD1" w:rsidRDefault="00C646B3" w:rsidP="00EE035D">
      <w:pPr>
        <w:ind w:left="720" w:right="-810"/>
        <w:rPr>
          <w:lang w:val="pt-BR"/>
        </w:rPr>
      </w:pPr>
      <w:r w:rsidRPr="00C50FD1">
        <w:rPr>
          <w:rFonts w:cs="Tahoma"/>
          <w:color w:val="000000"/>
          <w:szCs w:val="18"/>
          <w:lang w:val="pt-BR"/>
        </w:rPr>
        <w:t xml:space="preserve">Para obter informações sobre qualificação de licenças e registro de parceiros, consulte o site </w:t>
      </w:r>
      <w:hyperlink r:id="rId43" w:history="1">
        <w:r w:rsidRPr="00C50FD1">
          <w:rPr>
            <w:rStyle w:val="Hyperlink"/>
            <w:rFonts w:cs="Tahoma"/>
            <w:szCs w:val="18"/>
            <w:lang w:val="pt-BR"/>
          </w:rPr>
          <w:t>http://www.microsoft.com/education/pil/partnersinlearning.aspx</w:t>
        </w:r>
      </w:hyperlink>
      <w:r w:rsidRPr="00C50FD1">
        <w:rPr>
          <w:color w:val="000000"/>
          <w:lang w:val="pt-BR"/>
        </w:rPr>
        <w:t xml:space="preserve"> </w:t>
      </w:r>
    </w:p>
    <w:p w:rsidR="00435C70" w:rsidRPr="00C50FD1" w:rsidRDefault="00435C70" w:rsidP="00435C70">
      <w:pPr>
        <w:ind w:right="-810"/>
        <w:rPr>
          <w:lang w:val="pt-BR"/>
        </w:rPr>
      </w:pPr>
    </w:p>
    <w:p w:rsidR="00435C70" w:rsidRPr="00C50FD1" w:rsidRDefault="00435C70" w:rsidP="00435C70">
      <w:pPr>
        <w:ind w:right="-810"/>
        <w:rPr>
          <w:lang w:val="pt-BR"/>
        </w:rPr>
      </w:pPr>
    </w:p>
    <w:p w:rsidR="00B73A46" w:rsidRPr="00C50FD1" w:rsidRDefault="004668D9" w:rsidP="00B73A46">
      <w:pPr>
        <w:pStyle w:val="Heading3"/>
        <w:rPr>
          <w:lang w:val="pt-BR"/>
        </w:rPr>
      </w:pPr>
      <w:bookmarkStart w:id="1149" w:name="_29_Windows®_8"/>
      <w:bookmarkStart w:id="1150" w:name="_29_Atualização_do"/>
      <w:bookmarkStart w:id="1151" w:name="_Toc336338286"/>
      <w:bookmarkStart w:id="1152" w:name="_Toc353470934"/>
      <w:bookmarkStart w:id="1153" w:name="Sys_27Win7ProUpgradeWinIntune"/>
      <w:bookmarkStart w:id="1154" w:name="Sys_26WinVistaBizUpgrade"/>
      <w:bookmarkStart w:id="1155" w:name="Sys_23Windows7ProUpgrade"/>
      <w:bookmarkStart w:id="1156" w:name="Sys_27WindowsVistaProUpgrade"/>
      <w:bookmarkEnd w:id="1149"/>
      <w:bookmarkEnd w:id="1150"/>
      <w:r w:rsidRPr="00C50FD1">
        <w:rPr>
          <w:rFonts w:ascii="Tahoma" w:hAnsi="Tahoma"/>
          <w:caps/>
          <w:color w:val="F66400"/>
          <w:sz w:val="22"/>
          <w:vertAlign w:val="superscript"/>
          <w:lang w:val="pt-BR"/>
        </w:rPr>
        <w:t>29</w:t>
      </w:r>
      <w:r w:rsidRPr="00C50FD1">
        <w:rPr>
          <w:rFonts w:ascii="Tahoma" w:hAnsi="Tahoma"/>
          <w:color w:val="F66400"/>
          <w:sz w:val="22"/>
          <w:lang w:val="pt-BR"/>
        </w:rPr>
        <w:t xml:space="preserve"> </w:t>
      </w:r>
      <w:r w:rsidRPr="00C50FD1">
        <w:rPr>
          <w:rFonts w:ascii="Tahoma" w:hAnsi="Tahoma"/>
          <w:color w:val="FF6D09"/>
          <w:sz w:val="22"/>
          <w:lang w:val="pt-BR"/>
        </w:rPr>
        <w:t>Atualização do Windows</w:t>
      </w:r>
      <w:r w:rsidRPr="00C50FD1">
        <w:rPr>
          <w:rFonts w:ascii="Tahoma" w:hAnsi="Tahoma"/>
          <w:color w:val="FF6D09"/>
          <w:sz w:val="22"/>
          <w:vertAlign w:val="superscript"/>
          <w:lang w:val="pt-BR"/>
        </w:rPr>
        <w:t>®</w:t>
      </w:r>
      <w:r w:rsidRPr="00C50FD1">
        <w:rPr>
          <w:rFonts w:ascii="Tahoma" w:hAnsi="Tahoma"/>
          <w:color w:val="FF6D09"/>
          <w:sz w:val="22"/>
          <w:lang w:val="pt-BR"/>
        </w:rPr>
        <w:t xml:space="preserve"> 8 Pro e Windows Intune</w:t>
      </w:r>
      <w:bookmarkEnd w:id="1151"/>
      <w:r w:rsidRPr="00C50FD1">
        <w:rPr>
          <w:rFonts w:ascii="Tahoma" w:hAnsi="Tahoma"/>
          <w:color w:val="FF6D09"/>
          <w:sz w:val="22"/>
          <w:lang w:val="pt-BR"/>
        </w:rPr>
        <w:t xml:space="preserve"> (Por Dispositivo)</w:t>
      </w:r>
      <w:bookmarkEnd w:id="1152"/>
    </w:p>
    <w:bookmarkEnd w:id="1153"/>
    <w:p w:rsidR="003C65F4" w:rsidRPr="00C50FD1" w:rsidRDefault="003C65F4" w:rsidP="003C65F4">
      <w:pPr>
        <w:rPr>
          <w:lang w:val="pt-BR"/>
        </w:rPr>
      </w:pPr>
    </w:p>
    <w:p w:rsidR="00B73A46" w:rsidRPr="00C50FD1" w:rsidRDefault="00B73A46" w:rsidP="00435C70">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Atualização do Windows 8 Pro</w:t>
      </w:r>
    </w:p>
    <w:p w:rsidR="00B73A46" w:rsidRPr="00C50FD1" w:rsidRDefault="00B73A46" w:rsidP="00435C70">
      <w:pPr>
        <w:ind w:left="720"/>
        <w:rPr>
          <w:lang w:val="pt-BR"/>
        </w:rPr>
      </w:pPr>
      <w:r w:rsidRPr="00C50FD1">
        <w:rPr>
          <w:rFonts w:cs="Tahoma"/>
          <w:szCs w:val="18"/>
          <w:u w:val="single"/>
          <w:lang w:val="pt-BR"/>
        </w:rPr>
        <w:t>Licença de Atualização de Sistema Operacional (SO)</w:t>
      </w:r>
    </w:p>
    <w:p w:rsidR="00B73A46" w:rsidRPr="00C50FD1" w:rsidRDefault="00B73A46" w:rsidP="00435C70">
      <w:pPr>
        <w:pStyle w:val="FootnoteBulletLevel1"/>
        <w:tabs>
          <w:tab w:val="clear" w:pos="900"/>
        </w:tabs>
        <w:adjustRightInd/>
        <w:spacing w:before="0" w:after="0"/>
        <w:ind w:left="720" w:hanging="7"/>
        <w:textAlignment w:val="auto"/>
        <w:rPr>
          <w:lang w:val="pt-BR"/>
        </w:rPr>
      </w:pPr>
      <w:r w:rsidRPr="00C50FD1">
        <w:rPr>
          <w:rFonts w:ascii="Tahoma" w:hAnsi="Tahoma" w:cs="Tahoma"/>
          <w:sz w:val="18"/>
          <w:szCs w:val="18"/>
          <w:lang w:val="pt-BR"/>
        </w:rPr>
        <w:t>As licenças de sistema operacional de desktop concedidas nestes programas são apenas licenças de atualização. Não há licenças integrais de sistema operacional de desktop disponíveis nestes programas. Portanto, cada desktop para o qual você adquirir e no qual executar a Atualização para Windows 8 Pro deverá estar licenciado para executar um dos sistemas operacionais qualificados identificados abaixo.</w:t>
      </w:r>
    </w:p>
    <w:p w:rsidR="00435C70" w:rsidRPr="00C50FD1" w:rsidRDefault="00435C70" w:rsidP="00435C70">
      <w:pPr>
        <w:ind w:left="720"/>
        <w:rPr>
          <w:lang w:val="pt-BR"/>
        </w:rPr>
      </w:pPr>
    </w:p>
    <w:p w:rsidR="00B24C9D" w:rsidRPr="00653421" w:rsidRDefault="00B73A46" w:rsidP="009C2B6B">
      <w:pPr>
        <w:ind w:left="720"/>
      </w:pPr>
      <w:r w:rsidRPr="00653421">
        <w:rPr>
          <w:rFonts w:cs="Tahoma"/>
          <w:szCs w:val="18"/>
          <w:u w:val="single"/>
        </w:rPr>
        <w:t>Regras de Sistemas Operacionais Qualificados</w:t>
      </w:r>
    </w:p>
    <w:p w:rsidR="00B73A46" w:rsidRPr="00C50FD1" w:rsidRDefault="00B73A46" w:rsidP="00B24C9D">
      <w:pPr>
        <w:numPr>
          <w:ilvl w:val="1"/>
          <w:numId w:val="102"/>
        </w:numPr>
        <w:spacing w:after="60"/>
        <w:ind w:left="1440"/>
        <w:rPr>
          <w:lang w:val="pt-BR"/>
        </w:rPr>
      </w:pPr>
      <w:r w:rsidRPr="00C50FD1">
        <w:rPr>
          <w:rFonts w:cs="Tahoma"/>
          <w:szCs w:val="18"/>
          <w:lang w:val="pt-BR"/>
        </w:rPr>
        <w:t>O SO qualificado deverá estar instalado no dispositivo ao qual a licença de Atualização de VL será</w:t>
      </w:r>
      <w:r w:rsidR="0006630D" w:rsidRPr="00C50FD1">
        <w:rPr>
          <w:rFonts w:cs="Tahoma"/>
          <w:szCs w:val="18"/>
          <w:lang w:val="pt-BR"/>
        </w:rPr>
        <w:t> </w:t>
      </w:r>
      <w:r w:rsidRPr="00C50FD1">
        <w:rPr>
          <w:rFonts w:cs="Tahoma"/>
          <w:szCs w:val="18"/>
          <w:lang w:val="pt-BR"/>
        </w:rPr>
        <w:t>cedida.</w:t>
      </w:r>
    </w:p>
    <w:p w:rsidR="00827F06" w:rsidRPr="00C50FD1" w:rsidRDefault="00827F06" w:rsidP="00B24C9D">
      <w:pPr>
        <w:numPr>
          <w:ilvl w:val="2"/>
          <w:numId w:val="103"/>
        </w:numPr>
        <w:spacing w:after="60"/>
        <w:ind w:left="1980"/>
        <w:rPr>
          <w:lang w:val="pt-BR"/>
        </w:rPr>
      </w:pPr>
      <w:r w:rsidRPr="00C50FD1">
        <w:rPr>
          <w:color w:val="000000"/>
          <w:lang w:val="pt-BR"/>
        </w:rPr>
        <w:t>Apple Macintosh só será um sistema operacional qualificado se ele for pré-instalado pelo fabricante autorizado antes da venda inicial do computador.</w:t>
      </w:r>
    </w:p>
    <w:p w:rsidR="00B73A46" w:rsidRPr="00C50FD1" w:rsidRDefault="00B73A46" w:rsidP="00B24C9D">
      <w:pPr>
        <w:numPr>
          <w:ilvl w:val="1"/>
          <w:numId w:val="104"/>
        </w:numPr>
        <w:spacing w:after="60"/>
        <w:ind w:left="1440"/>
        <w:rPr>
          <w:lang w:val="pt-BR"/>
        </w:rPr>
      </w:pPr>
      <w:r w:rsidRPr="00C50FD1">
        <w:rPr>
          <w:rFonts w:cs="Tahoma"/>
          <w:szCs w:val="18"/>
          <w:lang w:val="pt-BR"/>
        </w:rPr>
        <w:t xml:space="preserve">Salvo conforme estabelecido a seguir, os clientes devem remover o Sistema Operacional qualificado do dispositivo para implantar a licença de Atualização de VL. </w:t>
      </w:r>
    </w:p>
    <w:p w:rsidR="00B31BB3" w:rsidRPr="00C50FD1" w:rsidRDefault="00B73A46" w:rsidP="00B24C9D">
      <w:pPr>
        <w:numPr>
          <w:ilvl w:val="1"/>
          <w:numId w:val="104"/>
        </w:numPr>
        <w:spacing w:after="60"/>
        <w:ind w:left="1440"/>
        <w:rPr>
          <w:lang w:val="pt-BR"/>
        </w:rPr>
      </w:pPr>
      <w:r w:rsidRPr="00C50FD1">
        <w:rPr>
          <w:rFonts w:cs="Tahoma"/>
          <w:szCs w:val="18"/>
          <w:lang w:val="pt-BR"/>
        </w:rPr>
        <w:t>Os clientes que desejarem instalar ou executar mais de um sistema operacional licenciado de uma vez (incluindo o sistema operacional qualificado) poderão adquirir Software Assurance para sua licença de Atualização de VL.</w:t>
      </w:r>
    </w:p>
    <w:p w:rsidR="00B73A46" w:rsidRPr="00C50FD1" w:rsidRDefault="00B73A46" w:rsidP="00B24C9D">
      <w:pPr>
        <w:numPr>
          <w:ilvl w:val="1"/>
          <w:numId w:val="104"/>
        </w:numPr>
        <w:spacing w:after="60"/>
        <w:ind w:left="1440"/>
        <w:rPr>
          <w:lang w:val="pt-BR"/>
        </w:rPr>
      </w:pPr>
      <w:r w:rsidRPr="00C50FD1">
        <w:rPr>
          <w:rFonts w:cs="Tahoma"/>
          <w:szCs w:val="18"/>
          <w:lang w:val="pt-BR"/>
        </w:rPr>
        <w:t xml:space="preserve">Os clientes que tiverem cobertura do Software Assurance ativa não precisarão desinstalar o SO qualificado e poderão instalar e executar o SO qualificado e o Windows 8 ao mesmo tempo. </w:t>
      </w:r>
    </w:p>
    <w:p w:rsidR="00290BBF" w:rsidRPr="00C50FD1" w:rsidRDefault="00290BBF" w:rsidP="00B73A46">
      <w:pPr>
        <w:pStyle w:val="EndnoteText"/>
        <w:rPr>
          <w:lang w:val="pt-BR"/>
        </w:rPr>
      </w:pPr>
    </w:p>
    <w:p w:rsidR="002512D3" w:rsidRPr="00C50FD1" w:rsidRDefault="002512D3">
      <w:pPr>
        <w:rPr>
          <w:lang w:val="pt-BR"/>
        </w:rPr>
      </w:pPr>
      <w:r w:rsidRPr="00C50FD1">
        <w:rPr>
          <w:rFonts w:cs="Tahoma"/>
          <w:szCs w:val="18"/>
          <w:lang w:val="pt-BR"/>
        </w:rPr>
        <w:br w:type="page"/>
      </w:r>
    </w:p>
    <w:p w:rsidR="00B73A46" w:rsidRPr="00C50FD1" w:rsidRDefault="00B73A46" w:rsidP="002A6416">
      <w:pPr>
        <w:pStyle w:val="EndnoteText"/>
        <w:ind w:left="770"/>
        <w:rPr>
          <w:lang w:val="pt-BR"/>
        </w:rPr>
      </w:pPr>
      <w:r w:rsidRPr="00C50FD1">
        <w:rPr>
          <w:rFonts w:ascii="Tahoma" w:hAnsi="Tahoma" w:cs="Tahoma"/>
          <w:sz w:val="18"/>
          <w:szCs w:val="18"/>
          <w:lang w:val="pt-BR"/>
        </w:rPr>
        <w:lastRenderedPageBreak/>
        <w:t>Os sistemas operacionais qualificados por tipo de Programa são:</w:t>
      </w:r>
    </w:p>
    <w:p w:rsidR="00B73A46" w:rsidRPr="00C50FD1" w:rsidRDefault="00B73A46" w:rsidP="00B73A46">
      <w:pPr>
        <w:pStyle w:val="EndnoteText"/>
        <w:rPr>
          <w:rFonts w:ascii="Tahoma" w:hAnsi="Tahoma" w:cs="Tahoma"/>
          <w:sz w:val="18"/>
          <w:szCs w:val="18"/>
          <w:lang w:val="pt-BR"/>
        </w:rPr>
      </w:pPr>
    </w:p>
    <w:tbl>
      <w:tblPr>
        <w:tblW w:w="9055" w:type="dxa"/>
        <w:tblInd w:w="878" w:type="dxa"/>
        <w:tblLayout w:type="fixed"/>
        <w:tblCellMar>
          <w:left w:w="0" w:type="dxa"/>
          <w:right w:w="0" w:type="dxa"/>
        </w:tblCellMar>
        <w:tblLook w:val="04A0" w:firstRow="1" w:lastRow="0" w:firstColumn="1" w:lastColumn="0" w:noHBand="0" w:noVBand="1"/>
      </w:tblPr>
      <w:tblGrid>
        <w:gridCol w:w="3158"/>
        <w:gridCol w:w="987"/>
        <w:gridCol w:w="1044"/>
        <w:gridCol w:w="1188"/>
        <w:gridCol w:w="1593"/>
        <w:gridCol w:w="1085"/>
      </w:tblGrid>
      <w:tr w:rsidR="00290BBF" w:rsidRPr="00653421" w:rsidTr="000704B0">
        <w:trPr>
          <w:trHeight w:val="900"/>
          <w:tblHeader/>
        </w:trPr>
        <w:tc>
          <w:tcPr>
            <w:tcW w:w="3158"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653421" w:rsidRDefault="009B3FA2" w:rsidP="00026546">
            <w:pPr>
              <w:jc w:val="center"/>
              <w:rPr>
                <w:rFonts w:eastAsia="Calibri" w:cs="Tahoma"/>
                <w:b/>
                <w:bCs/>
                <w:szCs w:val="18"/>
              </w:rPr>
            </w:pPr>
            <w:r w:rsidRPr="00653421">
              <w:rPr>
                <w:rFonts w:cs="Tahoma"/>
                <w:b/>
                <w:bCs/>
                <w:szCs w:val="18"/>
              </w:rPr>
              <w:t>Sistemas operacionais qualificados</w:t>
            </w:r>
          </w:p>
        </w:tc>
        <w:tc>
          <w:tcPr>
            <w:tcW w:w="98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53421" w:rsidRDefault="00B73A46" w:rsidP="000704B0">
            <w:pPr>
              <w:ind w:left="-39" w:firstLine="18"/>
              <w:jc w:val="center"/>
              <w:rPr>
                <w:rFonts w:eastAsia="Calibri" w:cs="Tahoma"/>
                <w:b/>
                <w:bCs/>
                <w:sz w:val="16"/>
                <w:szCs w:val="18"/>
              </w:rPr>
            </w:pPr>
            <w:r w:rsidRPr="00653421">
              <w:rPr>
                <w:rFonts w:cs="Tahoma"/>
                <w:b/>
                <w:bCs/>
                <w:sz w:val="16"/>
                <w:szCs w:val="18"/>
              </w:rPr>
              <w:t>Novo EA/</w:t>
            </w:r>
            <w:r w:rsidRPr="00653421">
              <w:rPr>
                <w:rFonts w:cs="Tahoma"/>
                <w:b/>
                <w:bCs/>
                <w:sz w:val="16"/>
                <w:szCs w:val="18"/>
              </w:rPr>
              <w:br/>
              <w:t>OV-TE</w:t>
            </w:r>
          </w:p>
        </w:tc>
        <w:tc>
          <w:tcPr>
            <w:tcW w:w="104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53421" w:rsidRDefault="00B73A46" w:rsidP="000704B0">
            <w:pPr>
              <w:ind w:left="-54"/>
              <w:jc w:val="center"/>
              <w:rPr>
                <w:rFonts w:eastAsia="Calibri" w:cs="Tahoma"/>
                <w:b/>
                <w:bCs/>
                <w:sz w:val="16"/>
                <w:szCs w:val="18"/>
              </w:rPr>
            </w:pPr>
            <w:r w:rsidRPr="00653421">
              <w:rPr>
                <w:rFonts w:cs="Tahoma"/>
                <w:b/>
                <w:bCs/>
                <w:sz w:val="16"/>
                <w:szCs w:val="18"/>
              </w:rPr>
              <w:t>EA/OV-TE existente</w:t>
            </w:r>
          </w:p>
        </w:tc>
        <w:tc>
          <w:tcPr>
            <w:tcW w:w="118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53421" w:rsidRDefault="00B73A46" w:rsidP="009B3FA2">
            <w:pPr>
              <w:jc w:val="center"/>
              <w:rPr>
                <w:rFonts w:eastAsia="Calibri" w:cs="Tahoma"/>
                <w:b/>
                <w:bCs/>
                <w:sz w:val="16"/>
                <w:szCs w:val="18"/>
              </w:rPr>
            </w:pPr>
            <w:r w:rsidRPr="00653421">
              <w:rPr>
                <w:rFonts w:cs="Tahoma"/>
                <w:b/>
                <w:bCs/>
                <w:sz w:val="16"/>
                <w:szCs w:val="18"/>
              </w:rPr>
              <w:t>Select (todos exceto Academic)</w:t>
            </w:r>
          </w:p>
        </w:tc>
        <w:tc>
          <w:tcPr>
            <w:tcW w:w="159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53421" w:rsidRDefault="00B73A46" w:rsidP="001B15A5">
            <w:pPr>
              <w:jc w:val="center"/>
              <w:rPr>
                <w:rFonts w:eastAsia="Calibri" w:cs="Tahoma"/>
                <w:b/>
                <w:bCs/>
                <w:sz w:val="16"/>
                <w:szCs w:val="18"/>
              </w:rPr>
            </w:pPr>
            <w:r w:rsidRPr="00653421">
              <w:rPr>
                <w:rFonts w:cs="Tahoma"/>
                <w:b/>
                <w:bCs/>
                <w:sz w:val="16"/>
                <w:szCs w:val="18"/>
              </w:rPr>
              <w:t>Open (todos exceto Academic, Charity e OV-TE)</w:t>
            </w:r>
          </w:p>
        </w:tc>
        <w:tc>
          <w:tcPr>
            <w:tcW w:w="108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53421" w:rsidRDefault="00B73A46" w:rsidP="0050116B">
            <w:pPr>
              <w:jc w:val="center"/>
              <w:rPr>
                <w:rFonts w:eastAsia="Calibri" w:cs="Tahoma"/>
                <w:b/>
                <w:bCs/>
                <w:sz w:val="16"/>
                <w:szCs w:val="18"/>
              </w:rPr>
            </w:pPr>
            <w:r w:rsidRPr="00653421">
              <w:rPr>
                <w:rFonts w:cs="Tahoma"/>
                <w:b/>
                <w:bCs/>
                <w:sz w:val="16"/>
                <w:szCs w:val="18"/>
              </w:rPr>
              <w:t>Academic e Charity</w:t>
            </w:r>
          </w:p>
        </w:tc>
      </w:tr>
      <w:tr w:rsidR="008643A3"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rPr>
                <w:rFonts w:cs="Tahoma"/>
                <w:b/>
                <w:bCs/>
                <w:szCs w:val="18"/>
              </w:rPr>
            </w:pPr>
            <w:r w:rsidRPr="00653421">
              <w:rPr>
                <w:rFonts w:cs="Tahoma"/>
                <w:b/>
                <w:bCs/>
                <w:szCs w:val="18"/>
              </w:rPr>
              <w:t>Windows 8 (32 bits ou 64 bits)</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jc w:val="center"/>
              <w:rPr>
                <w:rFonts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jc w:val="center"/>
              <w:rPr>
                <w:rFonts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jc w:val="center"/>
              <w:rPr>
                <w:rFonts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jc w:val="center"/>
              <w:rPr>
                <w:rFonts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jc w:val="center"/>
              <w:rPr>
                <w:rFonts w:cs="Tahoma"/>
                <w:szCs w:val="18"/>
              </w:rPr>
            </w:pPr>
          </w:p>
        </w:tc>
      </w:tr>
      <w:tr w:rsidR="008643A3"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EF7CDD">
            <w:pPr>
              <w:ind w:left="522"/>
              <w:rPr>
                <w:rFonts w:cs="Tahoma"/>
                <w:b/>
                <w:bCs/>
                <w:szCs w:val="18"/>
              </w:rPr>
            </w:pPr>
            <w:r w:rsidRPr="00653421">
              <w:rPr>
                <w:rFonts w:cs="Tahoma"/>
                <w:szCs w:val="18"/>
              </w:rPr>
              <w:t>Enterprise (N, K, KN)</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713A6C">
            <w:pPr>
              <w:jc w:val="center"/>
              <w:rPr>
                <w:rFonts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713A6C">
            <w:pPr>
              <w:jc w:val="center"/>
              <w:rPr>
                <w:rFonts w:cs="Tahoma"/>
                <w:szCs w:val="18"/>
              </w:rPr>
            </w:pPr>
            <w:r w:rsidRPr="00653421">
              <w:rPr>
                <w:rFonts w:cs="Tahoma"/>
                <w:szCs w:val="18"/>
              </w:rPr>
              <w:t>x</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713A6C">
            <w:pPr>
              <w:jc w:val="center"/>
              <w:rPr>
                <w:rFonts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713A6C">
            <w:pPr>
              <w:jc w:val="center"/>
              <w:rPr>
                <w:rFonts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335B9" w:rsidP="00713A6C">
            <w:pPr>
              <w:jc w:val="center"/>
              <w:rPr>
                <w:rFonts w:cs="Tahoma"/>
                <w:szCs w:val="18"/>
              </w:rPr>
            </w:pPr>
            <w:r w:rsidRPr="00653421">
              <w:rPr>
                <w:rFonts w:cs="Tahoma"/>
                <w:szCs w:val="18"/>
              </w:rPr>
              <w:t>x</w:t>
            </w:r>
          </w:p>
        </w:tc>
      </w:tr>
      <w:tr w:rsidR="008643A3"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394D71">
            <w:pPr>
              <w:ind w:left="522"/>
              <w:rPr>
                <w:rFonts w:cs="Tahoma"/>
                <w:b/>
                <w:bCs/>
                <w:szCs w:val="18"/>
              </w:rPr>
            </w:pPr>
            <w:r w:rsidRPr="00653421">
              <w:rPr>
                <w:rFonts w:cs="Tahoma"/>
                <w:szCs w:val="18"/>
              </w:rPr>
              <w:t>Pro (N, K, JN)</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713A6C">
            <w:pPr>
              <w:jc w:val="center"/>
              <w:rPr>
                <w:rFonts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713A6C">
            <w:pPr>
              <w:jc w:val="center"/>
              <w:rPr>
                <w:rFonts w:cs="Tahoma"/>
                <w:szCs w:val="18"/>
              </w:rPr>
            </w:pPr>
            <w:r w:rsidRPr="00653421">
              <w:rPr>
                <w:rFonts w:cs="Tahoma"/>
                <w:szCs w:val="18"/>
              </w:rPr>
              <w:t>x</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713A6C">
            <w:pPr>
              <w:jc w:val="center"/>
              <w:rPr>
                <w:rFonts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713A6C">
            <w:pPr>
              <w:jc w:val="center"/>
              <w:rPr>
                <w:rFonts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335B9" w:rsidP="00713A6C">
            <w:pPr>
              <w:jc w:val="center"/>
              <w:rPr>
                <w:rFonts w:cs="Tahoma"/>
                <w:szCs w:val="18"/>
              </w:rPr>
            </w:pPr>
            <w:r w:rsidRPr="00653421">
              <w:rPr>
                <w:rFonts w:cs="Tahoma"/>
                <w:szCs w:val="18"/>
              </w:rPr>
              <w:t>x</w:t>
            </w:r>
          </w:p>
        </w:tc>
      </w:tr>
      <w:tr w:rsidR="008643A3"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EF7CDD">
            <w:pPr>
              <w:ind w:left="522"/>
              <w:rPr>
                <w:rFonts w:cs="Tahoma"/>
                <w:b/>
                <w:bCs/>
                <w:szCs w:val="18"/>
              </w:rPr>
            </w:pPr>
            <w:r w:rsidRPr="00653421">
              <w:rPr>
                <w:rFonts w:cs="Tahoma"/>
                <w:szCs w:val="18"/>
              </w:rPr>
              <w:t>Windows 8</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jc w:val="center"/>
              <w:rPr>
                <w:rFonts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jc w:val="center"/>
              <w:rPr>
                <w:rFonts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jc w:val="center"/>
              <w:rPr>
                <w:rFonts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8643A3" w:rsidP="00713A6C">
            <w:pPr>
              <w:jc w:val="center"/>
              <w:rPr>
                <w:rFonts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53421" w:rsidRDefault="006C2A69" w:rsidP="00713A6C">
            <w:pPr>
              <w:jc w:val="center"/>
              <w:rPr>
                <w:rFonts w:cs="Tahoma"/>
                <w:szCs w:val="18"/>
              </w:rPr>
            </w:pPr>
            <w:r w:rsidRPr="00653421">
              <w:rPr>
                <w:rFonts w:cs="Tahoma"/>
                <w:szCs w:val="18"/>
              </w:rPr>
              <w:t>x</w:t>
            </w:r>
          </w:p>
        </w:tc>
      </w:tr>
      <w:tr w:rsidR="00EF7CDD"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653421" w:rsidRDefault="00EF7CDD" w:rsidP="00EF7CDD">
            <w:pPr>
              <w:ind w:left="522"/>
              <w:rPr>
                <w:rFonts w:cs="Tahoma"/>
                <w:szCs w:val="18"/>
              </w:rPr>
            </w:pPr>
            <w:r w:rsidRPr="00653421">
              <w:rPr>
                <w:rFonts w:cs="Tahoma"/>
                <w:szCs w:val="18"/>
              </w:rPr>
              <w:t>Windows 8 – Um Idioma</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53421" w:rsidRDefault="00EF7CDD" w:rsidP="00713A6C">
            <w:pPr>
              <w:jc w:val="center"/>
              <w:rPr>
                <w:rFonts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53421" w:rsidRDefault="00EF7CDD" w:rsidP="00713A6C">
            <w:pPr>
              <w:jc w:val="center"/>
              <w:rPr>
                <w:rFonts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53421" w:rsidRDefault="00EF7CDD" w:rsidP="00713A6C">
            <w:pPr>
              <w:jc w:val="center"/>
              <w:rPr>
                <w:rFonts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53421" w:rsidRDefault="00EF7CDD" w:rsidP="00713A6C">
            <w:pPr>
              <w:jc w:val="center"/>
              <w:rPr>
                <w:rFonts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53421" w:rsidRDefault="00EF7CDD" w:rsidP="00713A6C">
            <w:pPr>
              <w:jc w:val="center"/>
              <w:rPr>
                <w:rFonts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rPr>
                <w:rFonts w:eastAsia="Calibri" w:cs="Tahoma"/>
                <w:b/>
                <w:bCs/>
                <w:szCs w:val="18"/>
              </w:rPr>
            </w:pPr>
            <w:r w:rsidRPr="00653421">
              <w:rPr>
                <w:rFonts w:cs="Tahoma"/>
                <w:b/>
                <w:bCs/>
                <w:szCs w:val="18"/>
              </w:rPr>
              <w:t>Windows 7 (32 bits ou 64 bits)</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Enterprise (N, K, KN)</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D47417">
            <w:pPr>
              <w:ind w:left="522" w:firstLine="18"/>
              <w:rPr>
                <w:rFonts w:eastAsia="Calibri" w:cs="Tahoma"/>
                <w:szCs w:val="18"/>
                <w:lang w:val="pt-BR"/>
              </w:rPr>
            </w:pPr>
            <w:r w:rsidRPr="00C50FD1">
              <w:rPr>
                <w:rFonts w:cs="Tahoma"/>
                <w:szCs w:val="18"/>
                <w:lang w:val="pt-BR"/>
              </w:rPr>
              <w:t>Professional (N, K, KN, Diskless)</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Ultimate</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Home Premium</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Home Basic</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EF7CDD">
            <w:pPr>
              <w:ind w:left="522"/>
              <w:rPr>
                <w:rFonts w:eastAsia="Calibri" w:cs="Tahoma"/>
                <w:szCs w:val="18"/>
              </w:rPr>
            </w:pPr>
            <w:r w:rsidRPr="00653421">
              <w:rPr>
                <w:rFonts w:cs="Tahoma"/>
                <w:szCs w:val="18"/>
              </w:rPr>
              <w:t>Starter Edition</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C50FD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06630D">
            <w:pPr>
              <w:rPr>
                <w:rFonts w:eastAsia="Calibri" w:cs="Tahoma"/>
                <w:b/>
                <w:bCs/>
                <w:szCs w:val="18"/>
                <w:lang w:val="pt-BR"/>
              </w:rPr>
            </w:pPr>
            <w:r w:rsidRPr="00C50FD1">
              <w:rPr>
                <w:rFonts w:cs="Tahoma"/>
                <w:b/>
                <w:bCs/>
                <w:szCs w:val="18"/>
                <w:lang w:val="pt-BR"/>
              </w:rPr>
              <w:t>Windows Vista (32</w:t>
            </w:r>
            <w:r w:rsidR="0006630D" w:rsidRPr="00C50FD1">
              <w:rPr>
                <w:rFonts w:cs="Tahoma"/>
                <w:b/>
                <w:bCs/>
                <w:szCs w:val="18"/>
                <w:lang w:val="pt-BR"/>
              </w:rPr>
              <w:t> </w:t>
            </w:r>
            <w:r w:rsidRPr="00C50FD1">
              <w:rPr>
                <w:rFonts w:cs="Tahoma"/>
                <w:b/>
                <w:bCs/>
                <w:szCs w:val="18"/>
                <w:lang w:val="pt-BR"/>
              </w:rPr>
              <w:t>bits</w:t>
            </w:r>
            <w:r w:rsidR="0006630D" w:rsidRPr="00C50FD1">
              <w:rPr>
                <w:rFonts w:cs="Tahoma"/>
                <w:b/>
                <w:bCs/>
                <w:szCs w:val="18"/>
                <w:lang w:val="pt-BR"/>
              </w:rPr>
              <w:t> </w:t>
            </w:r>
            <w:r w:rsidRPr="00C50FD1">
              <w:rPr>
                <w:rFonts w:cs="Tahoma"/>
                <w:b/>
                <w:bCs/>
                <w:szCs w:val="18"/>
                <w:lang w:val="pt-BR"/>
              </w:rPr>
              <w:t>ou</w:t>
            </w:r>
            <w:r w:rsidR="0006630D" w:rsidRPr="00C50FD1">
              <w:rPr>
                <w:rFonts w:cs="Tahoma"/>
                <w:b/>
                <w:bCs/>
                <w:szCs w:val="18"/>
                <w:lang w:val="pt-BR"/>
              </w:rPr>
              <w:t> </w:t>
            </w:r>
            <w:r w:rsidRPr="00C50FD1">
              <w:rPr>
                <w:rFonts w:cs="Tahoma"/>
                <w:b/>
                <w:bCs/>
                <w:szCs w:val="18"/>
                <w:lang w:val="pt-BR"/>
              </w:rPr>
              <w:t>64</w:t>
            </w:r>
            <w:r w:rsidR="0006630D" w:rsidRPr="00C50FD1">
              <w:rPr>
                <w:rFonts w:cs="Tahoma"/>
                <w:b/>
                <w:bCs/>
                <w:szCs w:val="18"/>
                <w:lang w:val="pt-BR"/>
              </w:rPr>
              <w:t> </w:t>
            </w:r>
            <w:r w:rsidRPr="00C50FD1">
              <w:rPr>
                <w:rFonts w:cs="Tahoma"/>
                <w:b/>
                <w:bCs/>
                <w:szCs w:val="18"/>
                <w:lang w:val="pt-BR"/>
              </w:rPr>
              <w:t>bits)</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jc w:val="center"/>
              <w:rPr>
                <w:rFonts w:eastAsia="Calibri" w:cs="Tahoma"/>
                <w:szCs w:val="18"/>
                <w:lang w:val="pt-BR"/>
              </w:rPr>
            </w:pPr>
            <w:r w:rsidRPr="00C50FD1">
              <w:rPr>
                <w:rFonts w:cs="Tahoma"/>
                <w:szCs w:val="18"/>
                <w:lang w:val="pt-BR"/>
              </w:rPr>
              <w:t xml:space="preserve"> </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jc w:val="center"/>
              <w:rPr>
                <w:rFonts w:eastAsia="Calibri" w:cs="Tahoma"/>
                <w:szCs w:val="18"/>
                <w:lang w:val="pt-BR"/>
              </w:rPr>
            </w:pPr>
            <w:r w:rsidRPr="00C50FD1">
              <w:rPr>
                <w:rFonts w:cs="Tahoma"/>
                <w:szCs w:val="18"/>
                <w:lang w:val="pt-BR"/>
              </w:rPr>
              <w:t xml:space="preserve"> </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jc w:val="center"/>
              <w:rPr>
                <w:rFonts w:eastAsia="Calibri" w:cs="Tahoma"/>
                <w:szCs w:val="18"/>
                <w:lang w:val="pt-BR"/>
              </w:rPr>
            </w:pPr>
            <w:r w:rsidRPr="00C50FD1">
              <w:rPr>
                <w:rFonts w:cs="Tahoma"/>
                <w:szCs w:val="18"/>
                <w:lang w:val="pt-BR"/>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jc w:val="center"/>
              <w:rPr>
                <w:rFonts w:eastAsia="Calibri" w:cs="Tahoma"/>
                <w:szCs w:val="18"/>
                <w:lang w:val="pt-BR"/>
              </w:rPr>
            </w:pPr>
            <w:r w:rsidRPr="00C50FD1">
              <w:rPr>
                <w:rFonts w:cs="Tahoma"/>
                <w:szCs w:val="18"/>
                <w:lang w:val="pt-BR"/>
              </w:rPr>
              <w:t xml:space="preserve">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jc w:val="center"/>
              <w:rPr>
                <w:rFonts w:eastAsia="Calibri" w:cs="Tahoma"/>
                <w:szCs w:val="18"/>
                <w:lang w:val="pt-BR"/>
              </w:rPr>
            </w:pPr>
            <w:r w:rsidRPr="00C50FD1">
              <w:rPr>
                <w:rFonts w:cs="Tahoma"/>
                <w:szCs w:val="18"/>
                <w:lang w:val="pt-BR"/>
              </w:rPr>
              <w:t xml:space="preserve"> </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Enterprise (N, K, KN)</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Business (N, K, KN, Blade)</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Ultimate</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Home Premium</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Home Basic</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4C3222">
            <w:pPr>
              <w:ind w:left="522"/>
              <w:rPr>
                <w:rFonts w:eastAsia="Calibri" w:cs="Tahoma"/>
                <w:bCs/>
                <w:szCs w:val="18"/>
              </w:rPr>
            </w:pPr>
            <w:r w:rsidRPr="00653421">
              <w:rPr>
                <w:rFonts w:cs="Tahoma"/>
                <w:szCs w:val="18"/>
              </w:rPr>
              <w:t>Starter Edition</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rPr>
                <w:rFonts w:eastAsia="Calibri" w:cs="Tahoma"/>
                <w:b/>
                <w:szCs w:val="18"/>
              </w:rPr>
            </w:pPr>
            <w:r w:rsidRPr="00653421">
              <w:rPr>
                <w:rFonts w:cs="Tahoma"/>
                <w:b/>
                <w:bCs/>
                <w:szCs w:val="18"/>
              </w:rPr>
              <w:t>Windows XP (32 bits ou 64 bits)</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left="564"/>
              <w:rPr>
                <w:rFonts w:eastAsia="Calibri" w:cs="Tahoma"/>
                <w:szCs w:val="18"/>
                <w:lang w:val="pt-BR"/>
              </w:rPr>
            </w:pPr>
            <w:r w:rsidRPr="00C50FD1">
              <w:rPr>
                <w:rFonts w:cs="Tahoma"/>
                <w:szCs w:val="18"/>
                <w:lang w:val="pt-BR"/>
              </w:rPr>
              <w:t>Professional (N, K, KN, Blade)</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0704B0">
            <w:pPr>
              <w:ind w:left="564"/>
              <w:rPr>
                <w:rFonts w:eastAsia="Calibri" w:cs="Tahoma"/>
                <w:szCs w:val="18"/>
                <w:lang w:val="da-DK"/>
              </w:rPr>
            </w:pPr>
            <w:r w:rsidRPr="00C50FD1">
              <w:rPr>
                <w:rFonts w:cs="Tahoma"/>
                <w:szCs w:val="18"/>
                <w:lang w:val="da-DK"/>
              </w:rPr>
              <w:t>Tablet Edition (N,</w:t>
            </w:r>
            <w:r w:rsidR="000704B0" w:rsidRPr="00C50FD1">
              <w:rPr>
                <w:rFonts w:cs="Tahoma"/>
                <w:szCs w:val="18"/>
                <w:lang w:val="da-DK"/>
              </w:rPr>
              <w:t> </w:t>
            </w:r>
            <w:r w:rsidRPr="00C50FD1">
              <w:rPr>
                <w:rFonts w:cs="Tahoma"/>
                <w:szCs w:val="18"/>
                <w:lang w:val="da-DK"/>
              </w:rPr>
              <w:t>K,</w:t>
            </w:r>
            <w:r w:rsidR="000704B0" w:rsidRPr="00C50FD1">
              <w:rPr>
                <w:rFonts w:cs="Tahoma"/>
                <w:szCs w:val="18"/>
                <w:lang w:val="da-DK"/>
              </w:rPr>
              <w:t> </w:t>
            </w:r>
            <w:r w:rsidRPr="00C50FD1">
              <w:rPr>
                <w:rFonts w:cs="Tahoma"/>
                <w:szCs w:val="18"/>
                <w:lang w:val="da-DK"/>
              </w:rPr>
              <w:t>KN,</w:t>
            </w:r>
            <w:r w:rsidR="000704B0" w:rsidRPr="00C50FD1">
              <w:rPr>
                <w:rFonts w:cs="Tahoma"/>
                <w:szCs w:val="18"/>
                <w:lang w:val="da-DK"/>
              </w:rPr>
              <w:t> </w:t>
            </w:r>
            <w:r w:rsidRPr="00C50FD1">
              <w:rPr>
                <w:rFonts w:cs="Tahoma"/>
                <w:szCs w:val="18"/>
                <w:lang w:val="da-DK"/>
              </w:rPr>
              <w:t>Blade)</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left="564"/>
              <w:rPr>
                <w:rFonts w:eastAsia="Calibri" w:cs="Tahoma"/>
                <w:szCs w:val="18"/>
              </w:rPr>
            </w:pPr>
            <w:r w:rsidRPr="00653421">
              <w:rPr>
                <w:rFonts w:cs="Tahoma"/>
                <w:szCs w:val="18"/>
              </w:rPr>
              <w:t>XP Pro N</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left="564"/>
              <w:rPr>
                <w:rFonts w:eastAsia="Calibri" w:cs="Tahoma"/>
                <w:szCs w:val="18"/>
              </w:rPr>
            </w:pPr>
            <w:r w:rsidRPr="00653421">
              <w:rPr>
                <w:rFonts w:cs="Tahoma"/>
                <w:szCs w:val="18"/>
              </w:rPr>
              <w:t>XP Pro Blade PC</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53421" w:rsidRDefault="00B73A46" w:rsidP="00713A6C">
            <w:pPr>
              <w:jc w:val="center"/>
              <w:rPr>
                <w:rFonts w:eastAsia="Calibri"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left="564"/>
              <w:rPr>
                <w:rFonts w:eastAsia="Calibri" w:cs="Tahoma"/>
                <w:szCs w:val="18"/>
              </w:rPr>
            </w:pPr>
            <w:r w:rsidRPr="00653421">
              <w:rPr>
                <w:rFonts w:cs="Tahoma"/>
                <w:szCs w:val="18"/>
              </w:rPr>
              <w:t>Home &amp; Starter Edition</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rPr>
                <w:rFonts w:eastAsia="Times New Roman"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 xml:space="preserve">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53421" w:rsidRDefault="00B73A46" w:rsidP="00713A6C">
            <w:pPr>
              <w:rPr>
                <w:rFonts w:eastAsia="Calibri" w:cs="Tahoma"/>
                <w:b/>
                <w:szCs w:val="18"/>
              </w:rPr>
            </w:pPr>
            <w:r w:rsidRPr="00653421">
              <w:rPr>
                <w:rFonts w:cs="Tahoma"/>
                <w:b/>
                <w:bCs/>
                <w:szCs w:val="18"/>
              </w:rPr>
              <w:t>Windows 2000 Professional</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rPr>
                <w:rFonts w:eastAsia="Times New Roman"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53421" w:rsidRDefault="00B73A46" w:rsidP="00713A6C">
            <w:pPr>
              <w:rPr>
                <w:rFonts w:eastAsia="Calibri" w:cs="Tahoma"/>
                <w:b/>
                <w:bCs/>
                <w:szCs w:val="18"/>
              </w:rPr>
            </w:pPr>
            <w:r w:rsidRPr="00653421">
              <w:rPr>
                <w:rFonts w:cs="Tahoma"/>
                <w:b/>
                <w:bCs/>
                <w:szCs w:val="18"/>
              </w:rPr>
              <w:t>Windows NT Workstation 4.0</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rPr>
                <w:rFonts w:eastAsia="Times New Roman"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53421" w:rsidRDefault="00B73A46" w:rsidP="0006630D">
            <w:pPr>
              <w:rPr>
                <w:rFonts w:eastAsia="Calibri" w:cs="Tahoma"/>
                <w:b/>
                <w:bCs/>
                <w:szCs w:val="18"/>
              </w:rPr>
            </w:pPr>
            <w:r w:rsidRPr="00653421">
              <w:rPr>
                <w:rFonts w:cs="Tahoma"/>
                <w:b/>
                <w:bCs/>
                <w:szCs w:val="18"/>
              </w:rPr>
              <w:t>Windows 98 (incluindo</w:t>
            </w:r>
            <w:r w:rsidR="0006630D" w:rsidRPr="00653421">
              <w:rPr>
                <w:rFonts w:cs="Tahoma"/>
                <w:b/>
                <w:bCs/>
                <w:szCs w:val="18"/>
              </w:rPr>
              <w:t> </w:t>
            </w:r>
            <w:r w:rsidRPr="00653421">
              <w:rPr>
                <w:rFonts w:cs="Tahoma"/>
                <w:b/>
                <w:bCs/>
                <w:szCs w:val="18"/>
              </w:rPr>
              <w:t>2ª</w:t>
            </w:r>
            <w:r w:rsidR="0006630D" w:rsidRPr="00653421">
              <w:rPr>
                <w:rFonts w:cs="Tahoma"/>
                <w:b/>
                <w:bCs/>
                <w:szCs w:val="18"/>
              </w:rPr>
              <w:t> </w:t>
            </w:r>
            <w:r w:rsidRPr="00653421">
              <w:rPr>
                <w:rFonts w:cs="Tahoma"/>
                <w:b/>
                <w:bCs/>
                <w:szCs w:val="18"/>
              </w:rPr>
              <w:t>Edição)</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rPr>
                <w:rFonts w:eastAsia="Times New Roman"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r w:rsidR="00290BBF" w:rsidRPr="00653421" w:rsidTr="000704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53421" w:rsidRDefault="00B73A46" w:rsidP="00713A6C">
            <w:pPr>
              <w:rPr>
                <w:rFonts w:eastAsia="Calibri" w:cs="Tahoma"/>
                <w:b/>
                <w:bCs/>
                <w:szCs w:val="18"/>
              </w:rPr>
            </w:pPr>
            <w:r w:rsidRPr="00653421">
              <w:rPr>
                <w:rFonts w:cs="Tahoma"/>
                <w:b/>
                <w:bCs/>
                <w:szCs w:val="18"/>
              </w:rPr>
              <w:t>Apple Macintosh</w:t>
            </w:r>
          </w:p>
        </w:tc>
        <w:tc>
          <w:tcPr>
            <w:tcW w:w="9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rPr>
                <w:rFonts w:eastAsia="Times New Roman" w:cs="Tahoma"/>
                <w:szCs w:val="18"/>
              </w:rPr>
            </w:pPr>
          </w:p>
        </w:tc>
        <w:tc>
          <w:tcPr>
            <w:tcW w:w="11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r>
    </w:tbl>
    <w:p w:rsidR="00B73A46" w:rsidRPr="00C50FD1" w:rsidRDefault="00B73A46" w:rsidP="00A9705B">
      <w:pPr>
        <w:ind w:left="873"/>
        <w:rPr>
          <w:lang w:val="pt-BR"/>
        </w:rPr>
      </w:pPr>
      <w:r w:rsidRPr="00C50FD1">
        <w:rPr>
          <w:rFonts w:cs="Tahoma"/>
          <w:bCs/>
          <w:i/>
          <w:iCs/>
          <w:sz w:val="14"/>
          <w:szCs w:val="14"/>
          <w:u w:val="single"/>
          <w:lang w:val="pt-BR"/>
        </w:rPr>
        <w:t>Observação</w:t>
      </w:r>
      <w:r w:rsidRPr="00C50FD1">
        <w:rPr>
          <w:rFonts w:cs="Tahoma"/>
          <w:i/>
          <w:iCs/>
          <w:sz w:val="14"/>
          <w:szCs w:val="14"/>
          <w:lang w:val="pt-BR"/>
        </w:rPr>
        <w:t xml:space="preserve">: </w:t>
      </w:r>
      <w:r w:rsidRPr="00C50FD1">
        <w:rPr>
          <w:rFonts w:cs="Tahoma"/>
          <w:i/>
          <w:iCs/>
          <w:sz w:val="14"/>
          <w:szCs w:val="14"/>
          <w:lang w:val="pt-BR"/>
        </w:rPr>
        <w:br/>
        <w:t xml:space="preserve">Academic inclui os Contratos Campus e School, Open Value Subscription - Soluções Educacionais, </w:t>
      </w:r>
      <w:r w:rsidR="006659B5" w:rsidRPr="00C50FD1">
        <w:rPr>
          <w:rFonts w:cs="Tahoma"/>
          <w:i/>
          <w:iCs/>
          <w:sz w:val="14"/>
          <w:szCs w:val="14"/>
          <w:lang w:val="pt-BR"/>
        </w:rPr>
        <w:br/>
      </w:r>
      <w:r w:rsidRPr="00C50FD1">
        <w:rPr>
          <w:rFonts w:cs="Tahoma"/>
          <w:i/>
          <w:iCs/>
          <w:sz w:val="14"/>
          <w:szCs w:val="14"/>
          <w:lang w:val="pt-BR"/>
        </w:rPr>
        <w:t>Programas Select - Academic e Open - Academic</w:t>
      </w:r>
      <w:r w:rsidRPr="00C50FD1">
        <w:rPr>
          <w:rFonts w:cs="Tahoma"/>
          <w:i/>
          <w:iCs/>
          <w:sz w:val="14"/>
          <w:szCs w:val="14"/>
          <w:lang w:val="pt-BR"/>
        </w:rPr>
        <w:br/>
        <w:t>EA = Contrato Enterprise</w:t>
      </w:r>
      <w:r w:rsidRPr="00C50FD1">
        <w:rPr>
          <w:rFonts w:cs="Tahoma"/>
          <w:i/>
          <w:iCs/>
          <w:sz w:val="14"/>
          <w:szCs w:val="14"/>
          <w:lang w:val="pt-BR"/>
        </w:rPr>
        <w:br/>
        <w:t>OV-TE = Open Value – Opção para toda a empresa</w:t>
      </w:r>
    </w:p>
    <w:p w:rsidR="00B73A46" w:rsidRPr="00C50FD1" w:rsidRDefault="00B73A46" w:rsidP="00A9705B">
      <w:pPr>
        <w:ind w:left="873"/>
        <w:rPr>
          <w:lang w:val="pt-BR"/>
        </w:rPr>
      </w:pPr>
      <w:r w:rsidRPr="00C50FD1">
        <w:rPr>
          <w:rFonts w:cs="Tahoma"/>
          <w:i/>
          <w:iCs/>
          <w:sz w:val="14"/>
          <w:szCs w:val="14"/>
          <w:lang w:val="pt-BR"/>
        </w:rPr>
        <w:t>‘N’, ‘K’ e ‘KN’ são edições especializadas disponíveis em determinados mercados.</w:t>
      </w:r>
    </w:p>
    <w:p w:rsidR="00042D1C" w:rsidRPr="00C50FD1" w:rsidRDefault="00042D1C">
      <w:pPr>
        <w:rPr>
          <w:lang w:val="pt-BR"/>
        </w:rPr>
      </w:pPr>
      <w:r w:rsidRPr="00C50FD1">
        <w:rPr>
          <w:lang w:val="pt-BR"/>
        </w:rPr>
        <w:br w:type="page"/>
      </w:r>
    </w:p>
    <w:p w:rsidR="00B73A46" w:rsidRPr="00C50FD1" w:rsidRDefault="00B73A46" w:rsidP="00B24C9D">
      <w:pPr>
        <w:ind w:left="720"/>
        <w:rPr>
          <w:lang w:val="pt-BR"/>
        </w:rPr>
      </w:pPr>
      <w:r w:rsidRPr="00C50FD1">
        <w:rPr>
          <w:rFonts w:cs="Tahoma"/>
          <w:szCs w:val="18"/>
          <w:lang w:val="pt-BR"/>
        </w:rPr>
        <w:lastRenderedPageBreak/>
        <w:t>As seguintes condições se aplicam ao Windows XP Starter Edition (SE), ao Windows Vista Starter Edition (SE) e ao Windows 7 Starter Edition:</w:t>
      </w:r>
    </w:p>
    <w:p w:rsidR="00B73A46" w:rsidRPr="00C50FD1" w:rsidRDefault="00B73A46" w:rsidP="00B24C9D">
      <w:pPr>
        <w:ind w:left="720"/>
        <w:rPr>
          <w:lang w:val="pt-BR"/>
        </w:rPr>
      </w:pPr>
    </w:p>
    <w:p w:rsidR="00B73A46" w:rsidRPr="00C50FD1" w:rsidRDefault="00B73A46" w:rsidP="00B24C9D">
      <w:pPr>
        <w:pStyle w:val="ColorfulList-Accent11"/>
        <w:numPr>
          <w:ilvl w:val="0"/>
          <w:numId w:val="42"/>
        </w:numPr>
        <w:ind w:left="1440"/>
        <w:rPr>
          <w:lang w:val="pt-BR"/>
        </w:rPr>
      </w:pPr>
      <w:r w:rsidRPr="00C50FD1">
        <w:rPr>
          <w:rFonts w:ascii="Tahoma" w:hAnsi="Tahoma" w:cs="Tahoma"/>
          <w:sz w:val="18"/>
          <w:szCs w:val="18"/>
          <w:lang w:val="pt-BR"/>
        </w:rPr>
        <w:t xml:space="preserve">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 </w:t>
      </w:r>
    </w:p>
    <w:p w:rsidR="00B73A46" w:rsidRPr="00C50FD1" w:rsidRDefault="00B73A46" w:rsidP="00B24C9D">
      <w:pPr>
        <w:pStyle w:val="ColorfulList-Accent11"/>
        <w:rPr>
          <w:lang w:val="pt-BR"/>
        </w:rPr>
      </w:pPr>
      <w:r w:rsidRPr="00C50FD1">
        <w:rPr>
          <w:rFonts w:ascii="Tahoma" w:hAnsi="Tahoma" w:cs="Tahoma"/>
          <w:sz w:val="18"/>
          <w:szCs w:val="18"/>
          <w:lang w:val="pt-BR"/>
        </w:rPr>
        <w:t xml:space="preserve">Os clientes que adquirirem a atualização dessa forma renunciam a qualquer direito de transferir essa licença fora do país onde a compra foi efetuada. </w:t>
      </w:r>
    </w:p>
    <w:p w:rsidR="00B73A46" w:rsidRPr="00C50FD1" w:rsidRDefault="00B73A46" w:rsidP="00B24C9D">
      <w:pPr>
        <w:pStyle w:val="EndnoteText"/>
        <w:ind w:left="360"/>
        <w:rPr>
          <w:lang w:val="pt-BR"/>
        </w:rPr>
      </w:pPr>
    </w:p>
    <w:p w:rsidR="00B73A46" w:rsidRPr="00C50FD1" w:rsidRDefault="00B73A46" w:rsidP="00B24C9D">
      <w:pPr>
        <w:pStyle w:val="FootnoteBulletLevel1"/>
        <w:tabs>
          <w:tab w:val="clear" w:pos="900"/>
        </w:tabs>
        <w:spacing w:before="0" w:after="0"/>
        <w:ind w:left="720" w:firstLine="0"/>
        <w:rPr>
          <w:lang w:val="pt-BR"/>
        </w:rPr>
      </w:pPr>
      <w:r w:rsidRPr="00C50FD1">
        <w:rPr>
          <w:rFonts w:ascii="Tahoma" w:hAnsi="Tahoma" w:cs="Tahoma"/>
          <w:sz w:val="18"/>
          <w:szCs w:val="18"/>
          <w:lang w:val="pt-BR"/>
        </w:rPr>
        <w:t>Qualquer sistema operacional não listado acima não é um SO qualificado; por exemplo:</w:t>
      </w:r>
    </w:p>
    <w:p w:rsidR="00B24C9D" w:rsidRPr="00C50FD1" w:rsidRDefault="00B24C9D" w:rsidP="00B24C9D">
      <w:pPr>
        <w:pStyle w:val="FootnoteBulletLevel1"/>
        <w:tabs>
          <w:tab w:val="clear" w:pos="900"/>
        </w:tabs>
        <w:spacing w:before="0" w:after="0"/>
        <w:ind w:left="720" w:firstLine="0"/>
        <w:rPr>
          <w:lang w:val="pt-BR"/>
        </w:rPr>
      </w:pPr>
    </w:p>
    <w:p w:rsidR="00B73A46" w:rsidRPr="00C50FD1" w:rsidRDefault="00B73A46" w:rsidP="00B24C9D">
      <w:pPr>
        <w:pStyle w:val="FootnoteBulletLevel2"/>
        <w:numPr>
          <w:ilvl w:val="0"/>
          <w:numId w:val="43"/>
        </w:numPr>
        <w:adjustRightInd/>
        <w:spacing w:before="0" w:after="60"/>
        <w:ind w:left="1440"/>
        <w:textAlignment w:val="auto"/>
        <w:rPr>
          <w:lang w:val="pt-BR"/>
        </w:rPr>
      </w:pPr>
      <w:r w:rsidRPr="00C50FD1">
        <w:rPr>
          <w:rFonts w:ascii="Tahoma" w:hAnsi="Tahoma" w:cs="Tahoma"/>
          <w:sz w:val="18"/>
          <w:szCs w:val="18"/>
          <w:lang w:val="pt-BR"/>
        </w:rPr>
        <w:t>Sistemas Incorporados (por exemplo, Windows 9.x incorporado, Windows XP incorporado) não</w:t>
      </w:r>
      <w:r w:rsidR="000704B0" w:rsidRPr="00C50FD1">
        <w:rPr>
          <w:rFonts w:ascii="Tahoma" w:hAnsi="Tahoma" w:cs="Tahoma"/>
          <w:sz w:val="18"/>
          <w:szCs w:val="18"/>
          <w:lang w:val="pt-BR"/>
        </w:rPr>
        <w:t> </w:t>
      </w:r>
      <w:r w:rsidRPr="00C50FD1">
        <w:rPr>
          <w:rFonts w:ascii="Tahoma" w:hAnsi="Tahoma" w:cs="Tahoma"/>
          <w:sz w:val="18"/>
          <w:szCs w:val="18"/>
          <w:lang w:val="pt-BR"/>
        </w:rPr>
        <w:t>estão qualificados para as Atualizações para Windows 8 Pro.</w:t>
      </w:r>
    </w:p>
    <w:p w:rsidR="00B73A46" w:rsidRPr="00C50FD1" w:rsidRDefault="00B73A46" w:rsidP="00B24C9D">
      <w:pPr>
        <w:pStyle w:val="FootnoteBulletLevel2"/>
        <w:numPr>
          <w:ilvl w:val="0"/>
          <w:numId w:val="43"/>
        </w:numPr>
        <w:adjustRightInd/>
        <w:spacing w:before="0" w:after="60"/>
        <w:ind w:left="1440"/>
        <w:textAlignment w:val="auto"/>
        <w:rPr>
          <w:lang w:val="pt-BR"/>
        </w:rPr>
      </w:pPr>
      <w:r w:rsidRPr="00C50FD1">
        <w:rPr>
          <w:rFonts w:ascii="Tahoma" w:hAnsi="Tahoma" w:cs="Tahoma"/>
          <w:sz w:val="18"/>
          <w:szCs w:val="18"/>
          <w:lang w:val="pt-BR"/>
        </w:rPr>
        <w:t>Linux ou OS/2 não estão qualificados para as Atualizações para Windows 8 Pro.</w:t>
      </w:r>
    </w:p>
    <w:p w:rsidR="00B73A46" w:rsidRPr="00C50FD1" w:rsidRDefault="00B73A46" w:rsidP="00B24C9D">
      <w:pPr>
        <w:pStyle w:val="FootnoteBulletLevel2"/>
        <w:numPr>
          <w:ilvl w:val="0"/>
          <w:numId w:val="43"/>
        </w:numPr>
        <w:adjustRightInd/>
        <w:spacing w:before="0" w:after="60"/>
        <w:ind w:left="1440"/>
        <w:textAlignment w:val="auto"/>
        <w:rPr>
          <w:lang w:val="pt-BR"/>
        </w:rPr>
      </w:pPr>
      <w:r w:rsidRPr="00C50FD1">
        <w:rPr>
          <w:rFonts w:ascii="Tahoma" w:hAnsi="Tahoma" w:cs="Tahoma"/>
          <w:sz w:val="18"/>
          <w:szCs w:val="18"/>
          <w:lang w:val="pt-BR"/>
        </w:rPr>
        <w:t>A Licença de Acesso para Cliente do Windows Terminal Services não está qualificada para as</w:t>
      </w:r>
      <w:r w:rsidR="000704B0" w:rsidRPr="00C50FD1">
        <w:rPr>
          <w:rFonts w:ascii="Tahoma" w:hAnsi="Tahoma" w:cs="Tahoma"/>
          <w:sz w:val="18"/>
          <w:szCs w:val="18"/>
          <w:lang w:val="pt-BR"/>
        </w:rPr>
        <w:t> </w:t>
      </w:r>
      <w:r w:rsidRPr="00C50FD1">
        <w:rPr>
          <w:rFonts w:ascii="Tahoma" w:hAnsi="Tahoma" w:cs="Tahoma"/>
          <w:sz w:val="18"/>
          <w:szCs w:val="18"/>
          <w:lang w:val="pt-BR"/>
        </w:rPr>
        <w:t>Atualizações para Windows 8 Pro.</w:t>
      </w:r>
    </w:p>
    <w:p w:rsidR="00B24C9D" w:rsidRPr="00C50FD1" w:rsidRDefault="00B24C9D" w:rsidP="00B24C9D">
      <w:pPr>
        <w:pStyle w:val="FootnoteBulletLevel2"/>
        <w:tabs>
          <w:tab w:val="clear" w:pos="1260"/>
        </w:tabs>
        <w:adjustRightInd/>
        <w:spacing w:before="0"/>
        <w:ind w:left="1080" w:firstLine="0"/>
        <w:textAlignment w:val="auto"/>
        <w:rPr>
          <w:lang w:val="pt-BR"/>
        </w:rPr>
      </w:pPr>
    </w:p>
    <w:p w:rsidR="00B24C9D" w:rsidRPr="00C50FD1" w:rsidRDefault="00B73A46" w:rsidP="00B24C9D">
      <w:pPr>
        <w:pStyle w:val="FootnoteBulletLevel2"/>
        <w:tabs>
          <w:tab w:val="clear" w:pos="1260"/>
        </w:tabs>
        <w:spacing w:before="0"/>
        <w:ind w:left="720" w:firstLine="0"/>
        <w:rPr>
          <w:lang w:val="pt-BR"/>
        </w:rPr>
      </w:pPr>
      <w:r w:rsidRPr="00C50FD1">
        <w:rPr>
          <w:rFonts w:ascii="Tahoma" w:hAnsi="Tahoma" w:cs="Tahoma"/>
          <w:sz w:val="18"/>
          <w:szCs w:val="18"/>
          <w:lang w:val="pt-BR"/>
        </w:rPr>
        <w:t>Os requisitos a seguir se aplicam à restauração ao estado anterior do Windows:</w:t>
      </w:r>
    </w:p>
    <w:p w:rsidR="00B73A46" w:rsidRPr="00C50FD1" w:rsidRDefault="00B73A46" w:rsidP="00B24C9D">
      <w:pPr>
        <w:pStyle w:val="FootnoteBulletLevel2"/>
        <w:tabs>
          <w:tab w:val="clear" w:pos="1260"/>
        </w:tabs>
        <w:spacing w:before="0"/>
        <w:ind w:left="720" w:firstLine="0"/>
        <w:rPr>
          <w:lang w:val="pt-BR"/>
        </w:rPr>
      </w:pPr>
      <w:r w:rsidRPr="00C50FD1">
        <w:rPr>
          <w:rFonts w:ascii="Tahoma" w:hAnsi="Tahoma" w:cs="Tahoma"/>
          <w:sz w:val="18"/>
          <w:szCs w:val="18"/>
          <w:lang w:val="pt-BR"/>
        </w:rPr>
        <w:t xml:space="preserve"> </w:t>
      </w:r>
    </w:p>
    <w:p w:rsidR="00B73A46" w:rsidRPr="00C50FD1" w:rsidRDefault="00B73A46" w:rsidP="00B24C9D">
      <w:pPr>
        <w:pStyle w:val="FootnoteBulletLevel2"/>
        <w:tabs>
          <w:tab w:val="clear" w:pos="1260"/>
        </w:tabs>
        <w:spacing w:before="0"/>
        <w:ind w:left="720" w:firstLine="0"/>
        <w:rPr>
          <w:lang w:val="pt-BR"/>
        </w:rPr>
      </w:pPr>
      <w:r w:rsidRPr="00C50FD1">
        <w:rPr>
          <w:rFonts w:ascii="Tahoma" w:hAnsi="Tahoma" w:cs="Tahoma"/>
          <w:sz w:val="18"/>
          <w:szCs w:val="18"/>
          <w:lang w:val="pt-BR"/>
        </w:rPr>
        <w:t>Se um terceiro for restaurar o Windows ao estado anterior nos PCs do cliente, o cliente deverá fornecer antes (a) o formulário preenchido de “Verificação da Licença de Cliente da Microsoft para Atualização dos Serviços de Instalação do Software do Sistema Operacional Microsoft Windows por Terceiros” ou (b) cópias do formulário de assinatura do Contrato de Licenciamento por Volume da Microsoft aplicável ao software de</w:t>
      </w:r>
      <w:r w:rsidR="000704B0" w:rsidRPr="00C50FD1">
        <w:rPr>
          <w:rFonts w:ascii="Tahoma" w:hAnsi="Tahoma" w:cs="Tahoma"/>
          <w:sz w:val="18"/>
          <w:szCs w:val="18"/>
          <w:lang w:val="pt-BR"/>
        </w:rPr>
        <w:t> </w:t>
      </w:r>
      <w:r w:rsidRPr="00C50FD1">
        <w:rPr>
          <w:rFonts w:ascii="Tahoma" w:hAnsi="Tahoma" w:cs="Tahoma"/>
          <w:sz w:val="18"/>
          <w:szCs w:val="18"/>
          <w:lang w:val="pt-BR"/>
        </w:rPr>
        <w:t>atualização do sistema operacional Microsoft em instalação.</w:t>
      </w:r>
      <w:r w:rsidR="005A52A2" w:rsidRPr="00C50FD1">
        <w:rPr>
          <w:rFonts w:ascii="Tahoma" w:hAnsi="Tahoma" w:cs="Tahoma"/>
          <w:sz w:val="18"/>
          <w:szCs w:val="18"/>
          <w:lang w:val="pt-BR"/>
        </w:rPr>
        <w:t xml:space="preserve"> </w:t>
      </w:r>
      <w:r w:rsidRPr="00C50FD1">
        <w:rPr>
          <w:rFonts w:ascii="Tahoma" w:hAnsi="Tahoma" w:cs="Tahoma"/>
          <w:sz w:val="18"/>
          <w:szCs w:val="18"/>
          <w:lang w:val="pt-BR"/>
        </w:rPr>
        <w:t>O formulário de “Verificação da Licença da Microsoft para Restauração ao Estado Anterior/Instalação de Software do Sistema Operacional Microsoft por</w:t>
      </w:r>
      <w:r w:rsidR="000704B0" w:rsidRPr="00C50FD1">
        <w:rPr>
          <w:rFonts w:ascii="Tahoma" w:hAnsi="Tahoma" w:cs="Tahoma"/>
          <w:sz w:val="18"/>
          <w:szCs w:val="18"/>
          <w:lang w:val="pt-BR"/>
        </w:rPr>
        <w:t> </w:t>
      </w:r>
      <w:r w:rsidRPr="00C50FD1">
        <w:rPr>
          <w:rFonts w:ascii="Tahoma" w:hAnsi="Tahoma" w:cs="Tahoma"/>
          <w:sz w:val="18"/>
          <w:szCs w:val="18"/>
          <w:lang w:val="pt-BR"/>
        </w:rPr>
        <w:t xml:space="preserve">Terceiros” está disponível no site </w:t>
      </w:r>
      <w:hyperlink r:id="rId44" w:history="1">
        <w:r w:rsidRPr="00C50FD1">
          <w:rPr>
            <w:rStyle w:val="Hyperlink"/>
            <w:rFonts w:ascii="Tahoma" w:hAnsi="Tahoma" w:cs="Tahoma"/>
            <w:color w:val="auto"/>
            <w:sz w:val="18"/>
            <w:szCs w:val="18"/>
            <w:u w:val="none"/>
            <w:lang w:val="pt-BR"/>
          </w:rPr>
          <w:t>www.microsoft.com/licensing/contracts</w:t>
        </w:r>
      </w:hyperlink>
      <w:r w:rsidRPr="00C50FD1">
        <w:rPr>
          <w:rFonts w:ascii="Tahoma" w:hAnsi="Tahoma" w:cs="Tahoma"/>
          <w:sz w:val="18"/>
          <w:szCs w:val="18"/>
          <w:lang w:val="pt-BR"/>
        </w:rPr>
        <w:t>.</w:t>
      </w:r>
    </w:p>
    <w:p w:rsidR="00B24C9D" w:rsidRPr="00C50FD1" w:rsidRDefault="00B24C9D" w:rsidP="00B24C9D">
      <w:pPr>
        <w:pStyle w:val="FootnoteBulletLevel1"/>
        <w:tabs>
          <w:tab w:val="clear" w:pos="900"/>
        </w:tabs>
        <w:adjustRightInd/>
        <w:spacing w:before="0" w:after="0"/>
        <w:ind w:left="720" w:firstLine="0"/>
        <w:textAlignment w:val="auto"/>
        <w:rPr>
          <w:lang w:val="pt-BR"/>
        </w:rPr>
      </w:pPr>
    </w:p>
    <w:p w:rsidR="00B73A46" w:rsidRPr="00C50FD1" w:rsidRDefault="005D46BA" w:rsidP="00B24C9D">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Windows Intune (Por Dispositivo)</w:t>
      </w:r>
    </w:p>
    <w:p w:rsidR="00B24C9D" w:rsidRPr="00C50FD1" w:rsidRDefault="0071258F" w:rsidP="00B24C9D">
      <w:pPr>
        <w:ind w:left="720"/>
        <w:rPr>
          <w:lang w:val="pt-BR"/>
        </w:rPr>
      </w:pPr>
      <w:r w:rsidRPr="00C50FD1">
        <w:rPr>
          <w:rFonts w:cs="Tahoma"/>
          <w:szCs w:val="18"/>
          <w:lang w:val="pt-BR"/>
        </w:rPr>
        <w:t>O Windows Intune (Por Dispositivo) está disponível mediante licença de assinatura. Ele inclui direitos de atualização e uso do sistema operacional Windows Desktop.</w:t>
      </w:r>
      <w:r w:rsidR="005A52A2" w:rsidRPr="00C50FD1">
        <w:rPr>
          <w:rFonts w:cs="Tahoma"/>
          <w:szCs w:val="18"/>
          <w:lang w:val="pt-BR"/>
        </w:rPr>
        <w:t xml:space="preserve"> </w:t>
      </w:r>
      <w:r w:rsidRPr="00C50FD1">
        <w:rPr>
          <w:rFonts w:cs="Tahoma"/>
          <w:szCs w:val="18"/>
          <w:lang w:val="pt-BR"/>
        </w:rPr>
        <w:t>Portanto, com a Atualização para Windows Pro, cada desktop para o qual você adquirir e no qual executar o Windows Intune (Por Dispositivo) deverá estar licenciado para executar um dos sistemas operacionais qualificados aplicáveis identificados abaixo.</w:t>
      </w:r>
    </w:p>
    <w:p w:rsidR="00B73A46" w:rsidRPr="00C50FD1" w:rsidRDefault="00B73A46" w:rsidP="00B24C9D">
      <w:pPr>
        <w:ind w:left="720"/>
        <w:rPr>
          <w:lang w:val="pt-BR"/>
        </w:rPr>
      </w:pPr>
      <w:r w:rsidRPr="00C50FD1">
        <w:rPr>
          <w:rFonts w:cs="Tahoma"/>
          <w:szCs w:val="18"/>
          <w:lang w:val="pt-BR"/>
        </w:rPr>
        <w:t xml:space="preserve"> </w:t>
      </w:r>
    </w:p>
    <w:p w:rsidR="00B73A46" w:rsidRPr="00C50FD1" w:rsidRDefault="00B73A46" w:rsidP="00B24C9D">
      <w:pPr>
        <w:ind w:left="720"/>
        <w:rPr>
          <w:lang w:val="pt-BR"/>
        </w:rPr>
      </w:pPr>
      <w:r w:rsidRPr="00C50FD1">
        <w:rPr>
          <w:rFonts w:cs="Tahoma"/>
          <w:szCs w:val="18"/>
          <w:lang w:val="pt-BR"/>
        </w:rPr>
        <w:t>As condições aplicáveis para aquisição da Licença de Atualização do Windows Pro, conforme descrito acima nas “Regras de SOs Qualificados” se aplicam na aquisição das licenças do Windows Intune (Por Dispositivo).</w:t>
      </w:r>
    </w:p>
    <w:p w:rsidR="00B24C9D" w:rsidRPr="00C50FD1" w:rsidRDefault="00B24C9D" w:rsidP="00B24C9D">
      <w:pPr>
        <w:ind w:left="720"/>
        <w:rPr>
          <w:lang w:val="pt-BR"/>
        </w:rPr>
      </w:pPr>
    </w:p>
    <w:p w:rsidR="00B24C9D" w:rsidRPr="00C50FD1" w:rsidRDefault="0085061F" w:rsidP="00B24C9D">
      <w:pPr>
        <w:keepNext/>
        <w:ind w:left="720"/>
        <w:rPr>
          <w:lang w:val="pt-BR"/>
        </w:rPr>
      </w:pPr>
      <w:r w:rsidRPr="00C50FD1">
        <w:rPr>
          <w:rFonts w:eastAsia="Calibri" w:cs="Tahoma"/>
          <w:szCs w:val="18"/>
          <w:lang w:val="pt-BR"/>
        </w:rPr>
        <w:t>Para Windows Intune (Por Dispositivo) adquirido como um Serviço Online Enterprise para atender aos requisitos do Produto Enterprise: Consulte a coluna “Novo EA/OV-TE” na tabela acima para licenças adquiridas na assinatura e a Coluna “EA/OV-TE existente” na tabela abaixo para licenças adquiridas em</w:t>
      </w:r>
      <w:r w:rsidR="00DA0369" w:rsidRPr="00C50FD1">
        <w:rPr>
          <w:rFonts w:eastAsia="Calibri" w:cs="Tahoma"/>
          <w:szCs w:val="18"/>
          <w:lang w:val="pt-BR"/>
        </w:rPr>
        <w:t> </w:t>
      </w:r>
      <w:r w:rsidRPr="00C50FD1">
        <w:rPr>
          <w:rFonts w:eastAsia="Calibri" w:cs="Tahoma"/>
          <w:szCs w:val="18"/>
          <w:lang w:val="pt-BR"/>
        </w:rPr>
        <w:t>qualquer outro período ou realocadas conforme permitido na seção “Realocação de Licença” apresentada abaixo.</w:t>
      </w:r>
    </w:p>
    <w:p w:rsidR="0085061F" w:rsidRPr="00C50FD1" w:rsidRDefault="0085061F" w:rsidP="00B24C9D">
      <w:pPr>
        <w:keepNext/>
        <w:ind w:left="720"/>
        <w:rPr>
          <w:lang w:val="pt-BR"/>
        </w:rPr>
      </w:pPr>
      <w:r w:rsidRPr="00C50FD1">
        <w:rPr>
          <w:rFonts w:eastAsia="Calibri" w:cs="Tahoma"/>
          <w:szCs w:val="18"/>
          <w:lang w:val="pt-BR"/>
        </w:rPr>
        <w:t xml:space="preserve"> </w:t>
      </w:r>
    </w:p>
    <w:p w:rsidR="0053437B" w:rsidRPr="00C50FD1" w:rsidRDefault="0053437B" w:rsidP="00B24C9D">
      <w:pPr>
        <w:ind w:left="720"/>
        <w:rPr>
          <w:lang w:val="pt-BR"/>
        </w:rPr>
      </w:pPr>
      <w:r w:rsidRPr="00C50FD1">
        <w:rPr>
          <w:rFonts w:eastAsia="Calibri" w:cs="Tahoma"/>
          <w:szCs w:val="18"/>
          <w:lang w:val="pt-BR"/>
        </w:rPr>
        <w:t>Como exceção da regra acima, para o Windows Intune (Por Dispositivo) adquirido como um Serviço Online Enterprise, mas não para atender aos requisitos do Produto Enterprise: Consulte a coluna “Novo EA/OV-CW” na tabela acima para novas licenças.</w:t>
      </w:r>
    </w:p>
    <w:p w:rsidR="00B24C9D" w:rsidRPr="00C50FD1" w:rsidRDefault="00B24C9D" w:rsidP="00B24C9D">
      <w:pPr>
        <w:ind w:left="720"/>
        <w:rPr>
          <w:lang w:val="pt-BR"/>
        </w:rPr>
      </w:pPr>
    </w:p>
    <w:p w:rsidR="00B73A46" w:rsidRPr="00C50FD1" w:rsidRDefault="00B73A46" w:rsidP="00B24C9D">
      <w:pPr>
        <w:pStyle w:val="FootnoteBulletLevel2"/>
        <w:spacing w:before="0"/>
        <w:ind w:left="720" w:firstLine="0"/>
        <w:rPr>
          <w:lang w:val="pt-BR"/>
        </w:rPr>
      </w:pPr>
      <w:r w:rsidRPr="00C50FD1">
        <w:rPr>
          <w:rFonts w:ascii="Tahoma" w:hAnsi="Tahoma" w:cs="Tahoma"/>
          <w:sz w:val="18"/>
          <w:szCs w:val="18"/>
          <w:lang w:val="pt-BR"/>
        </w:rPr>
        <w:t>Os clientes que tiverem assinaturas do Windows Intune (Por Dispositivo) ativas não precisarão desinstalar o</w:t>
      </w:r>
      <w:r w:rsidR="000704B0" w:rsidRPr="00C50FD1">
        <w:rPr>
          <w:rFonts w:ascii="Tahoma" w:hAnsi="Tahoma" w:cs="Tahoma"/>
          <w:sz w:val="18"/>
          <w:szCs w:val="18"/>
          <w:lang w:val="pt-BR"/>
        </w:rPr>
        <w:t> </w:t>
      </w:r>
      <w:r w:rsidRPr="00C50FD1">
        <w:rPr>
          <w:rFonts w:ascii="Tahoma" w:hAnsi="Tahoma" w:cs="Tahoma"/>
          <w:sz w:val="18"/>
          <w:szCs w:val="18"/>
          <w:lang w:val="pt-BR"/>
        </w:rPr>
        <w:t xml:space="preserve">SO qualificado do dispositivo licenciado e poderão instalar e executar o SO qualificado e o sistema operacional Windows Desktop simultaneamente. </w:t>
      </w:r>
    </w:p>
    <w:p w:rsidR="00B73A46" w:rsidRPr="00C50FD1" w:rsidRDefault="00B73A46" w:rsidP="00B24C9D">
      <w:pPr>
        <w:pStyle w:val="FootnoteBulletLevel1"/>
        <w:spacing w:before="0" w:after="0"/>
        <w:ind w:left="720" w:firstLine="0"/>
        <w:rPr>
          <w:lang w:val="pt-BR"/>
        </w:rPr>
      </w:pPr>
    </w:p>
    <w:p w:rsidR="00B24C9D" w:rsidRPr="00C50FD1" w:rsidRDefault="00B24C9D" w:rsidP="00B24C9D">
      <w:pPr>
        <w:tabs>
          <w:tab w:val="left" w:pos="900"/>
        </w:tabs>
        <w:ind w:left="720"/>
        <w:rPr>
          <w:lang w:val="pt-BR"/>
        </w:rPr>
      </w:pPr>
      <w:r w:rsidRPr="00C50FD1">
        <w:rPr>
          <w:rFonts w:cs="Tahoma"/>
          <w:szCs w:val="18"/>
          <w:u w:val="single"/>
          <w:lang w:val="pt-BR"/>
        </w:rPr>
        <w:t>Cessão da Licença</w:t>
      </w:r>
      <w:r w:rsidRPr="00C50FD1">
        <w:rPr>
          <w:rFonts w:cs="Tahoma"/>
          <w:szCs w:val="18"/>
          <w:lang w:val="pt-BR"/>
        </w:rPr>
        <w:t xml:space="preserve"> </w:t>
      </w:r>
    </w:p>
    <w:p w:rsidR="00B73A46" w:rsidRPr="00C50FD1" w:rsidRDefault="00B73A46" w:rsidP="00B24C9D">
      <w:pPr>
        <w:tabs>
          <w:tab w:val="left" w:pos="900"/>
        </w:tabs>
        <w:ind w:left="720"/>
        <w:rPr>
          <w:lang w:val="pt-BR"/>
        </w:rPr>
      </w:pPr>
      <w:r w:rsidRPr="00C50FD1">
        <w:rPr>
          <w:rFonts w:cs="Tahoma"/>
          <w:szCs w:val="18"/>
          <w:lang w:val="pt-BR"/>
        </w:rPr>
        <w:t xml:space="preserve">Os clientes devem ceder a licença de assinatura do Windows Intune (Por Dispositivo) ao dispositivo no qual está instalado o sistema operacional qualificado. </w:t>
      </w:r>
    </w:p>
    <w:p w:rsidR="00B73A46" w:rsidRPr="00C50FD1" w:rsidRDefault="00B73A46" w:rsidP="00B24C9D">
      <w:pPr>
        <w:pStyle w:val="FootnoteBulletLevel2"/>
        <w:spacing w:before="0"/>
        <w:ind w:left="907" w:firstLine="0"/>
        <w:rPr>
          <w:lang w:val="pt-BR"/>
        </w:rPr>
      </w:pPr>
    </w:p>
    <w:p w:rsidR="00042D1C" w:rsidRPr="00C50FD1" w:rsidRDefault="00042D1C" w:rsidP="00B24C9D">
      <w:pPr>
        <w:pStyle w:val="FootnoteBulletLevel2"/>
        <w:spacing w:before="0"/>
        <w:ind w:left="907" w:firstLine="0"/>
        <w:rPr>
          <w:lang w:val="pt-BR"/>
        </w:rPr>
      </w:pPr>
    </w:p>
    <w:p w:rsidR="00042D1C" w:rsidRPr="00C50FD1" w:rsidRDefault="00042D1C" w:rsidP="00B24C9D">
      <w:pPr>
        <w:pStyle w:val="FootnoteBulletLevel2"/>
        <w:spacing w:before="0"/>
        <w:ind w:left="907" w:firstLine="0"/>
        <w:rPr>
          <w:lang w:val="pt-BR"/>
        </w:rPr>
      </w:pPr>
    </w:p>
    <w:p w:rsidR="00B73A46" w:rsidRPr="00C50FD1" w:rsidRDefault="00B73A46" w:rsidP="00B24C9D">
      <w:pPr>
        <w:pStyle w:val="FootnoteBulletLevel1"/>
        <w:tabs>
          <w:tab w:val="clear" w:pos="900"/>
        </w:tabs>
        <w:spacing w:before="0" w:after="60"/>
        <w:ind w:left="720" w:firstLine="0"/>
        <w:rPr>
          <w:lang w:val="pt-BR"/>
        </w:rPr>
      </w:pPr>
      <w:r w:rsidRPr="00C50FD1">
        <w:rPr>
          <w:rFonts w:ascii="Tahoma" w:hAnsi="Tahoma" w:cs="Tahoma"/>
          <w:b/>
          <w:sz w:val="18"/>
          <w:szCs w:val="18"/>
          <w:lang w:val="pt-BR"/>
        </w:rPr>
        <w:lastRenderedPageBreak/>
        <w:t>Realocação da Licença</w:t>
      </w:r>
      <w:r w:rsidRPr="00C50FD1">
        <w:rPr>
          <w:rFonts w:ascii="Tahoma" w:hAnsi="Tahoma" w:cs="Tahoma"/>
          <w:b/>
          <w:bCs/>
          <w:sz w:val="18"/>
          <w:szCs w:val="18"/>
          <w:lang w:val="pt-BR"/>
        </w:rPr>
        <w:t xml:space="preserve"> para Windows Intune (Por Dispositivo)</w:t>
      </w:r>
    </w:p>
    <w:p w:rsidR="00B73A46" w:rsidRPr="00C50FD1" w:rsidRDefault="00B73A46" w:rsidP="00B24C9D">
      <w:pPr>
        <w:pStyle w:val="BodyText"/>
        <w:spacing w:before="0" w:after="0" w:line="240" w:lineRule="auto"/>
        <w:ind w:left="720"/>
        <w:rPr>
          <w:lang w:val="pt-BR"/>
        </w:rPr>
      </w:pPr>
      <w:r w:rsidRPr="00C50FD1">
        <w:rPr>
          <w:rFonts w:ascii="Tahoma" w:hAnsi="Tahoma" w:cs="Tahoma"/>
          <w:color w:val="auto"/>
          <w:sz w:val="18"/>
          <w:szCs w:val="18"/>
          <w:lang w:val="pt-BR"/>
        </w:rPr>
        <w:t>Os clientes poderão ceder licenças do Complemento do Windows Intune (Por Dispositivo), mas não a curto</w:t>
      </w:r>
      <w:r w:rsidR="000704B0" w:rsidRPr="00C50FD1">
        <w:rPr>
          <w:rFonts w:ascii="Tahoma" w:hAnsi="Tahoma" w:cs="Tahoma"/>
          <w:color w:val="auto"/>
          <w:sz w:val="18"/>
          <w:szCs w:val="18"/>
          <w:lang w:val="pt-BR"/>
        </w:rPr>
        <w:t> </w:t>
      </w:r>
      <w:r w:rsidRPr="00C50FD1">
        <w:rPr>
          <w:rFonts w:ascii="Tahoma" w:hAnsi="Tahoma" w:cs="Tahoma"/>
          <w:color w:val="auto"/>
          <w:sz w:val="18"/>
          <w:szCs w:val="18"/>
          <w:lang w:val="pt-BR"/>
        </w:rPr>
        <w:t>prazo (ou seja, não antes de 90 dias depois da última cessão).</w:t>
      </w:r>
      <w:r w:rsidR="005A52A2" w:rsidRPr="00C50FD1">
        <w:rPr>
          <w:rFonts w:ascii="Tahoma" w:hAnsi="Tahoma" w:cs="Tahoma"/>
          <w:color w:val="auto"/>
          <w:sz w:val="18"/>
          <w:szCs w:val="18"/>
          <w:lang w:val="pt-BR"/>
        </w:rPr>
        <w:t xml:space="preserve"> </w:t>
      </w:r>
      <w:r w:rsidRPr="00C50FD1">
        <w:rPr>
          <w:rFonts w:ascii="Tahoma" w:hAnsi="Tahoma" w:cs="Tahoma"/>
          <w:color w:val="auto"/>
          <w:sz w:val="18"/>
          <w:szCs w:val="18"/>
          <w:lang w:val="pt-BR"/>
        </w:rPr>
        <w:t>Eles poderão realocar uma licença do</w:t>
      </w:r>
      <w:r w:rsidR="000704B0" w:rsidRPr="00C50FD1">
        <w:rPr>
          <w:rFonts w:ascii="Tahoma" w:hAnsi="Tahoma" w:cs="Tahoma"/>
          <w:color w:val="auto"/>
          <w:sz w:val="18"/>
          <w:szCs w:val="18"/>
          <w:lang w:val="pt-BR"/>
        </w:rPr>
        <w:t> </w:t>
      </w:r>
      <w:r w:rsidRPr="00C50FD1">
        <w:rPr>
          <w:rFonts w:ascii="Tahoma" w:hAnsi="Tahoma" w:cs="Tahoma"/>
          <w:color w:val="auto"/>
          <w:sz w:val="18"/>
          <w:szCs w:val="18"/>
          <w:lang w:val="pt-BR"/>
        </w:rPr>
        <w:t>Windows Intune (Por Dispositivo) mais cedo se desativarem o dispositivo licenciado existente em decorrência de uma falha de hardware permanente.</w:t>
      </w:r>
      <w:r w:rsidR="005A52A2" w:rsidRPr="00C50FD1">
        <w:rPr>
          <w:rFonts w:ascii="Tahoma" w:hAnsi="Tahoma" w:cs="Tahoma"/>
          <w:color w:val="auto"/>
          <w:sz w:val="18"/>
          <w:szCs w:val="18"/>
          <w:lang w:val="pt-BR"/>
        </w:rPr>
        <w:t xml:space="preserve"> </w:t>
      </w:r>
      <w:r w:rsidRPr="00C50FD1">
        <w:rPr>
          <w:rFonts w:ascii="Tahoma" w:hAnsi="Tahoma" w:cs="Tahoma"/>
          <w:color w:val="auto"/>
          <w:sz w:val="18"/>
          <w:szCs w:val="18"/>
          <w:lang w:val="pt-BR"/>
        </w:rPr>
        <w:t>A licença para a qual o Windows Intune (Por Dispositivo) for transferido deverá atender aos requisitos de sistema operacional qualificado descritos acima.</w:t>
      </w:r>
      <w:r w:rsidR="000704B0" w:rsidRPr="00C50FD1">
        <w:rPr>
          <w:rFonts w:ascii="Tahoma" w:hAnsi="Tahoma" w:cs="Tahoma"/>
          <w:color w:val="auto"/>
          <w:sz w:val="18"/>
          <w:szCs w:val="18"/>
          <w:lang w:val="pt-BR"/>
        </w:rPr>
        <w:t> </w:t>
      </w:r>
      <w:r w:rsidRPr="00C50FD1">
        <w:rPr>
          <w:rFonts w:ascii="Tahoma" w:hAnsi="Tahoma" w:cs="Tahoma"/>
          <w:color w:val="auto"/>
          <w:sz w:val="18"/>
          <w:szCs w:val="18"/>
          <w:lang w:val="pt-BR"/>
        </w:rPr>
        <w:t>O software deverá ser removido e o uso ou acesso ao serviço Windows Intune (Por Dispositivo) descontinuado a partir do dispositivo do qual a licença foi transferida.</w:t>
      </w:r>
    </w:p>
    <w:p w:rsidR="00B24C9D" w:rsidRPr="00C50FD1" w:rsidRDefault="00B24C9D" w:rsidP="00B24C9D">
      <w:pPr>
        <w:pStyle w:val="BodyText"/>
        <w:spacing w:before="0" w:after="0" w:line="240" w:lineRule="auto"/>
        <w:ind w:left="720"/>
        <w:rPr>
          <w:lang w:val="pt-BR"/>
        </w:rPr>
      </w:pPr>
    </w:p>
    <w:p w:rsidR="00B73A46" w:rsidRPr="00C50FD1" w:rsidRDefault="00B73A46" w:rsidP="00B24C9D">
      <w:pPr>
        <w:autoSpaceDN w:val="0"/>
        <w:ind w:left="720"/>
        <w:rPr>
          <w:lang w:val="pt-BR"/>
        </w:rPr>
      </w:pPr>
      <w:r w:rsidRPr="00C50FD1">
        <w:rPr>
          <w:rFonts w:cs="Tahoma"/>
          <w:szCs w:val="18"/>
          <w:lang w:val="pt-BR"/>
        </w:rPr>
        <w:t>Como exceção aos requisitos do SO qualificado para Windows Intune (Por Dispositivo) licenciado como Serviços Online Enterprise para atender aos requisitos do Produto En</w:t>
      </w:r>
      <w:r w:rsidRPr="00C50FD1">
        <w:rPr>
          <w:lang w:val="pt-BR"/>
        </w:rPr>
        <w:t xml:space="preserve">terprise, </w:t>
      </w:r>
      <w:r w:rsidRPr="00C50FD1">
        <w:rPr>
          <w:rFonts w:cs="Tahoma"/>
          <w:szCs w:val="18"/>
          <w:lang w:val="pt-BR"/>
        </w:rPr>
        <w:t>os clientes</w:t>
      </w:r>
      <w:r w:rsidRPr="00C50FD1">
        <w:rPr>
          <w:rFonts w:cs="Tahoma"/>
          <w:strike/>
          <w:szCs w:val="18"/>
          <w:lang w:val="pt-BR"/>
        </w:rPr>
        <w:t xml:space="preserve"> </w:t>
      </w:r>
      <w:r w:rsidRPr="00C50FD1">
        <w:rPr>
          <w:rFonts w:cs="Tahoma"/>
          <w:szCs w:val="18"/>
          <w:lang w:val="pt-BR"/>
        </w:rPr>
        <w:t xml:space="preserve">poderão realocar as licenças do Windows Intune (Por Dispositivo) para os dispositivos a seguir, contanto que eles estejam licenciados para um dos sistemas operacionais qualificados identificados na coluna “Novo EA/OV-TE” na tabela acima e que os sistemas operacionais qualificados estejam instalados neles: </w:t>
      </w:r>
    </w:p>
    <w:p w:rsidR="00B24C9D" w:rsidRPr="00C50FD1" w:rsidRDefault="00B24C9D" w:rsidP="000704B0">
      <w:pPr>
        <w:autoSpaceDN w:val="0"/>
        <w:spacing w:line="180" w:lineRule="exact"/>
        <w:ind w:left="720"/>
        <w:rPr>
          <w:lang w:val="pt-BR"/>
        </w:rPr>
      </w:pPr>
    </w:p>
    <w:p w:rsidR="00B73A46" w:rsidRPr="00C50FD1" w:rsidRDefault="00B73A46" w:rsidP="00B24C9D">
      <w:pPr>
        <w:numPr>
          <w:ilvl w:val="3"/>
          <w:numId w:val="30"/>
        </w:numPr>
        <w:autoSpaceDN w:val="0"/>
        <w:spacing w:after="60"/>
        <w:ind w:left="1440"/>
        <w:rPr>
          <w:lang w:val="pt-BR"/>
        </w:rPr>
      </w:pPr>
      <w:r w:rsidRPr="00C50FD1">
        <w:rPr>
          <w:rFonts w:cs="Tahoma"/>
          <w:szCs w:val="18"/>
          <w:lang w:val="pt-BR"/>
        </w:rPr>
        <w:t xml:space="preserve">dispositivos adquiridos em uma fusão ou aquisição e </w:t>
      </w:r>
    </w:p>
    <w:p w:rsidR="00DA7284" w:rsidRPr="00C50FD1" w:rsidRDefault="00B73A46" w:rsidP="00B24C9D">
      <w:pPr>
        <w:numPr>
          <w:ilvl w:val="3"/>
          <w:numId w:val="30"/>
        </w:numPr>
        <w:autoSpaceDN w:val="0"/>
        <w:spacing w:after="60"/>
        <w:ind w:left="1440"/>
        <w:rPr>
          <w:lang w:val="pt-BR"/>
        </w:rPr>
      </w:pPr>
      <w:r w:rsidRPr="00C50FD1">
        <w:rPr>
          <w:rFonts w:cs="Tahoma"/>
          <w:szCs w:val="18"/>
          <w:lang w:val="pt-BR"/>
        </w:rPr>
        <w:t>dispositivos pertencentes a terceiros e funcionários.</w:t>
      </w:r>
    </w:p>
    <w:p w:rsidR="00A84DF7" w:rsidRPr="00C50FD1" w:rsidRDefault="00A84DF7" w:rsidP="000704B0">
      <w:pPr>
        <w:autoSpaceDN w:val="0"/>
        <w:spacing w:line="180" w:lineRule="exact"/>
        <w:ind w:left="720"/>
        <w:rPr>
          <w:lang w:val="pt-BR"/>
        </w:rPr>
      </w:pPr>
    </w:p>
    <w:p w:rsidR="00B73A46" w:rsidRPr="00C50FD1" w:rsidRDefault="00B73A46" w:rsidP="00A84DF7">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Software Assurance do Windows 8 Pro</w:t>
      </w:r>
      <w:r w:rsidR="005A52A2" w:rsidRPr="00C50FD1">
        <w:rPr>
          <w:rFonts w:ascii="Tahoma" w:hAnsi="Tahoma" w:cs="Tahoma"/>
          <w:b/>
          <w:bCs/>
          <w:i/>
          <w:iCs/>
          <w:sz w:val="18"/>
          <w:szCs w:val="18"/>
          <w:lang w:val="pt-BR"/>
        </w:rPr>
        <w:t xml:space="preserve"> </w:t>
      </w:r>
    </w:p>
    <w:p w:rsidR="00B73A46" w:rsidRPr="00C50FD1" w:rsidRDefault="00B73A46" w:rsidP="00A84DF7">
      <w:pPr>
        <w:pStyle w:val="FootnoteBulletLevel1"/>
        <w:spacing w:before="0" w:after="0"/>
        <w:ind w:left="720" w:firstLine="0"/>
        <w:rPr>
          <w:lang w:val="pt-BR"/>
        </w:rPr>
      </w:pPr>
      <w:r w:rsidRPr="00C50FD1">
        <w:rPr>
          <w:rFonts w:ascii="Tahoma" w:hAnsi="Tahoma" w:cs="Tahoma"/>
          <w:sz w:val="18"/>
          <w:szCs w:val="18"/>
          <w:lang w:val="pt-BR"/>
        </w:rPr>
        <w:t>Os clientes que desejarem se registrar no Software Assurance do Windows 8 Pro têm as seguintes opções:</w:t>
      </w:r>
    </w:p>
    <w:p w:rsidR="00A84DF7" w:rsidRPr="00C50FD1" w:rsidRDefault="00A84DF7" w:rsidP="000704B0">
      <w:pPr>
        <w:pStyle w:val="FootnoteBulletLevel1"/>
        <w:autoSpaceDN w:val="0"/>
        <w:adjustRightInd/>
        <w:spacing w:before="0" w:after="0" w:line="180" w:lineRule="exact"/>
        <w:ind w:left="720" w:firstLine="0"/>
        <w:textAlignment w:val="auto"/>
        <w:rPr>
          <w:rFonts w:ascii="Tahoma" w:hAnsi="Tahoma" w:cs="Tahoma"/>
          <w:sz w:val="18"/>
          <w:szCs w:val="18"/>
          <w:lang w:val="pt-BR"/>
        </w:rPr>
      </w:pPr>
    </w:p>
    <w:p w:rsidR="00A84DF7" w:rsidRPr="00C50FD1" w:rsidRDefault="00B73A46" w:rsidP="00A84DF7">
      <w:pPr>
        <w:pStyle w:val="FootnoteBulletLevel1"/>
        <w:numPr>
          <w:ilvl w:val="0"/>
          <w:numId w:val="33"/>
        </w:numPr>
        <w:adjustRightInd/>
        <w:spacing w:before="0" w:after="60"/>
        <w:textAlignment w:val="auto"/>
        <w:rPr>
          <w:lang w:val="pt-BR"/>
        </w:rPr>
      </w:pPr>
      <w:r w:rsidRPr="00C50FD1">
        <w:rPr>
          <w:rFonts w:ascii="Tahoma" w:hAnsi="Tahoma" w:cs="Tahoma"/>
          <w:sz w:val="18"/>
          <w:szCs w:val="18"/>
          <w:lang w:val="pt-BR"/>
        </w:rPr>
        <w:t xml:space="preserve">Select. Programas Open Value (Não extensivo a toda a empresa) e Licença Open </w:t>
      </w:r>
    </w:p>
    <w:p w:rsidR="00B73A46" w:rsidRPr="00653421" w:rsidRDefault="00B73A46" w:rsidP="00737AED">
      <w:pPr>
        <w:numPr>
          <w:ilvl w:val="0"/>
          <w:numId w:val="34"/>
        </w:numPr>
        <w:spacing w:after="60"/>
        <w:ind w:left="1800"/>
      </w:pPr>
      <w:r w:rsidRPr="00C50FD1">
        <w:rPr>
          <w:rFonts w:cs="Tahoma"/>
          <w:szCs w:val="18"/>
          <w:bdr w:val="none" w:sz="0" w:space="0" w:color="auto" w:frame="1"/>
          <w:lang w:val="pt-BR"/>
        </w:rPr>
        <w:t xml:space="preserve">Adquirir a cobertura do Software Assurance para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 </w:t>
      </w:r>
      <w:r w:rsidRPr="00653421">
        <w:rPr>
          <w:rFonts w:cs="Tahoma"/>
          <w:szCs w:val="18"/>
          <w:bdr w:val="none" w:sz="0" w:space="0" w:color="auto" w:frame="1"/>
        </w:rPr>
        <w:t>(Início de vigência: 1º de setembro de 2009)</w:t>
      </w:r>
    </w:p>
    <w:p w:rsidR="00B73A46" w:rsidRPr="00C50FD1" w:rsidRDefault="00B73A46" w:rsidP="00737AED">
      <w:pPr>
        <w:pStyle w:val="Footnotedash"/>
        <w:numPr>
          <w:ilvl w:val="0"/>
          <w:numId w:val="34"/>
        </w:numPr>
        <w:adjustRightInd/>
        <w:spacing w:before="0"/>
        <w:ind w:left="1800"/>
        <w:textAlignment w:val="auto"/>
        <w:rPr>
          <w:lang w:val="pt-BR"/>
        </w:rPr>
      </w:pPr>
      <w:r w:rsidRPr="00C50FD1">
        <w:rPr>
          <w:rFonts w:ascii="Tahoma" w:hAnsi="Tahoma" w:cs="Tahoma"/>
          <w:sz w:val="18"/>
          <w:szCs w:val="18"/>
          <w:lang w:val="pt-BR"/>
        </w:rPr>
        <w:t xml:space="preserve">Renovar o Software Assurance para o sistema operacional de desktop ao término da cobertura do Software Assurance do Windows 8 Pro ou Windows 7 Professional. </w:t>
      </w:r>
    </w:p>
    <w:p w:rsidR="00B73A46" w:rsidRPr="00653421" w:rsidRDefault="00B73A46" w:rsidP="00A84DF7">
      <w:pPr>
        <w:pStyle w:val="Footnotedash"/>
        <w:spacing w:before="0" w:after="0"/>
        <w:ind w:left="720" w:firstLine="0"/>
      </w:pPr>
      <w:r w:rsidRPr="00C50FD1">
        <w:rPr>
          <w:rFonts w:ascii="Tahoma" w:hAnsi="Tahoma" w:cs="Tahoma"/>
          <w:sz w:val="18"/>
          <w:szCs w:val="18"/>
          <w:lang w:val="pt-BR"/>
        </w:rPr>
        <w:t xml:space="preserve">O período de tempo estabelecido acima poderá ser expandido para fins promocionais por tempo limitado. </w:t>
      </w:r>
      <w:r w:rsidRPr="00653421">
        <w:rPr>
          <w:rFonts w:ascii="Tahoma" w:hAnsi="Tahoma" w:cs="Tahoma"/>
          <w:sz w:val="18"/>
          <w:szCs w:val="18"/>
        </w:rPr>
        <w:t xml:space="preserve">Consulte a </w:t>
      </w:r>
      <w:hyperlink w:anchor="_SECTION_3_–" w:history="1">
        <w:r w:rsidRPr="00653421">
          <w:rPr>
            <w:rStyle w:val="Hyperlink"/>
            <w:rFonts w:ascii="Tahoma" w:hAnsi="Tahoma" w:cs="Tahoma"/>
            <w:color w:val="auto"/>
            <w:sz w:val="18"/>
            <w:szCs w:val="18"/>
            <w:u w:val="none"/>
          </w:rPr>
          <w:t>Seção 3</w:t>
        </w:r>
      </w:hyperlink>
      <w:r w:rsidRPr="00653421">
        <w:rPr>
          <w:rFonts w:ascii="Tahoma" w:hAnsi="Tahoma" w:cs="Tahoma"/>
          <w:sz w:val="18"/>
          <w:szCs w:val="18"/>
        </w:rPr>
        <w:t xml:space="preserve"> para obter detalhes.</w:t>
      </w:r>
    </w:p>
    <w:p w:rsidR="00A84DF7" w:rsidRPr="00653421" w:rsidRDefault="00A84DF7" w:rsidP="000704B0">
      <w:pPr>
        <w:pStyle w:val="Footnotedash"/>
        <w:autoSpaceDN w:val="0"/>
        <w:adjustRightInd/>
        <w:snapToGrid/>
        <w:spacing w:before="0" w:after="0" w:line="180" w:lineRule="exact"/>
        <w:ind w:left="720" w:firstLine="0"/>
        <w:textAlignment w:val="auto"/>
        <w:rPr>
          <w:rFonts w:ascii="Tahoma" w:hAnsi="Tahoma" w:cs="Tahoma"/>
          <w:sz w:val="18"/>
          <w:szCs w:val="18"/>
        </w:rPr>
      </w:pPr>
    </w:p>
    <w:p w:rsidR="00B73A46" w:rsidRPr="00C50FD1" w:rsidRDefault="00B73A46" w:rsidP="00A84DF7">
      <w:pPr>
        <w:pStyle w:val="FootnoteBulletLevel2"/>
        <w:numPr>
          <w:ilvl w:val="0"/>
          <w:numId w:val="28"/>
        </w:numPr>
        <w:adjustRightInd/>
        <w:spacing w:before="0"/>
        <w:ind w:left="1440"/>
        <w:textAlignment w:val="auto"/>
        <w:rPr>
          <w:lang w:val="pt-BR"/>
        </w:rPr>
      </w:pPr>
      <w:r w:rsidRPr="00C50FD1">
        <w:rPr>
          <w:rFonts w:ascii="Tahoma" w:hAnsi="Tahoma" w:cs="Tahoma"/>
          <w:sz w:val="18"/>
          <w:szCs w:val="18"/>
          <w:lang w:val="pt-BR"/>
        </w:rPr>
        <w:t>Registros Enterprise: ao término de um Registro Enterprise existente que cubra o Sistema Operacional Windows Desktop, renovar a respectiva cobertura sob um novo Registro Enterprise para o Sistema Operacional Windows Desktop.</w:t>
      </w:r>
    </w:p>
    <w:p w:rsidR="00A84DF7" w:rsidRPr="00C50FD1" w:rsidRDefault="00A84DF7" w:rsidP="000704B0">
      <w:pPr>
        <w:pStyle w:val="FootnoteBulletLevel2"/>
        <w:tabs>
          <w:tab w:val="clear" w:pos="1260"/>
        </w:tabs>
        <w:autoSpaceDN w:val="0"/>
        <w:adjustRightInd/>
        <w:snapToGrid/>
        <w:spacing w:before="0" w:line="180" w:lineRule="exact"/>
        <w:ind w:left="720" w:firstLine="0"/>
        <w:textAlignment w:val="auto"/>
        <w:rPr>
          <w:rFonts w:ascii="Tahoma" w:hAnsi="Tahoma" w:cs="Tahoma"/>
          <w:sz w:val="18"/>
          <w:szCs w:val="18"/>
          <w:lang w:val="pt-BR"/>
        </w:rPr>
      </w:pPr>
    </w:p>
    <w:p w:rsidR="002F7FB8" w:rsidRPr="00C50FD1" w:rsidRDefault="002F7FB8" w:rsidP="00846611">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Software Assurance e Atualização do Windows 8 Pro</w:t>
      </w:r>
    </w:p>
    <w:p w:rsidR="002F7FB8" w:rsidRPr="00C50FD1" w:rsidRDefault="002F7FB8" w:rsidP="00846611">
      <w:pPr>
        <w:pStyle w:val="FootnoteBulletLevel1"/>
        <w:spacing w:before="0" w:after="0"/>
        <w:ind w:left="720" w:firstLine="0"/>
        <w:rPr>
          <w:lang w:val="pt-BR"/>
        </w:rPr>
      </w:pPr>
      <w:r w:rsidRPr="00C50FD1">
        <w:rPr>
          <w:rFonts w:ascii="Tahoma" w:hAnsi="Tahoma" w:cs="Tahoma"/>
          <w:sz w:val="18"/>
          <w:szCs w:val="18"/>
          <w:u w:val="single"/>
          <w:lang w:val="pt-BR"/>
        </w:rPr>
        <w:t>Licença de Atualização de Sistema Operacional (SO)</w:t>
      </w:r>
    </w:p>
    <w:p w:rsidR="002F7FB8" w:rsidRPr="00C50FD1" w:rsidRDefault="002F7FB8" w:rsidP="00846611">
      <w:pPr>
        <w:pStyle w:val="FootnoteBulletLevel2"/>
        <w:tabs>
          <w:tab w:val="clear" w:pos="1260"/>
        </w:tabs>
        <w:adjustRightInd/>
        <w:spacing w:before="0"/>
        <w:ind w:left="720" w:firstLine="0"/>
        <w:textAlignment w:val="auto"/>
        <w:rPr>
          <w:lang w:val="pt-BR"/>
        </w:rPr>
      </w:pPr>
      <w:r w:rsidRPr="00C50FD1">
        <w:rPr>
          <w:rFonts w:ascii="Tahoma" w:hAnsi="Tahoma" w:cs="Tahoma"/>
          <w:sz w:val="18"/>
          <w:szCs w:val="18"/>
          <w:lang w:val="pt-BR"/>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 Pro um dos sistemas operacionais qualificados aplicáveis identificados na tabela abaixo.</w:t>
      </w:r>
    </w:p>
    <w:p w:rsidR="00846611" w:rsidRPr="00C50FD1" w:rsidRDefault="00846611" w:rsidP="000704B0">
      <w:pPr>
        <w:pStyle w:val="FootnoteBulletLevel2"/>
        <w:tabs>
          <w:tab w:val="clear" w:pos="1260"/>
        </w:tabs>
        <w:autoSpaceDN w:val="0"/>
        <w:adjustRightInd/>
        <w:snapToGrid/>
        <w:spacing w:before="0" w:line="180" w:lineRule="exact"/>
        <w:ind w:left="720" w:firstLine="0"/>
        <w:textAlignment w:val="auto"/>
        <w:rPr>
          <w:rFonts w:ascii="Tahoma" w:hAnsi="Tahoma" w:cs="Tahoma"/>
          <w:sz w:val="18"/>
          <w:szCs w:val="18"/>
          <w:lang w:val="pt-BR"/>
        </w:rPr>
      </w:pPr>
    </w:p>
    <w:p w:rsidR="002F7FB8" w:rsidRPr="00C50FD1" w:rsidRDefault="002F7FB8" w:rsidP="00846611">
      <w:pPr>
        <w:pStyle w:val="FootnoteBulletLevel2"/>
        <w:tabs>
          <w:tab w:val="clear" w:pos="1260"/>
        </w:tabs>
        <w:adjustRightInd/>
        <w:spacing w:before="0"/>
        <w:ind w:left="720" w:firstLine="0"/>
        <w:textAlignment w:val="auto"/>
        <w:rPr>
          <w:lang w:val="pt-BR"/>
        </w:rPr>
      </w:pPr>
      <w:r w:rsidRPr="00C50FD1">
        <w:rPr>
          <w:rFonts w:ascii="Tahoma" w:hAnsi="Tahoma" w:cs="Tahoma"/>
          <w:sz w:val="18"/>
          <w:szCs w:val="18"/>
          <w:lang w:val="pt-BR"/>
        </w:rPr>
        <w:t>Os clientes que desejarem adquirir a Atualização e o Software Assurance do Windows 8 Pro em conjunto têm as seguintes opções:</w:t>
      </w:r>
    </w:p>
    <w:p w:rsidR="00B04B81" w:rsidRPr="00C50FD1" w:rsidRDefault="00B04B81" w:rsidP="000704B0">
      <w:pPr>
        <w:pStyle w:val="FootnoteBulletLevel2"/>
        <w:tabs>
          <w:tab w:val="clear" w:pos="1260"/>
        </w:tabs>
        <w:autoSpaceDN w:val="0"/>
        <w:adjustRightInd/>
        <w:snapToGrid/>
        <w:spacing w:before="0" w:line="180" w:lineRule="exact"/>
        <w:ind w:left="720" w:firstLine="0"/>
        <w:textAlignment w:val="auto"/>
        <w:rPr>
          <w:rFonts w:ascii="Tahoma" w:hAnsi="Tahoma" w:cs="Tahoma"/>
          <w:sz w:val="18"/>
          <w:szCs w:val="18"/>
          <w:lang w:val="pt-BR"/>
        </w:rPr>
      </w:pPr>
    </w:p>
    <w:p w:rsidR="002F7FB8" w:rsidRPr="00C50FD1" w:rsidRDefault="002F7FB8" w:rsidP="00B04B81">
      <w:pPr>
        <w:pStyle w:val="FootnoteBulletLevel2"/>
        <w:numPr>
          <w:ilvl w:val="0"/>
          <w:numId w:val="28"/>
        </w:numPr>
        <w:adjustRightInd/>
        <w:spacing w:before="0" w:after="60"/>
        <w:ind w:left="1440"/>
        <w:textAlignment w:val="auto"/>
        <w:rPr>
          <w:lang w:val="pt-BR"/>
        </w:rPr>
      </w:pPr>
      <w:r w:rsidRPr="00C50FD1">
        <w:rPr>
          <w:rFonts w:ascii="Tahoma" w:hAnsi="Tahoma" w:cs="Tahoma"/>
          <w:sz w:val="18"/>
          <w:szCs w:val="18"/>
          <w:lang w:val="pt-BR"/>
        </w:rPr>
        <w:t>Programas Select, Open Value (Não extensivo a toda a empresa) e Licença Open:</w:t>
      </w:r>
    </w:p>
    <w:p w:rsidR="002F7FB8" w:rsidRPr="00C50FD1" w:rsidRDefault="002F7FB8" w:rsidP="00B04B81">
      <w:pPr>
        <w:pStyle w:val="Footnotedash"/>
        <w:numPr>
          <w:ilvl w:val="1"/>
          <w:numId w:val="36"/>
        </w:numPr>
        <w:spacing w:before="0"/>
        <w:ind w:left="1800"/>
        <w:rPr>
          <w:lang w:val="pt-BR"/>
        </w:rPr>
      </w:pPr>
      <w:r w:rsidRPr="00C50FD1">
        <w:rPr>
          <w:rFonts w:ascii="Tahoma" w:eastAsia="Calibri" w:hAnsi="Tahoma" w:cs="Tahoma"/>
          <w:color w:val="000000"/>
          <w:sz w:val="18"/>
          <w:szCs w:val="18"/>
          <w:lang w:val="pt-BR"/>
        </w:rPr>
        <w:t>Adquirir Atualizações e Software Assurance do Windows 8 Pro para desktops nos quais o cliente licenciou e instalou um dos sistemas operacionais qualificados listados na tabela de Atualização do Windows acima.</w:t>
      </w:r>
    </w:p>
    <w:p w:rsidR="002F7FB8" w:rsidRPr="00C50FD1" w:rsidRDefault="002F7FB8" w:rsidP="00B04B81">
      <w:pPr>
        <w:pStyle w:val="Footnotedash"/>
        <w:numPr>
          <w:ilvl w:val="2"/>
          <w:numId w:val="103"/>
        </w:numPr>
        <w:spacing w:before="0"/>
        <w:ind w:left="1800"/>
        <w:rPr>
          <w:lang w:val="pt-BR"/>
        </w:rPr>
      </w:pPr>
      <w:r w:rsidRPr="00C50FD1">
        <w:rPr>
          <w:rFonts w:ascii="Tahoma" w:eastAsia="Calibri" w:hAnsi="Tahoma" w:cs="Tahoma"/>
          <w:color w:val="000000"/>
          <w:sz w:val="18"/>
          <w:szCs w:val="18"/>
          <w:lang w:val="pt-BR"/>
        </w:rPr>
        <w:t>O Cliente pode realocar a cobertura do Software Assurance em atualizações de sistemas operacionais de desktop do desktop original para um desktop substituto, mas não a curto prazo (ou seja, em 90 dias da última alocação), desde que (1) o cliente licenciou e instalou no desktop substituto a versão mais recente daquele sistema operacional e (2) o cliente remova quaisquer atualizações de sistema operacional de desktop do desktop original.</w:t>
      </w:r>
    </w:p>
    <w:p w:rsidR="00042D1C" w:rsidRPr="00C50FD1" w:rsidRDefault="00042D1C" w:rsidP="00042D1C">
      <w:pPr>
        <w:pStyle w:val="Footnotedash"/>
        <w:tabs>
          <w:tab w:val="clear" w:pos="1620"/>
        </w:tabs>
        <w:spacing w:before="0"/>
        <w:ind w:left="1800" w:firstLine="0"/>
        <w:rPr>
          <w:lang w:val="pt-BR"/>
        </w:rPr>
      </w:pPr>
    </w:p>
    <w:p w:rsidR="00A84DF7" w:rsidRPr="00C50FD1" w:rsidRDefault="002F7FB8" w:rsidP="00B04B81">
      <w:pPr>
        <w:pStyle w:val="FootnoteBulletLevel2"/>
        <w:numPr>
          <w:ilvl w:val="0"/>
          <w:numId w:val="28"/>
        </w:numPr>
        <w:adjustRightInd/>
        <w:spacing w:before="0" w:after="60"/>
        <w:ind w:left="1440"/>
        <w:textAlignment w:val="auto"/>
        <w:rPr>
          <w:lang w:val="pt-BR"/>
        </w:rPr>
      </w:pPr>
      <w:r w:rsidRPr="00C50FD1">
        <w:rPr>
          <w:rFonts w:ascii="Tahoma" w:hAnsi="Tahoma" w:cs="Tahoma"/>
          <w:sz w:val="18"/>
          <w:szCs w:val="18"/>
          <w:lang w:val="pt-BR"/>
        </w:rPr>
        <w:lastRenderedPageBreak/>
        <w:t>Registros Enterprise e Contratos Open Value para toda a empresa (licença perpétua e assinatura):</w:t>
      </w:r>
    </w:p>
    <w:p w:rsidR="00A84DF7" w:rsidRPr="00C50FD1" w:rsidRDefault="002F7FB8" w:rsidP="00B04B81">
      <w:pPr>
        <w:pStyle w:val="Footnotedash"/>
        <w:numPr>
          <w:ilvl w:val="1"/>
          <w:numId w:val="36"/>
        </w:numPr>
        <w:spacing w:before="0"/>
        <w:ind w:left="1800"/>
        <w:rPr>
          <w:lang w:val="pt-BR"/>
        </w:rPr>
      </w:pPr>
      <w:r w:rsidRPr="00C50FD1">
        <w:rPr>
          <w:rFonts w:ascii="Tahoma" w:eastAsia="Calibri" w:hAnsi="Tahoma" w:cs="Tahoma"/>
          <w:color w:val="000000"/>
          <w:sz w:val="18"/>
          <w:szCs w:val="18"/>
          <w:lang w:val="pt-BR"/>
        </w:rPr>
        <w:t xml:space="preserve">Registros Enterprise ou Contratos Open Value iniciais (base instalada): </w:t>
      </w:r>
    </w:p>
    <w:p w:rsidR="00A84DF7" w:rsidRPr="00C50FD1" w:rsidRDefault="002F7FB8" w:rsidP="00B04B81">
      <w:pPr>
        <w:pStyle w:val="Footnotedash"/>
        <w:numPr>
          <w:ilvl w:val="1"/>
          <w:numId w:val="36"/>
        </w:numPr>
        <w:spacing w:before="0"/>
        <w:ind w:left="1800"/>
        <w:rPr>
          <w:lang w:val="pt-BR"/>
        </w:rPr>
      </w:pPr>
      <w:r w:rsidRPr="00C50FD1">
        <w:rPr>
          <w:rFonts w:ascii="Tahoma" w:eastAsia="Calibri" w:hAnsi="Tahoma" w:cs="Tahoma"/>
          <w:color w:val="000000"/>
          <w:sz w:val="18"/>
          <w:szCs w:val="18"/>
          <w:lang w:val="pt-BR"/>
        </w:rPr>
        <w:t>Adquirir a Atualização e o Software Assurance do Windows 8 Pro para todos os desktops qualificados na base instalada.</w:t>
      </w:r>
      <w:r w:rsidR="005A52A2" w:rsidRPr="00C50FD1">
        <w:rPr>
          <w:rFonts w:ascii="Tahoma" w:eastAsia="Calibri" w:hAnsi="Tahoma" w:cs="Tahoma"/>
          <w:color w:val="000000"/>
          <w:sz w:val="18"/>
          <w:szCs w:val="18"/>
          <w:lang w:val="pt-BR"/>
        </w:rPr>
        <w:t xml:space="preserve"> </w:t>
      </w:r>
      <w:r w:rsidRPr="00C50FD1">
        <w:rPr>
          <w:rFonts w:ascii="Tahoma" w:eastAsia="Calibri" w:hAnsi="Tahoma" w:cs="Tahoma"/>
          <w:color w:val="000000"/>
          <w:sz w:val="18"/>
          <w:szCs w:val="18"/>
          <w:lang w:val="pt-BR"/>
        </w:rPr>
        <w:t>A “base instalada” é formada por todos os desktops qualificados do cliente e das afiliadas cobertas do cliente a partir da data de início de vigência do registro ou contrato.</w:t>
      </w:r>
      <w:r w:rsidR="005A52A2" w:rsidRPr="00C50FD1">
        <w:rPr>
          <w:rFonts w:ascii="Tahoma" w:eastAsia="Calibri" w:hAnsi="Tahoma" w:cs="Tahoma"/>
          <w:color w:val="000000"/>
          <w:sz w:val="18"/>
          <w:szCs w:val="18"/>
          <w:lang w:val="pt-BR"/>
        </w:rPr>
        <w:t xml:space="preserve"> </w:t>
      </w:r>
      <w:r w:rsidRPr="00C50FD1">
        <w:rPr>
          <w:rFonts w:ascii="Tahoma" w:eastAsia="Calibri" w:hAnsi="Tahoma" w:cs="Tahoma"/>
          <w:color w:val="000000"/>
          <w:sz w:val="18"/>
          <w:szCs w:val="18"/>
          <w:lang w:val="pt-BR"/>
        </w:rPr>
        <w:t>O cliente deverá ter licenciado e instalado um dos sistemas operacionais qualificados listados na tabela de Atualização do Windows acima na coluna “Novo EA/OV-TE” em todos os desktops qualificados da base instalada nos quais o sistema operacional Windows será executado.</w:t>
      </w:r>
    </w:p>
    <w:p w:rsidR="002F7FB8" w:rsidRPr="00C50FD1" w:rsidRDefault="002F7FB8" w:rsidP="00B04B81">
      <w:pPr>
        <w:pStyle w:val="Footnotedash"/>
        <w:numPr>
          <w:ilvl w:val="1"/>
          <w:numId w:val="36"/>
        </w:numPr>
        <w:spacing w:before="0"/>
        <w:ind w:left="1800"/>
        <w:rPr>
          <w:lang w:val="pt-BR"/>
        </w:rPr>
      </w:pPr>
      <w:r w:rsidRPr="00C50FD1">
        <w:rPr>
          <w:rFonts w:ascii="Tahoma" w:eastAsia="Calibri" w:hAnsi="Tahoma" w:cs="Tahoma"/>
          <w:color w:val="000000"/>
          <w:sz w:val="18"/>
          <w:szCs w:val="18"/>
          <w:lang w:val="pt-BR"/>
        </w:rPr>
        <w:t>Registros Enterprise ou Contratos Open Value existentes [adequação (“true-up”) e</w:t>
      </w:r>
      <w:r w:rsidR="000704B0"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substituições]:</w:t>
      </w:r>
    </w:p>
    <w:p w:rsidR="002F7FB8" w:rsidRPr="00C50FD1" w:rsidRDefault="002F7FB8" w:rsidP="00B04B81">
      <w:pPr>
        <w:pStyle w:val="Footnotedash"/>
        <w:numPr>
          <w:ilvl w:val="1"/>
          <w:numId w:val="36"/>
        </w:numPr>
        <w:spacing w:before="0"/>
        <w:ind w:left="1800"/>
        <w:rPr>
          <w:lang w:val="pt-BR"/>
        </w:rPr>
      </w:pPr>
      <w:r w:rsidRPr="00C50FD1">
        <w:rPr>
          <w:rFonts w:ascii="Tahoma" w:eastAsia="Calibri" w:hAnsi="Tahoma" w:cs="Tahoma"/>
          <w:color w:val="000000"/>
          <w:sz w:val="18"/>
          <w:szCs w:val="18"/>
          <w:lang w:val="pt-BR"/>
        </w:rPr>
        <w:t>Adquirir Atualização e Software Assurance do Windows 8 Pro para dos os novos desktops qualificados ou dispositivos nos quais o sistema operacional Windows será executado.</w:t>
      </w:r>
      <w:r w:rsidR="005A52A2" w:rsidRPr="00C50FD1">
        <w:rPr>
          <w:rFonts w:ascii="Tahoma" w:eastAsia="Calibri" w:hAnsi="Tahoma" w:cs="Tahoma"/>
          <w:color w:val="000000"/>
          <w:sz w:val="18"/>
          <w:szCs w:val="18"/>
          <w:lang w:val="pt-BR"/>
        </w:rPr>
        <w:t xml:space="preserve"> </w:t>
      </w:r>
      <w:r w:rsidRPr="00C50FD1">
        <w:rPr>
          <w:rFonts w:ascii="Tahoma" w:eastAsia="Calibri" w:hAnsi="Tahoma" w:cs="Tahoma"/>
          <w:color w:val="000000"/>
          <w:sz w:val="18"/>
          <w:szCs w:val="18"/>
          <w:lang w:val="pt-BR"/>
        </w:rPr>
        <w:t>O</w:t>
      </w:r>
      <w:r w:rsidR="000704B0"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cliente deve ter licenciado e instalado em todos os desktops qualificados novos e de substituição ou dispositivos adquiridos de qualquer fonte que não seja por meio de uma fusão</w:t>
      </w:r>
      <w:r w:rsidR="000704B0"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ou aquisição um dos sistemas operacionais qualificados listados na tabela de Atualização</w:t>
      </w:r>
      <w:r w:rsidR="000704B0"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do Windows acima, na coluna “EA/OV-CW Existente”. O cliente deve ter licenciado</w:t>
      </w:r>
      <w:r w:rsidR="000704B0"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e instalado em todos os desktops qualificados novos ou de substituição adquiridos por meio de uma fusão ou aquisição um dos sistemas operacionais qualificados listados na tabela de Atualização do Windows acima, na coluna “Novo EA/OV-CW”.</w:t>
      </w:r>
    </w:p>
    <w:p w:rsidR="002F7FB8" w:rsidRPr="00C50FD1" w:rsidRDefault="002F7FB8" w:rsidP="00B04B81">
      <w:pPr>
        <w:pStyle w:val="FootnoteBulletLevel2"/>
        <w:numPr>
          <w:ilvl w:val="0"/>
          <w:numId w:val="28"/>
        </w:numPr>
        <w:adjustRightInd/>
        <w:spacing w:before="0" w:after="60"/>
        <w:ind w:left="1440"/>
        <w:textAlignment w:val="auto"/>
        <w:rPr>
          <w:lang w:val="pt-BR"/>
        </w:rPr>
      </w:pPr>
      <w:r w:rsidRPr="00C50FD1">
        <w:rPr>
          <w:rFonts w:ascii="Tahoma" w:hAnsi="Tahoma" w:cs="Tahoma"/>
          <w:sz w:val="18"/>
          <w:szCs w:val="18"/>
          <w:lang w:val="pt-BR"/>
        </w:rPr>
        <w:t xml:space="preserve">Clientes do Contrato para Campus e Contrato School e Open Value Subscription </w:t>
      </w:r>
      <w:r w:rsidR="000704B0" w:rsidRPr="00C50FD1">
        <w:rPr>
          <w:rFonts w:ascii="Tahoma" w:hAnsi="Tahoma" w:cs="Tahoma"/>
          <w:sz w:val="18"/>
          <w:szCs w:val="18"/>
          <w:lang w:val="pt-BR"/>
        </w:rPr>
        <w:t>–</w:t>
      </w:r>
      <w:r w:rsidRPr="00C50FD1">
        <w:rPr>
          <w:rFonts w:ascii="Tahoma" w:hAnsi="Tahoma" w:cs="Tahoma"/>
          <w:sz w:val="18"/>
          <w:szCs w:val="18"/>
          <w:lang w:val="pt-BR"/>
        </w:rPr>
        <w:t xml:space="preserve"> Soluções</w:t>
      </w:r>
      <w:r w:rsidR="000704B0" w:rsidRPr="00C50FD1">
        <w:rPr>
          <w:rFonts w:ascii="Tahoma" w:hAnsi="Tahoma" w:cs="Tahoma"/>
          <w:sz w:val="18"/>
          <w:szCs w:val="18"/>
          <w:lang w:val="pt-BR"/>
        </w:rPr>
        <w:t> </w:t>
      </w:r>
      <w:r w:rsidRPr="00C50FD1">
        <w:rPr>
          <w:rFonts w:ascii="Tahoma" w:hAnsi="Tahoma" w:cs="Tahoma"/>
          <w:sz w:val="18"/>
          <w:szCs w:val="18"/>
          <w:lang w:val="pt-BR"/>
        </w:rPr>
        <w:t xml:space="preserve">Educacionais: </w:t>
      </w:r>
    </w:p>
    <w:p w:rsidR="002F7FB8" w:rsidRPr="00C50FD1" w:rsidRDefault="002F7FB8" w:rsidP="00B04B81">
      <w:pPr>
        <w:pStyle w:val="Footnotedash"/>
        <w:numPr>
          <w:ilvl w:val="1"/>
          <w:numId w:val="36"/>
        </w:numPr>
        <w:spacing w:before="0"/>
        <w:ind w:left="1800"/>
        <w:rPr>
          <w:lang w:val="pt-BR"/>
        </w:rPr>
      </w:pPr>
      <w:r w:rsidRPr="00C50FD1">
        <w:rPr>
          <w:rFonts w:ascii="Tahoma" w:eastAsia="Calibri" w:hAnsi="Tahoma" w:cs="Tahoma"/>
          <w:color w:val="000000"/>
          <w:sz w:val="18"/>
          <w:szCs w:val="18"/>
          <w:lang w:val="pt-BR"/>
        </w:rPr>
        <w:t>O sistema operacional Windows está licenciado apenas como uma atualização.</w:t>
      </w:r>
      <w:r w:rsidR="005A52A2" w:rsidRPr="00C50FD1">
        <w:rPr>
          <w:rFonts w:ascii="Tahoma" w:eastAsia="Calibri" w:hAnsi="Tahoma" w:cs="Tahoma"/>
          <w:color w:val="000000"/>
          <w:sz w:val="18"/>
          <w:szCs w:val="18"/>
          <w:lang w:val="pt-BR"/>
        </w:rPr>
        <w:t xml:space="preserve"> </w:t>
      </w:r>
      <w:r w:rsidRPr="00C50FD1">
        <w:rPr>
          <w:rFonts w:ascii="Tahoma" w:eastAsia="Calibri" w:hAnsi="Tahoma" w:cs="Tahoma"/>
          <w:color w:val="000000"/>
          <w:sz w:val="18"/>
          <w:szCs w:val="18"/>
          <w:lang w:val="pt-BR"/>
        </w:rPr>
        <w:t xml:space="preserve">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na coluna “Academic”. </w:t>
      </w:r>
    </w:p>
    <w:p w:rsidR="00B47893" w:rsidRPr="00C50FD1" w:rsidRDefault="002F7FB8" w:rsidP="00AF3B19">
      <w:pPr>
        <w:pStyle w:val="Footnotedash"/>
        <w:numPr>
          <w:ilvl w:val="1"/>
          <w:numId w:val="36"/>
        </w:numPr>
        <w:spacing w:before="0" w:after="0"/>
        <w:ind w:left="1800"/>
        <w:rPr>
          <w:lang w:val="pt-BR"/>
        </w:rPr>
      </w:pPr>
      <w:r w:rsidRPr="00C50FD1">
        <w:rPr>
          <w:rFonts w:ascii="Tahoma" w:eastAsia="Calibri" w:hAnsi="Tahoma" w:cs="Tahoma"/>
          <w:color w:val="000000"/>
          <w:sz w:val="18"/>
          <w:szCs w:val="18"/>
          <w:lang w:val="pt-BR"/>
        </w:rPr>
        <w:t>Não obstante qualquer disposição contrária nos seus Direitos de Uso de Produto (PUR), as instituições que escolherem a Opção de Estudante poderão ter, no máximo, uma instância do</w:t>
      </w:r>
      <w:r w:rsidR="000704B0"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Windows To Go por dispositivo de estudante licenciado.</w:t>
      </w:r>
      <w:r w:rsidR="005A52A2" w:rsidRPr="00C50FD1">
        <w:rPr>
          <w:rFonts w:ascii="Tahoma" w:eastAsia="Calibri" w:hAnsi="Tahoma" w:cs="Tahoma"/>
          <w:color w:val="000000"/>
          <w:sz w:val="18"/>
          <w:szCs w:val="18"/>
          <w:lang w:val="pt-BR"/>
        </w:rPr>
        <w:t xml:space="preserve"> </w:t>
      </w:r>
      <w:r w:rsidRPr="00C50FD1">
        <w:rPr>
          <w:rFonts w:ascii="Tahoma" w:eastAsia="Calibri" w:hAnsi="Tahoma" w:cs="Tahoma"/>
          <w:color w:val="000000"/>
          <w:sz w:val="18"/>
          <w:szCs w:val="18"/>
          <w:lang w:val="pt-BR"/>
        </w:rPr>
        <w:t>As Instituições devem garantir que</w:t>
      </w:r>
      <w:r w:rsidR="000704B0"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os estudantes que não estejam mais inscritos na instituição parem de usar o Windows To</w:t>
      </w:r>
      <w:r w:rsidR="000704B0" w:rsidRPr="00C50FD1">
        <w:rPr>
          <w:rFonts w:ascii="Tahoma" w:eastAsia="Calibri" w:hAnsi="Tahoma" w:cs="Tahoma"/>
          <w:color w:val="000000"/>
          <w:sz w:val="18"/>
          <w:szCs w:val="18"/>
          <w:lang w:val="pt-BR"/>
        </w:rPr>
        <w:t> </w:t>
      </w:r>
      <w:r w:rsidRPr="00C50FD1">
        <w:rPr>
          <w:rFonts w:ascii="Tahoma" w:eastAsia="Calibri" w:hAnsi="Tahoma" w:cs="Tahoma"/>
          <w:color w:val="000000"/>
          <w:sz w:val="18"/>
          <w:szCs w:val="18"/>
          <w:lang w:val="pt-BR"/>
        </w:rPr>
        <w:t>Go e devolvam os dispositivos USB com uma instância deste para a Instituição.</w:t>
      </w:r>
      <w:r w:rsidR="005A52A2" w:rsidRPr="00C50FD1">
        <w:rPr>
          <w:rFonts w:ascii="Tahoma" w:eastAsia="Calibri" w:hAnsi="Tahoma" w:cs="Tahoma"/>
          <w:color w:val="000000"/>
          <w:sz w:val="18"/>
          <w:szCs w:val="18"/>
          <w:lang w:val="pt-BR"/>
        </w:rPr>
        <w:t xml:space="preserve"> </w:t>
      </w:r>
      <w:r w:rsidRPr="00C50FD1">
        <w:rPr>
          <w:rFonts w:ascii="Tahoma" w:hAnsi="Tahoma" w:cs="Tahoma"/>
          <w:sz w:val="18"/>
          <w:szCs w:val="18"/>
          <w:lang w:val="pt-BR"/>
        </w:rPr>
        <w:t>As Instituições que escolherem a Opção de Estudante não poderão instalar o Windows Enterprise</w:t>
      </w:r>
      <w:r w:rsidR="000704B0" w:rsidRPr="00C50FD1">
        <w:rPr>
          <w:rFonts w:ascii="Tahoma" w:hAnsi="Tahoma" w:cs="Tahoma"/>
          <w:sz w:val="18"/>
          <w:szCs w:val="18"/>
          <w:lang w:val="pt-BR"/>
        </w:rPr>
        <w:t> </w:t>
      </w:r>
      <w:r w:rsidRPr="00C50FD1">
        <w:rPr>
          <w:rFonts w:ascii="Tahoma" w:hAnsi="Tahoma" w:cs="Tahoma"/>
          <w:sz w:val="18"/>
          <w:szCs w:val="18"/>
          <w:lang w:val="pt-BR"/>
        </w:rPr>
        <w:t>em nenhum dispositivo pertencente a estudantes.</w:t>
      </w:r>
    </w:p>
    <w:p w:rsidR="00973A93" w:rsidRPr="00C50FD1" w:rsidRDefault="00973A93" w:rsidP="00AF3B19">
      <w:pPr>
        <w:rPr>
          <w:lang w:val="pt-BR"/>
        </w:rPr>
      </w:pPr>
    </w:p>
    <w:p w:rsidR="00B73A46" w:rsidRPr="00C50FD1" w:rsidRDefault="00B73A46" w:rsidP="00F64DEA">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Microsoft Windows XP Professional N (sem o Windows Media Player)</w:t>
      </w:r>
    </w:p>
    <w:p w:rsidR="00B73A46" w:rsidRPr="00C50FD1" w:rsidRDefault="00B73A46" w:rsidP="00F64DEA">
      <w:pPr>
        <w:pStyle w:val="FootnoteBulletLevel2"/>
        <w:tabs>
          <w:tab w:val="clear" w:pos="1260"/>
          <w:tab w:val="num" w:pos="900"/>
        </w:tabs>
        <w:spacing w:before="0"/>
        <w:ind w:left="720" w:firstLine="0"/>
        <w:rPr>
          <w:lang w:val="pt-BR"/>
        </w:rPr>
      </w:pPr>
      <w:r w:rsidRPr="00C50FD1">
        <w:rPr>
          <w:rFonts w:ascii="Tahoma" w:hAnsi="Tahoma" w:cs="Tahoma"/>
          <w:sz w:val="18"/>
          <w:szCs w:val="18"/>
          <w:u w:val="single"/>
          <w:lang w:val="pt-BR"/>
        </w:rPr>
        <w:t>Qualificação</w:t>
      </w:r>
      <w:r w:rsidRPr="00C50FD1">
        <w:rPr>
          <w:rFonts w:ascii="Tahoma" w:hAnsi="Tahoma" w:cs="Tahoma"/>
          <w:sz w:val="18"/>
          <w:szCs w:val="18"/>
          <w:lang w:val="pt-BR"/>
        </w:rPr>
        <w:br/>
        <w:t>Os clientes de licenças por volume que atenderem a todos os critérios a seguir estarão qualificados para comprar a mídia do Microsoft Windows XP Professional N.</w:t>
      </w:r>
    </w:p>
    <w:p w:rsidR="00F64DEA" w:rsidRPr="00C50FD1" w:rsidRDefault="00F64DEA" w:rsidP="00F64DEA">
      <w:pPr>
        <w:pStyle w:val="FootnoteBulletLevel2"/>
        <w:tabs>
          <w:tab w:val="clear" w:pos="1260"/>
          <w:tab w:val="num" w:pos="900"/>
        </w:tabs>
        <w:spacing w:before="0"/>
        <w:ind w:left="720" w:firstLine="0"/>
        <w:rPr>
          <w:lang w:val="pt-BR"/>
        </w:rPr>
      </w:pPr>
    </w:p>
    <w:p w:rsidR="00B73A46" w:rsidRPr="00C50FD1" w:rsidRDefault="00B73A46" w:rsidP="00F64DEA">
      <w:pPr>
        <w:pStyle w:val="Footnotedash"/>
        <w:tabs>
          <w:tab w:val="clear" w:pos="1620"/>
          <w:tab w:val="num" w:pos="2160"/>
        </w:tabs>
        <w:spacing w:before="0" w:after="0"/>
        <w:ind w:left="720" w:firstLine="7"/>
        <w:rPr>
          <w:lang w:val="pt-BR"/>
        </w:rPr>
      </w:pPr>
      <w:r w:rsidRPr="00C50FD1">
        <w:rPr>
          <w:rFonts w:ascii="Tahoma" w:hAnsi="Tahoma" w:cs="Tahoma"/>
          <w:sz w:val="18"/>
          <w:szCs w:val="18"/>
          <w:lang w:val="pt-BR"/>
        </w:rPr>
        <w:t xml:space="preserve">Eles deverão ter pelo menos um dos seguintes contratos ou registros ativos com a Microsoft Ireland Operations Ltd: </w:t>
      </w:r>
    </w:p>
    <w:p w:rsidR="00F64DEA" w:rsidRPr="00C50FD1" w:rsidRDefault="00F64DEA" w:rsidP="00F64DEA">
      <w:pPr>
        <w:pStyle w:val="Footnotedash"/>
        <w:tabs>
          <w:tab w:val="clear" w:pos="1620"/>
          <w:tab w:val="num" w:pos="2160"/>
        </w:tabs>
        <w:spacing w:before="0" w:after="0"/>
        <w:ind w:left="720" w:firstLine="7"/>
        <w:rPr>
          <w:lang w:val="pt-BR"/>
        </w:rPr>
      </w:pPr>
    </w:p>
    <w:p w:rsidR="00B73A46" w:rsidRPr="00C50FD1" w:rsidRDefault="00B73A46" w:rsidP="00F64DEA">
      <w:pPr>
        <w:pStyle w:val="Footnotedash"/>
        <w:numPr>
          <w:ilvl w:val="0"/>
          <w:numId w:val="38"/>
        </w:numPr>
        <w:adjustRightInd/>
        <w:spacing w:before="0"/>
        <w:ind w:left="1440"/>
        <w:textAlignment w:val="auto"/>
        <w:rPr>
          <w:lang w:val="fr-FR"/>
        </w:rPr>
      </w:pPr>
      <w:r w:rsidRPr="00C50FD1">
        <w:rPr>
          <w:rFonts w:ascii="Tahoma" w:hAnsi="Tahoma" w:cs="Tahoma"/>
          <w:sz w:val="18"/>
          <w:szCs w:val="18"/>
          <w:lang w:val="fr-FR"/>
        </w:rPr>
        <w:t>Select, Enterprise ou Enterprise Subscription Enrollment</w:t>
      </w:r>
    </w:p>
    <w:p w:rsidR="00B73A46" w:rsidRPr="00653421" w:rsidRDefault="00B73A46" w:rsidP="00F64DEA">
      <w:pPr>
        <w:pStyle w:val="Footnotedash"/>
        <w:numPr>
          <w:ilvl w:val="0"/>
          <w:numId w:val="38"/>
        </w:numPr>
        <w:adjustRightInd/>
        <w:spacing w:before="0"/>
        <w:ind w:left="1440"/>
        <w:textAlignment w:val="auto"/>
      </w:pPr>
      <w:r w:rsidRPr="00653421">
        <w:rPr>
          <w:rFonts w:ascii="Tahoma" w:hAnsi="Tahoma" w:cs="Tahoma"/>
          <w:sz w:val="18"/>
          <w:szCs w:val="18"/>
        </w:rPr>
        <w:t xml:space="preserve">Licença Open*, Open Value, Campus e School Agreement, Open Value Subscription – Education Solutions </w:t>
      </w:r>
    </w:p>
    <w:p w:rsidR="00B73A46" w:rsidRPr="00C50FD1" w:rsidRDefault="00B73A46" w:rsidP="00F64DEA">
      <w:pPr>
        <w:pStyle w:val="Footnotedash"/>
        <w:spacing w:before="0"/>
        <w:ind w:left="1440" w:firstLine="0"/>
        <w:rPr>
          <w:lang w:val="pt-BR"/>
        </w:rPr>
      </w:pPr>
      <w:r w:rsidRPr="00C50FD1">
        <w:rPr>
          <w:rFonts w:ascii="Tahoma" w:hAnsi="Tahoma" w:cs="Tahoma"/>
          <w:sz w:val="18"/>
          <w:szCs w:val="18"/>
          <w:lang w:val="pt-BR"/>
        </w:rPr>
        <w:t>(*Para os fins da Licença Open, um “contrato ativo” é aquele associado a um Número de Autorização de Licença Open ativo.)</w:t>
      </w:r>
    </w:p>
    <w:p w:rsidR="00F64DEA" w:rsidRPr="00C50FD1" w:rsidRDefault="00F64DEA" w:rsidP="00F64DEA">
      <w:pPr>
        <w:pStyle w:val="Footnotedash"/>
        <w:spacing w:before="0" w:after="0"/>
        <w:ind w:left="1440" w:firstLine="0"/>
        <w:rPr>
          <w:lang w:val="pt-BR"/>
        </w:rPr>
      </w:pPr>
    </w:p>
    <w:p w:rsidR="00B73A46" w:rsidRPr="00C50FD1" w:rsidRDefault="00B73A46" w:rsidP="00F64DEA">
      <w:pPr>
        <w:pStyle w:val="Footnotedash"/>
        <w:tabs>
          <w:tab w:val="left" w:pos="1620"/>
        </w:tabs>
        <w:spacing w:before="0" w:after="0"/>
        <w:ind w:left="720" w:firstLine="7"/>
        <w:rPr>
          <w:lang w:val="pt-BR"/>
        </w:rPr>
      </w:pPr>
      <w:r w:rsidRPr="00C50FD1">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p>
    <w:p w:rsidR="00F64DEA" w:rsidRPr="00C50FD1" w:rsidRDefault="00F64DEA" w:rsidP="00F64DEA">
      <w:pPr>
        <w:pStyle w:val="Footnotedash"/>
        <w:tabs>
          <w:tab w:val="left" w:pos="1620"/>
        </w:tabs>
        <w:spacing w:before="0" w:after="0"/>
        <w:ind w:left="720" w:firstLine="7"/>
        <w:rPr>
          <w:lang w:val="pt-BR"/>
        </w:rPr>
      </w:pPr>
    </w:p>
    <w:p w:rsidR="00766C40" w:rsidRPr="00C50FD1" w:rsidRDefault="00B73A46" w:rsidP="00F64DEA">
      <w:pPr>
        <w:pStyle w:val="Footnotedash"/>
        <w:tabs>
          <w:tab w:val="left" w:pos="1620"/>
        </w:tabs>
        <w:spacing w:before="0" w:after="0"/>
        <w:ind w:left="720" w:firstLine="7"/>
        <w:rPr>
          <w:lang w:val="pt-BR"/>
        </w:rPr>
      </w:pPr>
      <w:r w:rsidRPr="00C50FD1">
        <w:rPr>
          <w:rFonts w:ascii="Tahoma" w:hAnsi="Tahoma" w:cs="Tahoma"/>
          <w:sz w:val="18"/>
          <w:szCs w:val="18"/>
          <w:lang w:val="pt-BR"/>
        </w:rPr>
        <w:t xml:space="preserve">Eles deverão estar situados a) em um dos países estabelecidos na União Europeia (UE), b) na Associação Europeia de Livre Comércio (EFTA), c) na Bulgária, Croácia, Romênia ou Suíça. </w:t>
      </w:r>
    </w:p>
    <w:p w:rsidR="00F64DEA" w:rsidRPr="00C50FD1" w:rsidRDefault="00F64DEA" w:rsidP="00F64DEA">
      <w:pPr>
        <w:pStyle w:val="FootnoteBulletLevel1"/>
        <w:tabs>
          <w:tab w:val="clear" w:pos="900"/>
        </w:tabs>
        <w:adjustRightInd/>
        <w:spacing w:before="0" w:after="0"/>
        <w:ind w:left="720" w:firstLine="0"/>
        <w:textAlignment w:val="auto"/>
        <w:rPr>
          <w:lang w:val="pt-BR"/>
        </w:rPr>
      </w:pPr>
    </w:p>
    <w:p w:rsidR="00B73A46" w:rsidRPr="00C50FD1" w:rsidRDefault="00B73A46" w:rsidP="00F64DEA">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lastRenderedPageBreak/>
        <w:t>Windows XP Professional</w:t>
      </w:r>
    </w:p>
    <w:p w:rsidR="00B73A46" w:rsidRPr="00C50FD1" w:rsidRDefault="00B73A46" w:rsidP="00F64DEA">
      <w:pPr>
        <w:pStyle w:val="FootnoteBulletLevel2"/>
        <w:spacing w:before="0"/>
        <w:ind w:left="720" w:firstLine="0"/>
        <w:rPr>
          <w:lang w:val="pt-BR"/>
        </w:rPr>
      </w:pPr>
      <w:r w:rsidRPr="00C50FD1">
        <w:rPr>
          <w:rFonts w:ascii="Tahoma" w:hAnsi="Tahoma" w:cs="Tahoma"/>
          <w:sz w:val="18"/>
          <w:szCs w:val="18"/>
          <w:lang w:val="pt-BR"/>
        </w:rPr>
        <w:t>Restrições de uso do Windows XP Professional na Coreia:</w:t>
      </w:r>
    </w:p>
    <w:p w:rsidR="00B73A46" w:rsidRPr="00C50FD1" w:rsidRDefault="00B73A46" w:rsidP="00F64DEA">
      <w:pPr>
        <w:pStyle w:val="FootnoteBulletLevel2"/>
        <w:spacing w:before="0"/>
        <w:ind w:left="720" w:firstLine="0"/>
        <w:rPr>
          <w:lang w:val="pt-BR"/>
        </w:rPr>
      </w:pPr>
      <w:r w:rsidRPr="00C50FD1">
        <w:rPr>
          <w:rFonts w:ascii="Tahoma" w:hAnsi="Tahoma" w:cs="Tahoma"/>
          <w:sz w:val="18"/>
          <w:szCs w:val="18"/>
          <w:lang w:val="pt-BR"/>
        </w:rPr>
        <w:t>Essas restrições também se aplicarão a qualquer uso do Windows XP Professional de acordo com os direitos de downgrade.</w:t>
      </w:r>
    </w:p>
    <w:p w:rsidR="00F64DEA" w:rsidRPr="00C50FD1" w:rsidRDefault="00F64DEA" w:rsidP="00F64DEA">
      <w:pPr>
        <w:pStyle w:val="FootnoteBulletLevel2"/>
        <w:spacing w:before="0"/>
        <w:ind w:left="720" w:firstLine="0"/>
        <w:rPr>
          <w:lang w:val="pt-BR"/>
        </w:rPr>
      </w:pPr>
    </w:p>
    <w:p w:rsidR="00B73A46" w:rsidRPr="00C50FD1" w:rsidRDefault="00B73A46" w:rsidP="00F64DEA">
      <w:pPr>
        <w:pStyle w:val="Footnotedash"/>
        <w:numPr>
          <w:ilvl w:val="0"/>
          <w:numId w:val="38"/>
        </w:numPr>
        <w:adjustRightInd/>
        <w:spacing w:before="0"/>
        <w:ind w:left="1440"/>
        <w:textAlignment w:val="auto"/>
        <w:rPr>
          <w:lang w:val="pt-BR"/>
        </w:rPr>
      </w:pPr>
      <w:r w:rsidRPr="00C50FD1">
        <w:rPr>
          <w:rFonts w:ascii="Tahoma" w:hAnsi="Tahoma" w:cs="Tahoma"/>
          <w:sz w:val="18"/>
          <w:szCs w:val="18"/>
          <w:lang w:val="pt-BR"/>
        </w:rPr>
        <w:t xml:space="preserve">A KFTC (Korean Fair Trade Commission) requer determinadas restrições a quando os clientes de licenças por volume e suas afiliadas poderão implantar a versão no idioma coreano do Windows XP Professional para uso na Coreia. </w:t>
      </w:r>
    </w:p>
    <w:p w:rsidR="00B73A46" w:rsidRPr="00C50FD1" w:rsidRDefault="00B73A46" w:rsidP="00F64DEA">
      <w:pPr>
        <w:pStyle w:val="Footnotedash"/>
        <w:numPr>
          <w:ilvl w:val="0"/>
          <w:numId w:val="38"/>
        </w:numPr>
        <w:adjustRightInd/>
        <w:spacing w:before="0"/>
        <w:ind w:left="1440"/>
        <w:textAlignment w:val="auto"/>
        <w:rPr>
          <w:lang w:val="pt-BR"/>
        </w:rPr>
      </w:pPr>
      <w:r w:rsidRPr="00C50FD1">
        <w:rPr>
          <w:rFonts w:ascii="Tahoma" w:hAnsi="Tahoma" w:cs="Tahoma"/>
          <w:sz w:val="18"/>
          <w:szCs w:val="18"/>
          <w:lang w:val="pt-BR"/>
        </w:rPr>
        <w:t xml:space="preserve">Essas restrições não se aplicarão às licenças que os clientes tiverem adquirido para a versão no idioma coreano do Windows XP Professional antes de 24 de agosto de 2006. </w:t>
      </w:r>
    </w:p>
    <w:p w:rsidR="00B73A46" w:rsidRPr="00C50FD1" w:rsidRDefault="00B73A46" w:rsidP="00F64DEA">
      <w:pPr>
        <w:pStyle w:val="Footnotedash"/>
        <w:numPr>
          <w:ilvl w:val="0"/>
          <w:numId w:val="38"/>
        </w:numPr>
        <w:adjustRightInd/>
        <w:spacing w:before="0"/>
        <w:ind w:left="1440"/>
        <w:textAlignment w:val="auto"/>
        <w:rPr>
          <w:lang w:val="pt-BR"/>
        </w:rPr>
      </w:pPr>
      <w:r w:rsidRPr="00C50FD1">
        <w:rPr>
          <w:rFonts w:ascii="Tahoma" w:hAnsi="Tahoma" w:cs="Tahoma"/>
          <w:sz w:val="18"/>
          <w:szCs w:val="18"/>
          <w:lang w:val="pt-BR"/>
        </w:rPr>
        <w:t>Essas restrições também não se aplicarão aos clientes multinacionais com sede fora da Coreia que utilizarem uma única imagem do software.</w:t>
      </w:r>
    </w:p>
    <w:p w:rsidR="00B73A46" w:rsidRPr="00C50FD1" w:rsidRDefault="00B73A46" w:rsidP="00F64DEA">
      <w:pPr>
        <w:pStyle w:val="Footnotedash"/>
        <w:numPr>
          <w:ilvl w:val="0"/>
          <w:numId w:val="38"/>
        </w:numPr>
        <w:adjustRightInd/>
        <w:spacing w:before="0"/>
        <w:ind w:left="1440"/>
        <w:textAlignment w:val="auto"/>
        <w:rPr>
          <w:lang w:val="pt-BR"/>
        </w:rPr>
      </w:pPr>
      <w:r w:rsidRPr="00C50FD1">
        <w:rPr>
          <w:rFonts w:ascii="Tahoma" w:hAnsi="Tahoma" w:cs="Tahoma"/>
          <w:sz w:val="18"/>
          <w:szCs w:val="18"/>
          <w:lang w:val="pt-BR"/>
        </w:rPr>
        <w:t>Essas restrições não se aplicarão aos clientes sob contratos vigentes em 23 de agosto de 2006 ou</w:t>
      </w:r>
      <w:r w:rsidR="000704B0" w:rsidRPr="00C50FD1">
        <w:rPr>
          <w:rFonts w:ascii="Tahoma" w:hAnsi="Tahoma" w:cs="Tahoma"/>
          <w:sz w:val="18"/>
          <w:szCs w:val="18"/>
          <w:lang w:val="pt-BR"/>
        </w:rPr>
        <w:t> </w:t>
      </w:r>
      <w:r w:rsidRPr="00C50FD1">
        <w:rPr>
          <w:rFonts w:ascii="Tahoma" w:hAnsi="Tahoma" w:cs="Tahoma"/>
          <w:sz w:val="18"/>
          <w:szCs w:val="18"/>
          <w:lang w:val="pt-BR"/>
        </w:rPr>
        <w:t>antes disso que, em circunstâncias excepcionais, utilizarem uma única imagem do software continuamente.</w:t>
      </w:r>
    </w:p>
    <w:p w:rsidR="00B73A46" w:rsidRPr="00C50FD1" w:rsidRDefault="00B73A46" w:rsidP="00F64DEA">
      <w:pPr>
        <w:pStyle w:val="Footnotedash"/>
        <w:numPr>
          <w:ilvl w:val="0"/>
          <w:numId w:val="38"/>
        </w:numPr>
        <w:adjustRightInd/>
        <w:spacing w:before="0"/>
        <w:ind w:left="1440"/>
        <w:textAlignment w:val="auto"/>
        <w:rPr>
          <w:lang w:val="pt-BR"/>
        </w:rPr>
      </w:pPr>
      <w:r w:rsidRPr="00C50FD1">
        <w:rPr>
          <w:rFonts w:ascii="Tahoma" w:hAnsi="Tahoma" w:cs="Tahoma"/>
          <w:sz w:val="18"/>
          <w:szCs w:val="18"/>
          <w:lang w:val="pt-BR"/>
        </w:rPr>
        <w:t xml:space="preserve">A KFTC não impôs restrições ao uso de versões de idiomas que não sejam o coreano. </w:t>
      </w:r>
    </w:p>
    <w:p w:rsidR="00B73A46" w:rsidRPr="00C50FD1" w:rsidRDefault="00B73A46" w:rsidP="00F64DEA">
      <w:pPr>
        <w:pStyle w:val="Footnotedash"/>
        <w:numPr>
          <w:ilvl w:val="0"/>
          <w:numId w:val="38"/>
        </w:numPr>
        <w:adjustRightInd/>
        <w:spacing w:before="0"/>
        <w:ind w:left="1440"/>
        <w:textAlignment w:val="auto"/>
        <w:rPr>
          <w:lang w:val="pt-BR"/>
        </w:rPr>
      </w:pPr>
      <w:r w:rsidRPr="00C50FD1">
        <w:rPr>
          <w:rFonts w:ascii="Tahoma" w:hAnsi="Tahoma" w:cs="Tahoma"/>
          <w:sz w:val="18"/>
          <w:szCs w:val="18"/>
          <w:lang w:val="pt-BR"/>
        </w:rPr>
        <w:t>A KFTC não impôs restrições a edições Tablet PC ou de 64 bits em qualquer versão de idioma.</w:t>
      </w:r>
    </w:p>
    <w:p w:rsidR="00F64DEA" w:rsidRPr="00C50FD1" w:rsidRDefault="00F64DEA" w:rsidP="00AF3B19">
      <w:pPr>
        <w:pStyle w:val="Footnotedash"/>
        <w:tabs>
          <w:tab w:val="clear" w:pos="1620"/>
        </w:tabs>
        <w:adjustRightInd/>
        <w:spacing w:before="0" w:after="0"/>
        <w:ind w:left="1440" w:firstLine="0"/>
        <w:textAlignment w:val="auto"/>
        <w:rPr>
          <w:lang w:val="pt-BR"/>
        </w:rPr>
      </w:pPr>
    </w:p>
    <w:p w:rsidR="00B73A46" w:rsidRPr="00C50FD1" w:rsidRDefault="00B73A46" w:rsidP="00F64DEA">
      <w:pPr>
        <w:pStyle w:val="FootnoteBulletLevel2"/>
        <w:spacing w:before="0"/>
        <w:ind w:left="720" w:hanging="7"/>
        <w:rPr>
          <w:lang w:val="pt-BR"/>
        </w:rPr>
      </w:pPr>
      <w:r w:rsidRPr="00C50FD1">
        <w:rPr>
          <w:rFonts w:ascii="Tahoma" w:hAnsi="Tahoma" w:cs="Tahoma"/>
          <w:sz w:val="18"/>
          <w:szCs w:val="18"/>
          <w:u w:val="single"/>
          <w:lang w:val="pt-BR"/>
        </w:rPr>
        <w:t>Restrições</w:t>
      </w:r>
      <w:r w:rsidRPr="00C50FD1">
        <w:rPr>
          <w:rFonts w:ascii="Tahoma" w:hAnsi="Tahoma" w:cs="Tahoma"/>
          <w:sz w:val="18"/>
          <w:szCs w:val="18"/>
          <w:lang w:val="pt-BR"/>
        </w:rPr>
        <w:t>:</w:t>
      </w:r>
    </w:p>
    <w:p w:rsidR="00B73A46" w:rsidRPr="00C50FD1" w:rsidRDefault="00B73A46" w:rsidP="00F64DEA">
      <w:pPr>
        <w:pStyle w:val="FootnoteBulletLevel2"/>
        <w:spacing w:before="0"/>
        <w:ind w:left="720" w:hanging="7"/>
        <w:rPr>
          <w:lang w:val="pt-BR"/>
        </w:rPr>
      </w:pPr>
      <w:r w:rsidRPr="00C50FD1">
        <w:rPr>
          <w:rFonts w:ascii="Tahoma" w:hAnsi="Tahoma" w:cs="Tahoma"/>
          <w:sz w:val="18"/>
          <w:szCs w:val="18"/>
          <w:lang w:val="pt-BR"/>
        </w:rPr>
        <w:t>A partir de 24 de agosto de 2006, os clientes de licenças por volume na Coreia que não se encaixarem nos</w:t>
      </w:r>
      <w:r w:rsidR="000704B0" w:rsidRPr="00C50FD1">
        <w:rPr>
          <w:rFonts w:ascii="Tahoma" w:hAnsi="Tahoma" w:cs="Tahoma"/>
          <w:sz w:val="18"/>
          <w:szCs w:val="18"/>
          <w:lang w:val="pt-BR"/>
        </w:rPr>
        <w:t> </w:t>
      </w:r>
      <w:r w:rsidRPr="00C50FD1">
        <w:rPr>
          <w:rFonts w:ascii="Tahoma" w:hAnsi="Tahoma" w:cs="Tahoma"/>
          <w:sz w:val="18"/>
          <w:szCs w:val="18"/>
          <w:lang w:val="pt-BR"/>
        </w:rPr>
        <w:t>critérios de exceção e desejarem usar versões no idioma coreano precisarão implantar o Windows XP Professional K ou o Windows XP Professional KN.</w:t>
      </w:r>
    </w:p>
    <w:p w:rsidR="00F64DEA" w:rsidRPr="00C50FD1" w:rsidRDefault="00F64DEA" w:rsidP="00F64DEA">
      <w:pPr>
        <w:pStyle w:val="FootnoteBulletLevel2"/>
        <w:spacing w:before="0"/>
        <w:ind w:left="720" w:hanging="7"/>
        <w:rPr>
          <w:lang w:val="pt-BR"/>
        </w:rPr>
      </w:pPr>
    </w:p>
    <w:p w:rsidR="00B73A46" w:rsidRPr="00C50FD1" w:rsidRDefault="00B73A46" w:rsidP="00F64DEA">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Windows XP Professional K e KN</w:t>
      </w:r>
    </w:p>
    <w:p w:rsidR="00B73A46" w:rsidRPr="00C50FD1" w:rsidRDefault="00B73A46" w:rsidP="00F64DEA">
      <w:pPr>
        <w:pStyle w:val="FootnoteBulletLevel2"/>
        <w:spacing w:before="0"/>
        <w:ind w:left="720" w:hanging="7"/>
        <w:rPr>
          <w:lang w:val="pt-BR"/>
        </w:rPr>
      </w:pPr>
      <w:r w:rsidRPr="00C50FD1">
        <w:rPr>
          <w:rFonts w:ascii="Tahoma" w:hAnsi="Tahoma" w:cs="Tahoma"/>
          <w:sz w:val="18"/>
          <w:szCs w:val="18"/>
          <w:lang w:val="pt-BR"/>
        </w:rPr>
        <w:t xml:space="preserve">Os clientes de licenças por volume e suas afiliadas poderão implantar o Windows XP Professional K ou KN para uso somente na Coreia. </w:t>
      </w:r>
    </w:p>
    <w:p w:rsidR="00F64DEA" w:rsidRPr="00C50FD1" w:rsidRDefault="00F64DEA" w:rsidP="00F64DEA">
      <w:pPr>
        <w:pStyle w:val="FootnoteBulletLevel2"/>
        <w:spacing w:before="0"/>
        <w:ind w:left="720" w:hanging="7"/>
        <w:rPr>
          <w:lang w:val="pt-BR"/>
        </w:rPr>
      </w:pPr>
    </w:p>
    <w:p w:rsidR="00B73A46" w:rsidRPr="00C50FD1" w:rsidRDefault="00B73A46" w:rsidP="00F64DEA">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Windows Vista Business KN</w:t>
      </w:r>
    </w:p>
    <w:p w:rsidR="00B73A46" w:rsidRPr="00C50FD1" w:rsidRDefault="00B73A46" w:rsidP="00F64DEA">
      <w:pPr>
        <w:pStyle w:val="FootnoteBulletLevel2"/>
        <w:spacing w:before="0"/>
        <w:ind w:left="720" w:hanging="7"/>
        <w:rPr>
          <w:lang w:val="pt-BR"/>
        </w:rPr>
      </w:pPr>
      <w:r w:rsidRPr="00C50FD1">
        <w:rPr>
          <w:rFonts w:ascii="Tahoma" w:hAnsi="Tahoma" w:cs="Tahoma"/>
          <w:sz w:val="18"/>
          <w:szCs w:val="18"/>
          <w:u w:val="single"/>
          <w:lang w:val="pt-BR"/>
        </w:rPr>
        <w:t>Qualificação</w:t>
      </w:r>
      <w:r w:rsidRPr="00C50FD1">
        <w:rPr>
          <w:rFonts w:ascii="Tahoma" w:hAnsi="Tahoma" w:cs="Tahoma"/>
          <w:sz w:val="18"/>
          <w:szCs w:val="18"/>
          <w:lang w:val="pt-BR"/>
        </w:rPr>
        <w:t>:</w:t>
      </w:r>
      <w:r w:rsidRPr="00C50FD1">
        <w:rPr>
          <w:rFonts w:ascii="Tahoma" w:hAnsi="Tahoma" w:cs="Tahoma"/>
          <w:sz w:val="18"/>
          <w:szCs w:val="18"/>
          <w:u w:val="single"/>
          <w:lang w:val="pt-BR"/>
        </w:rPr>
        <w:br/>
      </w:r>
      <w:r w:rsidRPr="00C50FD1">
        <w:rPr>
          <w:rFonts w:ascii="Tahoma" w:hAnsi="Tahoma" w:cs="Tahoma"/>
          <w:sz w:val="18"/>
          <w:szCs w:val="18"/>
          <w:lang w:val="pt-BR"/>
        </w:rPr>
        <w:t>Os clientes de licenças por volume situados na Coreia que tiverem um contrato ou registro do Licenciamento por Volume ativo com a Microsoft Operations Pte Ltd estarão qualificados para adquirir a mídia do Windows Vista Business KN para implantação e uso na Coreia. Nenhum outro uso é permitido.</w:t>
      </w:r>
    </w:p>
    <w:p w:rsidR="00F64DEA" w:rsidRPr="00C50FD1" w:rsidRDefault="00F64DEA" w:rsidP="00F64DEA">
      <w:pPr>
        <w:pStyle w:val="FootnoteBulletLevel2"/>
        <w:spacing w:before="0"/>
        <w:ind w:left="720" w:hanging="7"/>
        <w:rPr>
          <w:lang w:val="pt-BR"/>
        </w:rPr>
      </w:pPr>
    </w:p>
    <w:p w:rsidR="00B73A46" w:rsidRPr="00C50FD1" w:rsidRDefault="00B73A46" w:rsidP="00F64DEA">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Windows 7 Professional KN</w:t>
      </w:r>
    </w:p>
    <w:p w:rsidR="00B47893" w:rsidRPr="00C50FD1" w:rsidRDefault="00B73A46" w:rsidP="00F64DEA">
      <w:pPr>
        <w:pStyle w:val="FootnoteBulletLevel2"/>
        <w:spacing w:before="0"/>
        <w:ind w:left="720" w:hanging="7"/>
        <w:rPr>
          <w:lang w:val="pt-BR"/>
        </w:rPr>
      </w:pPr>
      <w:r w:rsidRPr="00C50FD1">
        <w:rPr>
          <w:rFonts w:ascii="Tahoma" w:hAnsi="Tahoma" w:cs="Tahoma"/>
          <w:sz w:val="18"/>
          <w:szCs w:val="18"/>
          <w:u w:val="single"/>
          <w:lang w:val="pt-BR"/>
        </w:rPr>
        <w:t>Qualificação</w:t>
      </w:r>
      <w:r w:rsidRPr="00C50FD1">
        <w:rPr>
          <w:rFonts w:ascii="Tahoma" w:hAnsi="Tahoma" w:cs="Tahoma"/>
          <w:sz w:val="18"/>
          <w:szCs w:val="18"/>
          <w:lang w:val="pt-BR"/>
        </w:rPr>
        <w:t>:</w:t>
      </w:r>
      <w:r w:rsidRPr="00C50FD1">
        <w:rPr>
          <w:rFonts w:ascii="Tahoma" w:hAnsi="Tahoma" w:cs="Tahoma"/>
          <w:sz w:val="18"/>
          <w:szCs w:val="18"/>
          <w:u w:val="single"/>
          <w:lang w:val="pt-BR"/>
        </w:rPr>
        <w:br/>
      </w:r>
      <w:r w:rsidRPr="00C50FD1">
        <w:rPr>
          <w:rFonts w:ascii="Tahoma" w:hAnsi="Tahoma" w:cs="Tahoma"/>
          <w:sz w:val="18"/>
          <w:szCs w:val="18"/>
          <w:lang w:val="pt-BR"/>
        </w:rPr>
        <w:t>Os clientes de licenças por volume situados na Coreia que tiverem um contrato ou registro do Licenciamento por Volume ativo com a Microsoft Operations Pte Ltd estarão qualificados para adquirir a mídia do Windows 7 Professional KN para implantação e uso na Coreia. Nenhum outro uso é permitido.</w:t>
      </w:r>
    </w:p>
    <w:p w:rsidR="00F64DEA" w:rsidRPr="00C50FD1" w:rsidRDefault="00F64DEA" w:rsidP="00F64DEA">
      <w:pPr>
        <w:pStyle w:val="FootnoteBulletLevel2"/>
        <w:spacing w:before="0"/>
        <w:ind w:left="720" w:hanging="7"/>
        <w:rPr>
          <w:lang w:val="pt-BR"/>
        </w:rPr>
      </w:pPr>
    </w:p>
    <w:p w:rsidR="00B73A46" w:rsidRPr="00C50FD1" w:rsidRDefault="00B73A46" w:rsidP="00F64DEA">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Windows Vista Business N (sem o Windows Media Player)</w:t>
      </w:r>
    </w:p>
    <w:p w:rsidR="00B73A46" w:rsidRPr="00C50FD1" w:rsidRDefault="00B73A46" w:rsidP="00F64DEA">
      <w:pPr>
        <w:pStyle w:val="FootnoteBulletLevel2"/>
        <w:spacing w:before="0"/>
        <w:ind w:left="720" w:hanging="7"/>
        <w:rPr>
          <w:lang w:val="pt-BR"/>
        </w:rPr>
      </w:pPr>
      <w:r w:rsidRPr="00C50FD1">
        <w:rPr>
          <w:rFonts w:ascii="Tahoma" w:hAnsi="Tahoma" w:cs="Tahoma"/>
          <w:sz w:val="18"/>
          <w:szCs w:val="18"/>
          <w:u w:val="single"/>
          <w:lang w:val="pt-BR"/>
        </w:rPr>
        <w:t>Qualificação</w:t>
      </w:r>
      <w:r w:rsidRPr="00C50FD1">
        <w:rPr>
          <w:rFonts w:ascii="Tahoma" w:hAnsi="Tahoma" w:cs="Tahoma"/>
          <w:sz w:val="18"/>
          <w:szCs w:val="18"/>
          <w:lang w:val="pt-BR"/>
        </w:rPr>
        <w:t>:</w:t>
      </w:r>
      <w:r w:rsidRPr="00C50FD1">
        <w:rPr>
          <w:rFonts w:ascii="Tahoma" w:hAnsi="Tahoma" w:cs="Tahoma"/>
          <w:sz w:val="18"/>
          <w:szCs w:val="18"/>
          <w:u w:val="single"/>
          <w:lang w:val="pt-BR"/>
        </w:rPr>
        <w:br/>
      </w:r>
      <w:r w:rsidRPr="00C50FD1">
        <w:rPr>
          <w:rFonts w:ascii="Tahoma" w:hAnsi="Tahoma" w:cs="Tahoma"/>
          <w:sz w:val="18"/>
          <w:szCs w:val="18"/>
          <w:lang w:val="pt-BR"/>
        </w:rPr>
        <w:t>Os clientes de licenças por volume que atenderem a todos os critérios a seguir estarão qualificados para adquirir a mídia do Microsoft Windows Vista Business N somente para implantação e uso na União Europeia</w:t>
      </w:r>
      <w:r w:rsidR="00543E90" w:rsidRPr="00C50FD1">
        <w:rPr>
          <w:rFonts w:ascii="Tahoma" w:hAnsi="Tahoma" w:cs="Tahoma"/>
          <w:sz w:val="18"/>
          <w:szCs w:val="18"/>
          <w:lang w:val="pt-BR"/>
        </w:rPr>
        <w:t> </w:t>
      </w:r>
      <w:r w:rsidRPr="00C50FD1">
        <w:rPr>
          <w:rFonts w:ascii="Tahoma" w:hAnsi="Tahoma" w:cs="Tahoma"/>
          <w:sz w:val="18"/>
          <w:szCs w:val="18"/>
          <w:lang w:val="pt-BR"/>
        </w:rPr>
        <w:t>(UE), na Associação Europeia de Livre Comércio (EFTA), na Bulgária, Croácia, Romênia ou Suíça.</w:t>
      </w:r>
    </w:p>
    <w:p w:rsidR="00F64DEA" w:rsidRPr="00C50FD1" w:rsidRDefault="00F64DEA" w:rsidP="00F64DEA">
      <w:pPr>
        <w:pStyle w:val="FootnoteBulletLevel2"/>
        <w:spacing w:before="0"/>
        <w:ind w:left="720" w:hanging="7"/>
        <w:rPr>
          <w:lang w:val="pt-BR"/>
        </w:rPr>
      </w:pPr>
    </w:p>
    <w:p w:rsidR="00B73A46" w:rsidRPr="00C50FD1" w:rsidRDefault="00B73A46" w:rsidP="00F64DEA">
      <w:pPr>
        <w:pStyle w:val="Footnotedash"/>
        <w:spacing w:before="0" w:after="0"/>
        <w:ind w:left="720" w:hanging="7"/>
        <w:rPr>
          <w:lang w:val="pt-BR"/>
        </w:rPr>
      </w:pPr>
      <w:r w:rsidRPr="00C50FD1">
        <w:rPr>
          <w:rFonts w:ascii="Tahoma" w:hAnsi="Tahoma" w:cs="Tahoma"/>
          <w:sz w:val="18"/>
          <w:szCs w:val="18"/>
          <w:lang w:val="pt-BR"/>
        </w:rPr>
        <w:t xml:space="preserve">Eles deverão ter pelo menos um dos seguintes contratos ou registros ativos com a Microsoft Ireland Operations Ltd: </w:t>
      </w:r>
    </w:p>
    <w:p w:rsidR="00F64DEA" w:rsidRPr="00C50FD1" w:rsidRDefault="00F64DEA" w:rsidP="00F64DEA">
      <w:pPr>
        <w:pStyle w:val="Footnotedash"/>
        <w:spacing w:before="0" w:after="0"/>
        <w:ind w:left="720" w:hanging="7"/>
        <w:rPr>
          <w:lang w:val="pt-BR"/>
        </w:rPr>
      </w:pPr>
    </w:p>
    <w:p w:rsidR="00B73A46" w:rsidRPr="00C50FD1" w:rsidRDefault="00B73A46" w:rsidP="00F64DEA">
      <w:pPr>
        <w:pStyle w:val="Footnotedash"/>
        <w:numPr>
          <w:ilvl w:val="0"/>
          <w:numId w:val="38"/>
        </w:numPr>
        <w:adjustRightInd/>
        <w:spacing w:before="0"/>
        <w:ind w:left="1440"/>
        <w:textAlignment w:val="auto"/>
        <w:rPr>
          <w:lang w:val="fr-FR"/>
        </w:rPr>
      </w:pPr>
      <w:r w:rsidRPr="00C50FD1">
        <w:rPr>
          <w:rFonts w:ascii="Tahoma" w:hAnsi="Tahoma" w:cs="Tahoma"/>
          <w:sz w:val="18"/>
          <w:szCs w:val="18"/>
          <w:lang w:val="fr-FR"/>
        </w:rPr>
        <w:t>Select, Enterprise ou Enterprise Subscription Enrollment</w:t>
      </w:r>
    </w:p>
    <w:p w:rsidR="00B73A46" w:rsidRPr="00653421" w:rsidRDefault="00B73A46" w:rsidP="00F64DEA">
      <w:pPr>
        <w:pStyle w:val="Footnotedash"/>
        <w:numPr>
          <w:ilvl w:val="0"/>
          <w:numId w:val="38"/>
        </w:numPr>
        <w:adjustRightInd/>
        <w:spacing w:before="0"/>
        <w:ind w:left="1440"/>
        <w:textAlignment w:val="auto"/>
      </w:pPr>
      <w:r w:rsidRPr="00653421">
        <w:rPr>
          <w:rFonts w:ascii="Tahoma" w:hAnsi="Tahoma" w:cs="Tahoma"/>
          <w:sz w:val="18"/>
          <w:szCs w:val="18"/>
        </w:rPr>
        <w:t xml:space="preserve">Licença Open*, Open Value, Campus e School Agreement, Open Value Subscription – Education Solutions </w:t>
      </w:r>
    </w:p>
    <w:p w:rsidR="00B73A46" w:rsidRPr="00C50FD1" w:rsidRDefault="00B73A46" w:rsidP="00F64DEA">
      <w:pPr>
        <w:pStyle w:val="Footnotedash"/>
        <w:tabs>
          <w:tab w:val="clear" w:pos="1620"/>
        </w:tabs>
        <w:adjustRightInd/>
        <w:spacing w:before="0"/>
        <w:ind w:left="1440" w:firstLine="0"/>
        <w:textAlignment w:val="auto"/>
        <w:rPr>
          <w:lang w:val="pt-BR"/>
        </w:rPr>
      </w:pPr>
      <w:r w:rsidRPr="00C50FD1">
        <w:rPr>
          <w:rFonts w:ascii="Tahoma" w:hAnsi="Tahoma" w:cs="Tahoma"/>
          <w:sz w:val="18"/>
          <w:szCs w:val="18"/>
          <w:lang w:val="pt-BR"/>
        </w:rPr>
        <w:t>(*Para os fins da Licença Open, um “contrato ativo” é aquele associado a um Número de Autorização de Licença Open ativo.)</w:t>
      </w:r>
    </w:p>
    <w:p w:rsidR="00F64DEA" w:rsidRPr="00C50FD1" w:rsidRDefault="00F64DEA" w:rsidP="00AF3B19">
      <w:pPr>
        <w:pStyle w:val="Footnotedash"/>
        <w:tabs>
          <w:tab w:val="clear" w:pos="1620"/>
        </w:tabs>
        <w:adjustRightInd/>
        <w:spacing w:before="0" w:after="0"/>
        <w:ind w:left="0" w:firstLine="0"/>
        <w:textAlignment w:val="auto"/>
        <w:rPr>
          <w:lang w:val="pt-BR"/>
        </w:rPr>
      </w:pPr>
    </w:p>
    <w:p w:rsidR="00B73A46" w:rsidRPr="00C50FD1" w:rsidRDefault="00B73A46" w:rsidP="00F64DEA">
      <w:pPr>
        <w:pStyle w:val="Footnotedash"/>
        <w:spacing w:before="0" w:after="0"/>
        <w:ind w:left="720" w:hanging="7"/>
        <w:rPr>
          <w:lang w:val="pt-BR"/>
        </w:rPr>
      </w:pPr>
      <w:r w:rsidRPr="00C50FD1">
        <w:rPr>
          <w:rFonts w:ascii="Tahoma" w:hAnsi="Tahoma" w:cs="Tahoma"/>
          <w:sz w:val="18"/>
          <w:szCs w:val="18"/>
          <w:lang w:val="pt-BR"/>
        </w:rPr>
        <w:lastRenderedPageBreak/>
        <w:t>Eles deverão ter o Software Assurance ativo para as licenças de atualização do Sistema Operacional Windows Desktop ou Windows Vista Business.</w:t>
      </w:r>
    </w:p>
    <w:p w:rsidR="00F64DEA" w:rsidRPr="00C50FD1" w:rsidRDefault="00F64DEA" w:rsidP="00F64DEA">
      <w:pPr>
        <w:pStyle w:val="Footnotedash"/>
        <w:spacing w:before="0" w:after="0"/>
        <w:ind w:left="720" w:hanging="7"/>
        <w:rPr>
          <w:lang w:val="pt-BR"/>
        </w:rPr>
      </w:pPr>
    </w:p>
    <w:p w:rsidR="00B73A46" w:rsidRPr="00C50FD1" w:rsidRDefault="00B73A46" w:rsidP="00F64DEA">
      <w:pPr>
        <w:pStyle w:val="Footnotedash"/>
        <w:spacing w:before="0" w:after="0"/>
        <w:ind w:left="720" w:hanging="7"/>
        <w:rPr>
          <w:lang w:val="pt-BR"/>
        </w:rPr>
      </w:pPr>
      <w:r w:rsidRPr="00C50FD1">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rsidR="00EB3E62" w:rsidRPr="00C50FD1" w:rsidRDefault="00EB3E62" w:rsidP="00F64DEA">
      <w:pPr>
        <w:pStyle w:val="Footnotedash"/>
        <w:spacing w:before="0" w:after="0"/>
        <w:ind w:left="720" w:hanging="7"/>
        <w:rPr>
          <w:lang w:val="pt-BR"/>
        </w:rPr>
      </w:pPr>
    </w:p>
    <w:p w:rsidR="00B73A46" w:rsidRPr="00C50FD1" w:rsidRDefault="00B73A46" w:rsidP="00EB3E62">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Windows 7 Professional N (sem o Windows Media Player)</w:t>
      </w:r>
    </w:p>
    <w:p w:rsidR="00B73A46" w:rsidRPr="00C50FD1" w:rsidRDefault="00B73A46" w:rsidP="00EB3E62">
      <w:pPr>
        <w:pStyle w:val="FootnoteBulletLevel2"/>
        <w:spacing w:before="0"/>
        <w:ind w:left="720" w:firstLine="0"/>
        <w:rPr>
          <w:lang w:val="pt-BR"/>
        </w:rPr>
      </w:pPr>
      <w:r w:rsidRPr="00C50FD1">
        <w:rPr>
          <w:rFonts w:ascii="Tahoma" w:hAnsi="Tahoma" w:cs="Tahoma"/>
          <w:sz w:val="18"/>
          <w:szCs w:val="18"/>
          <w:u w:val="single"/>
          <w:lang w:val="pt-BR"/>
        </w:rPr>
        <w:t>Qualificação</w:t>
      </w:r>
      <w:r w:rsidRPr="00C50FD1">
        <w:rPr>
          <w:rFonts w:ascii="Tahoma" w:hAnsi="Tahoma" w:cs="Tahoma"/>
          <w:sz w:val="18"/>
          <w:szCs w:val="18"/>
          <w:lang w:val="pt-BR"/>
        </w:rPr>
        <w:t>:</w:t>
      </w:r>
      <w:r w:rsidRPr="00C50FD1">
        <w:rPr>
          <w:rFonts w:ascii="Tahoma" w:hAnsi="Tahoma" w:cs="Tahoma"/>
          <w:sz w:val="18"/>
          <w:szCs w:val="18"/>
          <w:u w:val="single"/>
          <w:lang w:val="pt-BR"/>
        </w:rPr>
        <w:br/>
      </w:r>
      <w:r w:rsidRPr="00C50FD1">
        <w:rPr>
          <w:rFonts w:ascii="Tahoma" w:hAnsi="Tahoma" w:cs="Tahoma"/>
          <w:sz w:val="18"/>
          <w:szCs w:val="18"/>
          <w:lang w:val="pt-BR"/>
        </w:rPr>
        <w:t>Os clientes de licenças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rsidR="00B73A46" w:rsidRPr="00C50FD1" w:rsidRDefault="00B73A46" w:rsidP="00EB3E62">
      <w:pPr>
        <w:pStyle w:val="Footnotedash"/>
        <w:spacing w:before="0" w:after="0"/>
        <w:ind w:left="720" w:firstLine="0"/>
        <w:rPr>
          <w:lang w:val="pt-BR"/>
        </w:rPr>
      </w:pPr>
      <w:r w:rsidRPr="00C50FD1">
        <w:rPr>
          <w:rFonts w:ascii="Tahoma" w:hAnsi="Tahoma" w:cs="Tahoma"/>
          <w:sz w:val="18"/>
          <w:szCs w:val="18"/>
          <w:lang w:val="pt-BR"/>
        </w:rPr>
        <w:t xml:space="preserve">Eles deverão ter pelo menos um dos seguintes contratos ou registros ativos com a Microsoft Ireland Operations Ltd: </w:t>
      </w:r>
    </w:p>
    <w:p w:rsidR="00B73A46" w:rsidRPr="00C50FD1" w:rsidRDefault="00B73A46" w:rsidP="00EB3E62">
      <w:pPr>
        <w:pStyle w:val="Footnotedash"/>
        <w:numPr>
          <w:ilvl w:val="0"/>
          <w:numId w:val="38"/>
        </w:numPr>
        <w:adjustRightInd/>
        <w:spacing w:before="0"/>
        <w:ind w:left="1440"/>
        <w:textAlignment w:val="auto"/>
        <w:rPr>
          <w:lang w:val="fr-FR"/>
        </w:rPr>
      </w:pPr>
      <w:r w:rsidRPr="00C50FD1">
        <w:rPr>
          <w:rFonts w:ascii="Tahoma" w:hAnsi="Tahoma" w:cs="Tahoma"/>
          <w:sz w:val="18"/>
          <w:szCs w:val="18"/>
          <w:lang w:val="fr-FR"/>
        </w:rPr>
        <w:t>Select, Enterprise ou Enterprise Subscription Enrollment</w:t>
      </w:r>
    </w:p>
    <w:p w:rsidR="00B73A46" w:rsidRPr="00653421" w:rsidRDefault="00B73A46" w:rsidP="00EB3E62">
      <w:pPr>
        <w:pStyle w:val="Footnotedash"/>
        <w:numPr>
          <w:ilvl w:val="0"/>
          <w:numId w:val="38"/>
        </w:numPr>
        <w:adjustRightInd/>
        <w:spacing w:before="0"/>
        <w:ind w:left="1440"/>
        <w:textAlignment w:val="auto"/>
      </w:pPr>
      <w:r w:rsidRPr="00653421">
        <w:rPr>
          <w:rFonts w:ascii="Tahoma" w:hAnsi="Tahoma" w:cs="Tahoma"/>
          <w:sz w:val="18"/>
          <w:szCs w:val="18"/>
        </w:rPr>
        <w:t xml:space="preserve">Licença Open*, Open Value, Campus e School Agreement, Open Value Subscription – Education Solutions </w:t>
      </w:r>
    </w:p>
    <w:p w:rsidR="00B73A46" w:rsidRPr="00C50FD1" w:rsidRDefault="00B73A46" w:rsidP="00EB3E62">
      <w:pPr>
        <w:pStyle w:val="Footnotedash"/>
        <w:tabs>
          <w:tab w:val="clear" w:pos="1620"/>
        </w:tabs>
        <w:adjustRightInd/>
        <w:spacing w:before="0"/>
        <w:ind w:left="1440" w:firstLine="0"/>
        <w:textAlignment w:val="auto"/>
        <w:rPr>
          <w:lang w:val="pt-BR"/>
        </w:rPr>
      </w:pPr>
      <w:r w:rsidRPr="00C50FD1">
        <w:rPr>
          <w:rFonts w:ascii="Tahoma" w:hAnsi="Tahoma" w:cs="Tahoma"/>
          <w:sz w:val="18"/>
          <w:szCs w:val="18"/>
          <w:lang w:val="pt-BR"/>
        </w:rPr>
        <w:t>(*Para os fins da Licença Open, um “contrato ativo” é aquele associado a um Número de Autorização de Licença Open ativo.)</w:t>
      </w:r>
    </w:p>
    <w:p w:rsidR="00B73A46" w:rsidRPr="00C50FD1" w:rsidRDefault="00B73A46" w:rsidP="00EB3E62">
      <w:pPr>
        <w:pStyle w:val="Footnotedash"/>
        <w:spacing w:before="0" w:after="0"/>
        <w:ind w:left="720" w:firstLine="0"/>
        <w:rPr>
          <w:lang w:val="pt-BR"/>
        </w:rPr>
      </w:pPr>
      <w:r w:rsidRPr="00C50FD1">
        <w:rPr>
          <w:rFonts w:ascii="Tahoma" w:hAnsi="Tahoma" w:cs="Tahoma"/>
          <w:sz w:val="18"/>
          <w:szCs w:val="18"/>
          <w:lang w:val="pt-BR"/>
        </w:rPr>
        <w:t>Eles deverão ter o Software Assurance ativo para as licenças de atualização do Sistema Operacional Windows Desktop ou Windows 8 Pro.</w:t>
      </w:r>
    </w:p>
    <w:p w:rsidR="00EB3E62" w:rsidRPr="00C50FD1" w:rsidRDefault="00EB3E62" w:rsidP="00EB3E62">
      <w:pPr>
        <w:pStyle w:val="Footnotedash"/>
        <w:spacing w:before="0" w:after="0"/>
        <w:ind w:left="720" w:firstLine="0"/>
        <w:rPr>
          <w:lang w:val="pt-BR"/>
        </w:rPr>
      </w:pPr>
    </w:p>
    <w:p w:rsidR="00B73A46" w:rsidRPr="00C50FD1" w:rsidRDefault="00B73A46" w:rsidP="00EB3E62">
      <w:pPr>
        <w:pStyle w:val="Footnotedash"/>
        <w:spacing w:before="0" w:after="0"/>
        <w:ind w:left="720" w:firstLine="0"/>
        <w:rPr>
          <w:lang w:val="pt-BR"/>
        </w:rPr>
      </w:pPr>
      <w:r w:rsidRPr="00C50FD1">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rsidR="00EB3E62" w:rsidRPr="00C50FD1" w:rsidRDefault="00EB3E62" w:rsidP="00EB3E62">
      <w:pPr>
        <w:pStyle w:val="Footnotedash"/>
        <w:spacing w:before="0" w:after="0"/>
        <w:ind w:left="720" w:firstLine="0"/>
        <w:rPr>
          <w:lang w:val="pt-BR"/>
        </w:rPr>
      </w:pPr>
    </w:p>
    <w:p w:rsidR="00697E59" w:rsidRPr="00C50FD1" w:rsidRDefault="00B73A46" w:rsidP="00EB3E62">
      <w:pPr>
        <w:pStyle w:val="Footnotedash"/>
        <w:spacing w:before="0" w:after="0"/>
        <w:ind w:left="720" w:firstLine="0"/>
        <w:rPr>
          <w:lang w:val="pt-BR"/>
        </w:rPr>
      </w:pPr>
      <w:r w:rsidRPr="00C50FD1">
        <w:rPr>
          <w:rFonts w:ascii="Tahoma" w:hAnsi="Tahoma" w:cs="Tahoma"/>
          <w:sz w:val="18"/>
          <w:szCs w:val="18"/>
          <w:lang w:val="pt-BR"/>
        </w:rPr>
        <w:t xml:space="preserve">Os clientes poderão desconsiderar a notificação encontrada nos Direitos de Uso de Produto de </w:t>
      </w:r>
      <w:r w:rsidR="00620E07" w:rsidRPr="00C50FD1">
        <w:rPr>
          <w:rFonts w:ascii="Tahoma" w:hAnsi="Tahoma" w:cs="Tahoma"/>
          <w:sz w:val="18"/>
          <w:szCs w:val="18"/>
          <w:lang w:val="pt-BR"/>
        </w:rPr>
        <w:br/>
      </w:r>
      <w:r w:rsidRPr="00C50FD1">
        <w:rPr>
          <w:rFonts w:ascii="Tahoma" w:hAnsi="Tahoma" w:cs="Tahoma"/>
          <w:sz w:val="18"/>
          <w:szCs w:val="18"/>
          <w:lang w:val="pt-BR"/>
        </w:rPr>
        <w:t xml:space="preserve">julho de 2009 referente à ausência do Internet Explorer 8 e o aviso correspondente de isenção de responsabilidade da garantia. </w:t>
      </w:r>
    </w:p>
    <w:p w:rsidR="00804794" w:rsidRPr="00C50FD1" w:rsidRDefault="00804794" w:rsidP="00804794">
      <w:pPr>
        <w:pStyle w:val="FootnoteBulletLevel1"/>
        <w:tabs>
          <w:tab w:val="clear" w:pos="900"/>
        </w:tabs>
        <w:adjustRightInd/>
        <w:spacing w:before="0" w:after="0"/>
        <w:ind w:left="720" w:firstLine="0"/>
        <w:textAlignment w:val="auto"/>
        <w:rPr>
          <w:lang w:val="pt-BR"/>
        </w:rPr>
      </w:pPr>
    </w:p>
    <w:p w:rsidR="008A5D64" w:rsidRPr="00C50FD1" w:rsidRDefault="008A5D64" w:rsidP="00804794">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Windows 8 Pro KN</w:t>
      </w:r>
    </w:p>
    <w:p w:rsidR="008A5D64" w:rsidRPr="00C50FD1" w:rsidRDefault="008A5D64" w:rsidP="00804794">
      <w:pPr>
        <w:pStyle w:val="FootnoteBulletLevel2"/>
        <w:spacing w:before="0"/>
        <w:ind w:left="720" w:hanging="7"/>
        <w:rPr>
          <w:lang w:val="pt-BR"/>
        </w:rPr>
      </w:pPr>
      <w:r w:rsidRPr="00C50FD1">
        <w:rPr>
          <w:rFonts w:ascii="Tahoma" w:hAnsi="Tahoma" w:cs="Tahoma"/>
          <w:sz w:val="18"/>
          <w:szCs w:val="18"/>
          <w:u w:val="single"/>
          <w:lang w:val="pt-BR"/>
        </w:rPr>
        <w:t>Qualificação</w:t>
      </w:r>
      <w:r w:rsidRPr="00C50FD1">
        <w:rPr>
          <w:rFonts w:ascii="Tahoma" w:hAnsi="Tahoma" w:cs="Tahoma"/>
          <w:sz w:val="18"/>
          <w:szCs w:val="18"/>
          <w:u w:val="single"/>
          <w:lang w:val="pt-BR"/>
        </w:rPr>
        <w:br/>
      </w:r>
      <w:r w:rsidRPr="00C50FD1">
        <w:rPr>
          <w:rFonts w:ascii="Tahoma" w:hAnsi="Tahoma" w:cs="Tahoma"/>
          <w:sz w:val="18"/>
          <w:szCs w:val="18"/>
          <w:lang w:val="pt-BR"/>
        </w:rPr>
        <w:t>Os clientes de licenças por volume situados na Coreia que tiverem um contrato ou registro do Licenciamento por Volume ativo com a Microsoft Operations Pte Ltd estarão qualificados para adquirir a mídia do Windows 8 Pro KN para implantação e uso na Coreia. Nenhum outro uso é permitido.</w:t>
      </w:r>
    </w:p>
    <w:p w:rsidR="00804794" w:rsidRPr="00C50FD1" w:rsidRDefault="00804794" w:rsidP="00804794">
      <w:pPr>
        <w:pStyle w:val="FootnoteBulletLevel1"/>
        <w:tabs>
          <w:tab w:val="clear" w:pos="900"/>
        </w:tabs>
        <w:adjustRightInd/>
        <w:spacing w:before="0" w:after="0"/>
        <w:ind w:left="720" w:firstLine="0"/>
        <w:textAlignment w:val="auto"/>
        <w:rPr>
          <w:lang w:val="pt-BR"/>
        </w:rPr>
      </w:pPr>
    </w:p>
    <w:p w:rsidR="008A5D64" w:rsidRPr="00C50FD1" w:rsidRDefault="008A5D64" w:rsidP="00804794">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t>Windows 8 Pro N (sem o Windows Media Player)</w:t>
      </w:r>
    </w:p>
    <w:p w:rsidR="008A5D64" w:rsidRPr="00C50FD1" w:rsidRDefault="008A5D64" w:rsidP="00804794">
      <w:pPr>
        <w:pStyle w:val="FootnoteBulletLevel2"/>
        <w:spacing w:before="0"/>
        <w:ind w:left="720" w:firstLine="0"/>
        <w:rPr>
          <w:lang w:val="pt-BR"/>
        </w:rPr>
      </w:pPr>
      <w:r w:rsidRPr="00C50FD1">
        <w:rPr>
          <w:rFonts w:ascii="Tahoma" w:hAnsi="Tahoma" w:cs="Tahoma"/>
          <w:sz w:val="18"/>
          <w:szCs w:val="18"/>
          <w:u w:val="single"/>
          <w:lang w:val="pt-BR"/>
        </w:rPr>
        <w:t>Qualificação</w:t>
      </w:r>
      <w:r w:rsidRPr="00C50FD1">
        <w:rPr>
          <w:rFonts w:ascii="Tahoma" w:hAnsi="Tahoma" w:cs="Tahoma"/>
          <w:sz w:val="18"/>
          <w:szCs w:val="18"/>
          <w:lang w:val="pt-BR"/>
        </w:rPr>
        <w:t>:</w:t>
      </w:r>
      <w:r w:rsidRPr="00C50FD1">
        <w:rPr>
          <w:rFonts w:ascii="Tahoma" w:hAnsi="Tahoma" w:cs="Tahoma"/>
          <w:sz w:val="18"/>
          <w:szCs w:val="18"/>
          <w:u w:val="single"/>
          <w:lang w:val="pt-BR"/>
        </w:rPr>
        <w:br/>
      </w:r>
      <w:r w:rsidRPr="00C50FD1">
        <w:rPr>
          <w:rFonts w:ascii="Tahoma" w:hAnsi="Tahoma" w:cs="Tahoma"/>
          <w:sz w:val="18"/>
          <w:szCs w:val="18"/>
          <w:lang w:val="pt-BR"/>
        </w:rPr>
        <w:t>Os clientes de licenças por volume que atenderem a todos os critérios a seguir estarão qualificados para adquirir a mídia do Microsoft Windows 8 Pro N somente para implantação e uso na União Europeia (UE), na</w:t>
      </w:r>
      <w:r w:rsidR="00543E90" w:rsidRPr="00C50FD1">
        <w:rPr>
          <w:rFonts w:ascii="Tahoma" w:hAnsi="Tahoma" w:cs="Tahoma"/>
          <w:sz w:val="18"/>
          <w:szCs w:val="18"/>
          <w:lang w:val="pt-BR"/>
        </w:rPr>
        <w:t> </w:t>
      </w:r>
      <w:r w:rsidRPr="00C50FD1">
        <w:rPr>
          <w:rFonts w:ascii="Tahoma" w:hAnsi="Tahoma" w:cs="Tahoma"/>
          <w:sz w:val="18"/>
          <w:szCs w:val="18"/>
          <w:lang w:val="pt-BR"/>
        </w:rPr>
        <w:t>Associação Europeia de Livre Comércio (EFTA), na Bulgária, Croácia, Romênia ou Suíça.</w:t>
      </w:r>
    </w:p>
    <w:p w:rsidR="008A5D64" w:rsidRPr="00C50FD1" w:rsidRDefault="008A5D64" w:rsidP="00804794">
      <w:pPr>
        <w:pStyle w:val="Footnotedash"/>
        <w:spacing w:before="0" w:after="0"/>
        <w:ind w:left="720" w:hanging="7"/>
        <w:rPr>
          <w:lang w:val="pt-BR"/>
        </w:rPr>
      </w:pPr>
      <w:r w:rsidRPr="00C50FD1">
        <w:rPr>
          <w:rFonts w:ascii="Tahoma" w:hAnsi="Tahoma" w:cs="Tahoma"/>
          <w:sz w:val="18"/>
          <w:szCs w:val="18"/>
          <w:lang w:val="pt-BR"/>
        </w:rPr>
        <w:t xml:space="preserve">Eles deverão ter pelo menos um dos seguintes contratos ou registros ativos com a Microsoft Ireland Operations Ltd: </w:t>
      </w:r>
    </w:p>
    <w:p w:rsidR="00804794" w:rsidRPr="00C50FD1" w:rsidRDefault="00804794" w:rsidP="00804794">
      <w:pPr>
        <w:pStyle w:val="Footnotedash"/>
        <w:spacing w:before="0" w:after="0"/>
        <w:ind w:left="720" w:hanging="7"/>
        <w:rPr>
          <w:lang w:val="pt-BR"/>
        </w:rPr>
      </w:pPr>
    </w:p>
    <w:p w:rsidR="008A5D64" w:rsidRPr="00C50FD1" w:rsidRDefault="008A5D64" w:rsidP="00804794">
      <w:pPr>
        <w:pStyle w:val="Footnotedash"/>
        <w:numPr>
          <w:ilvl w:val="0"/>
          <w:numId w:val="38"/>
        </w:numPr>
        <w:adjustRightInd/>
        <w:spacing w:before="0"/>
        <w:ind w:left="1440"/>
        <w:textAlignment w:val="auto"/>
        <w:rPr>
          <w:lang w:val="fr-FR"/>
        </w:rPr>
      </w:pPr>
      <w:r w:rsidRPr="00C50FD1">
        <w:rPr>
          <w:rFonts w:ascii="Tahoma" w:hAnsi="Tahoma" w:cs="Tahoma"/>
          <w:sz w:val="18"/>
          <w:szCs w:val="18"/>
          <w:lang w:val="fr-FR"/>
        </w:rPr>
        <w:t>Select, Enterprise ou Enterprise Subscription Enrollment</w:t>
      </w:r>
    </w:p>
    <w:p w:rsidR="008A5D64" w:rsidRPr="00653421" w:rsidRDefault="008A5D64" w:rsidP="00804794">
      <w:pPr>
        <w:pStyle w:val="Footnotedash"/>
        <w:numPr>
          <w:ilvl w:val="0"/>
          <w:numId w:val="38"/>
        </w:numPr>
        <w:adjustRightInd/>
        <w:spacing w:before="0"/>
        <w:ind w:left="1440"/>
        <w:textAlignment w:val="auto"/>
      </w:pPr>
      <w:r w:rsidRPr="00653421">
        <w:rPr>
          <w:rFonts w:ascii="Tahoma" w:hAnsi="Tahoma" w:cs="Tahoma"/>
          <w:sz w:val="18"/>
          <w:szCs w:val="18"/>
        </w:rPr>
        <w:t xml:space="preserve">Licença Open*, Open Value, Campus e School Agreement, Open Value Subscription – Education Solutions </w:t>
      </w:r>
    </w:p>
    <w:p w:rsidR="008A5D64" w:rsidRPr="00C50FD1" w:rsidRDefault="008A5D64" w:rsidP="00804794">
      <w:pPr>
        <w:pStyle w:val="Footnotedash"/>
        <w:tabs>
          <w:tab w:val="clear" w:pos="1620"/>
        </w:tabs>
        <w:adjustRightInd/>
        <w:spacing w:before="0"/>
        <w:ind w:left="1440" w:firstLine="0"/>
        <w:textAlignment w:val="auto"/>
        <w:rPr>
          <w:lang w:val="pt-BR"/>
        </w:rPr>
      </w:pPr>
      <w:r w:rsidRPr="00C50FD1">
        <w:rPr>
          <w:rFonts w:ascii="Tahoma" w:hAnsi="Tahoma" w:cs="Tahoma"/>
          <w:sz w:val="18"/>
          <w:szCs w:val="18"/>
          <w:lang w:val="pt-BR"/>
        </w:rPr>
        <w:t>(*Para os fins da Licença Open, um “contrato ativo” é aquele associado a um Número de Autorização de Licença Open ativo.)</w:t>
      </w:r>
    </w:p>
    <w:p w:rsidR="00804794" w:rsidRPr="00C50FD1" w:rsidRDefault="00804794" w:rsidP="00804794">
      <w:pPr>
        <w:pStyle w:val="Footnotedash"/>
        <w:tabs>
          <w:tab w:val="clear" w:pos="1620"/>
        </w:tabs>
        <w:adjustRightInd/>
        <w:spacing w:before="0" w:after="0"/>
        <w:ind w:left="1440" w:firstLine="0"/>
        <w:textAlignment w:val="auto"/>
        <w:rPr>
          <w:lang w:val="pt-BR"/>
        </w:rPr>
      </w:pPr>
    </w:p>
    <w:p w:rsidR="008A5D64" w:rsidRPr="00C50FD1" w:rsidRDefault="008A5D64" w:rsidP="00804794">
      <w:pPr>
        <w:pStyle w:val="Footnotedash"/>
        <w:spacing w:before="0" w:after="0"/>
        <w:ind w:left="720" w:hanging="7"/>
        <w:rPr>
          <w:lang w:val="pt-BR"/>
        </w:rPr>
      </w:pPr>
      <w:r w:rsidRPr="00C50FD1">
        <w:rPr>
          <w:rFonts w:ascii="Tahoma" w:hAnsi="Tahoma" w:cs="Tahoma"/>
          <w:sz w:val="18"/>
          <w:szCs w:val="18"/>
          <w:lang w:val="pt-BR"/>
        </w:rPr>
        <w:t>Eles deverão ter o Software Assurance ativo para as licenças de atualização do Sistema Operacional Windows Desktop ou Windows 8 Pro.</w:t>
      </w:r>
    </w:p>
    <w:p w:rsidR="00804794" w:rsidRPr="00C50FD1" w:rsidRDefault="00804794" w:rsidP="00804794">
      <w:pPr>
        <w:pStyle w:val="Footnotedash"/>
        <w:spacing w:before="0" w:after="0"/>
        <w:ind w:left="720" w:hanging="7"/>
        <w:rPr>
          <w:lang w:val="pt-BR"/>
        </w:rPr>
      </w:pPr>
    </w:p>
    <w:p w:rsidR="008A5D64" w:rsidRPr="00C50FD1" w:rsidRDefault="008A5D64" w:rsidP="00804794">
      <w:pPr>
        <w:pStyle w:val="Footnotedash"/>
        <w:spacing w:before="0" w:after="0"/>
        <w:ind w:left="720" w:hanging="7"/>
        <w:rPr>
          <w:lang w:val="pt-BR"/>
        </w:rPr>
      </w:pPr>
      <w:r w:rsidRPr="00C50FD1">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rsidR="00804794" w:rsidRPr="00C50FD1" w:rsidRDefault="00804794" w:rsidP="00804794">
      <w:pPr>
        <w:pStyle w:val="FootnoteBulletLevel1"/>
        <w:tabs>
          <w:tab w:val="clear" w:pos="900"/>
        </w:tabs>
        <w:adjustRightInd/>
        <w:spacing w:before="0" w:after="0"/>
        <w:ind w:left="720" w:firstLine="0"/>
        <w:textAlignment w:val="auto"/>
        <w:rPr>
          <w:lang w:val="pt-BR"/>
        </w:rPr>
      </w:pPr>
    </w:p>
    <w:p w:rsidR="00042D1C" w:rsidRPr="00C50FD1" w:rsidRDefault="00042D1C" w:rsidP="00804794">
      <w:pPr>
        <w:pStyle w:val="FootnoteBulletLevel1"/>
        <w:tabs>
          <w:tab w:val="clear" w:pos="900"/>
        </w:tabs>
        <w:adjustRightInd/>
        <w:spacing w:before="0" w:after="0"/>
        <w:ind w:left="720" w:firstLine="0"/>
        <w:textAlignment w:val="auto"/>
        <w:rPr>
          <w:lang w:val="pt-BR"/>
        </w:rPr>
      </w:pPr>
    </w:p>
    <w:p w:rsidR="00042D1C" w:rsidRPr="00C50FD1" w:rsidRDefault="00042D1C" w:rsidP="00804794">
      <w:pPr>
        <w:pStyle w:val="FootnoteBulletLevel1"/>
        <w:tabs>
          <w:tab w:val="clear" w:pos="900"/>
        </w:tabs>
        <w:adjustRightInd/>
        <w:spacing w:before="0" w:after="0"/>
        <w:ind w:left="720" w:firstLine="0"/>
        <w:textAlignment w:val="auto"/>
        <w:rPr>
          <w:lang w:val="pt-BR"/>
        </w:rPr>
      </w:pPr>
    </w:p>
    <w:p w:rsidR="00B73A46" w:rsidRPr="00C50FD1" w:rsidRDefault="00B73A46" w:rsidP="00804794">
      <w:pPr>
        <w:pStyle w:val="FootnoteBulletLevel1"/>
        <w:tabs>
          <w:tab w:val="clear" w:pos="900"/>
        </w:tabs>
        <w:adjustRightInd/>
        <w:spacing w:before="0" w:after="60"/>
        <w:ind w:left="720" w:firstLine="0"/>
        <w:textAlignment w:val="auto"/>
        <w:rPr>
          <w:lang w:val="pt-BR"/>
        </w:rPr>
      </w:pPr>
      <w:r w:rsidRPr="00C50FD1">
        <w:rPr>
          <w:rFonts w:ascii="Tahoma" w:hAnsi="Tahoma" w:cs="Tahoma"/>
          <w:b/>
          <w:bCs/>
          <w:sz w:val="18"/>
          <w:szCs w:val="18"/>
          <w:lang w:val="pt-BR"/>
        </w:rPr>
        <w:lastRenderedPageBreak/>
        <w:t>Direitos de Locação para Windows</w:t>
      </w:r>
    </w:p>
    <w:p w:rsidR="00B73A46" w:rsidRPr="00C50FD1" w:rsidRDefault="00B73A46" w:rsidP="00804794">
      <w:pPr>
        <w:pStyle w:val="FootnoteBulletLevel1"/>
        <w:tabs>
          <w:tab w:val="clear" w:pos="900"/>
        </w:tabs>
        <w:adjustRightInd/>
        <w:spacing w:before="0" w:after="0"/>
        <w:ind w:left="720" w:firstLine="0"/>
        <w:textAlignment w:val="auto"/>
        <w:rPr>
          <w:lang w:val="pt-BR"/>
        </w:rPr>
      </w:pPr>
      <w:r w:rsidRPr="00C50FD1">
        <w:rPr>
          <w:rFonts w:ascii="Tahoma" w:hAnsi="Tahoma" w:cs="Tahoma"/>
          <w:sz w:val="18"/>
          <w:szCs w:val="18"/>
          <w:u w:val="single"/>
          <w:lang w:val="pt-BR"/>
        </w:rPr>
        <w:t>Licenças de Direitos de Locação</w:t>
      </w:r>
      <w:r w:rsidRPr="00C50FD1">
        <w:rPr>
          <w:rFonts w:ascii="Tahoma" w:hAnsi="Tahoma" w:cs="Tahoma"/>
          <w:sz w:val="18"/>
          <w:szCs w:val="18"/>
          <w:lang w:val="pt-BR"/>
        </w:rPr>
        <w:t>:</w:t>
      </w:r>
      <w:r w:rsidRPr="00C50FD1">
        <w:rPr>
          <w:rFonts w:ascii="Tahoma" w:hAnsi="Tahoma" w:cs="Tahoma"/>
          <w:sz w:val="18"/>
          <w:szCs w:val="18"/>
          <w:lang w:val="pt-BR"/>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rsidR="00804794" w:rsidRPr="00C50FD1" w:rsidRDefault="00804794" w:rsidP="00804794">
      <w:pPr>
        <w:pStyle w:val="FootnoteBulletLevel1"/>
        <w:tabs>
          <w:tab w:val="clear" w:pos="900"/>
        </w:tabs>
        <w:adjustRightInd/>
        <w:spacing w:before="0" w:after="0"/>
        <w:ind w:left="720" w:firstLine="0"/>
        <w:textAlignment w:val="auto"/>
        <w:rPr>
          <w:lang w:val="pt-BR"/>
        </w:rPr>
      </w:pPr>
    </w:p>
    <w:p w:rsidR="005F52C6" w:rsidRPr="00653421" w:rsidRDefault="00B73A46" w:rsidP="00804794">
      <w:pPr>
        <w:pStyle w:val="FootnoteBulletLevel1"/>
        <w:tabs>
          <w:tab w:val="clear" w:pos="900"/>
        </w:tabs>
        <w:adjustRightInd/>
        <w:spacing w:before="0" w:after="0"/>
        <w:ind w:left="720" w:firstLine="0"/>
        <w:textAlignment w:val="auto"/>
      </w:pPr>
      <w:r w:rsidRPr="00653421">
        <w:rPr>
          <w:rFonts w:ascii="Tahoma" w:hAnsi="Tahoma" w:cs="Tahoma"/>
          <w:sz w:val="18"/>
          <w:szCs w:val="18"/>
          <w:u w:val="single"/>
        </w:rPr>
        <w:t>Windows Vista, Windows 7 Professional e Windows 8 Pro</w:t>
      </w:r>
      <w:r w:rsidRPr="00653421">
        <w:rPr>
          <w:rFonts w:ascii="Tahoma" w:hAnsi="Tahoma" w:cs="Tahoma"/>
          <w:sz w:val="18"/>
          <w:szCs w:val="18"/>
        </w:rPr>
        <w:t>:</w:t>
      </w:r>
    </w:p>
    <w:p w:rsidR="00B73A46" w:rsidRPr="00C50FD1" w:rsidRDefault="00B73A46" w:rsidP="00804794">
      <w:pPr>
        <w:pStyle w:val="FootnoteBulletLevel1"/>
        <w:tabs>
          <w:tab w:val="clear" w:pos="900"/>
        </w:tabs>
        <w:adjustRightInd/>
        <w:spacing w:before="0" w:after="0"/>
        <w:ind w:left="720" w:firstLine="0"/>
        <w:textAlignment w:val="auto"/>
        <w:rPr>
          <w:lang w:val="pt-BR"/>
        </w:rPr>
      </w:pPr>
      <w:r w:rsidRPr="00C50FD1">
        <w:rPr>
          <w:rFonts w:ascii="Tahoma" w:hAnsi="Tahoma" w:cs="Tahoma"/>
          <w:sz w:val="18"/>
          <w:szCs w:val="18"/>
          <w:lang w:val="pt-BR"/>
        </w:rPr>
        <w:t>Os clientes que desejarem adquirir licenças de direitos de locação por meio dos programas Select ou Licença Open deverão primeiro licenciar e instalar um sistema operacional qualificado no desktop</w:t>
      </w:r>
      <w:r w:rsidRPr="00C50FD1">
        <w:rPr>
          <w:rFonts w:ascii="Tahoma" w:hAnsi="Tahoma" w:cs="Tahoma"/>
          <w:i/>
          <w:iCs/>
          <w:sz w:val="18"/>
          <w:szCs w:val="18"/>
          <w:lang w:val="pt-BR"/>
        </w:rPr>
        <w:t>.</w:t>
      </w:r>
      <w:r w:rsidRPr="00C50FD1">
        <w:rPr>
          <w:rFonts w:ascii="Tahoma" w:hAnsi="Tahoma" w:cs="Tahoma"/>
          <w:sz w:val="18"/>
          <w:szCs w:val="18"/>
          <w:lang w:val="pt-BR"/>
        </w:rPr>
        <w:t xml:space="preserve"> Os sistemas operacionais qualificados licenciados também incluem licenças adquiridas com o Contrato Get Genuine Windows por meio desses programas.</w:t>
      </w:r>
    </w:p>
    <w:p w:rsidR="00B73A46" w:rsidRPr="00C50FD1" w:rsidRDefault="00B73A46" w:rsidP="00D134FF">
      <w:pPr>
        <w:spacing w:line="160" w:lineRule="exact"/>
        <w:ind w:left="720"/>
        <w:rPr>
          <w:sz w:val="16"/>
          <w:szCs w:val="16"/>
          <w:lang w:val="pt-BR"/>
        </w:rPr>
      </w:pPr>
    </w:p>
    <w:p w:rsidR="00B73A46" w:rsidRPr="00C50FD1" w:rsidRDefault="00B73A46" w:rsidP="00804794">
      <w:pPr>
        <w:ind w:left="720"/>
        <w:rPr>
          <w:lang w:val="pt-BR"/>
        </w:rPr>
      </w:pPr>
      <w:r w:rsidRPr="00C50FD1">
        <w:rPr>
          <w:rFonts w:cs="Tahoma"/>
          <w:szCs w:val="18"/>
          <w:u w:val="single"/>
          <w:lang w:val="pt-BR"/>
        </w:rPr>
        <w:t>Regras de Sistemas Operacionais Qualificados</w:t>
      </w:r>
      <w:r w:rsidRPr="00C50FD1">
        <w:rPr>
          <w:rFonts w:cs="Tahoma"/>
          <w:szCs w:val="18"/>
          <w:lang w:val="pt-BR"/>
        </w:rPr>
        <w:t>: Cada uma destas condições deve ser atendida para que o</w:t>
      </w:r>
      <w:r w:rsidR="0051059D" w:rsidRPr="00C50FD1">
        <w:rPr>
          <w:rFonts w:cs="Tahoma"/>
          <w:szCs w:val="18"/>
          <w:lang w:val="pt-BR"/>
        </w:rPr>
        <w:t> </w:t>
      </w:r>
      <w:r w:rsidRPr="00C50FD1">
        <w:rPr>
          <w:rFonts w:cs="Tahoma"/>
          <w:szCs w:val="18"/>
          <w:lang w:val="pt-BR"/>
        </w:rPr>
        <w:t xml:space="preserve">Sistema Operacional básico o qualifique para a licença de Direitos de Locação: </w:t>
      </w:r>
    </w:p>
    <w:p w:rsidR="00B73A46" w:rsidRPr="00C50FD1" w:rsidRDefault="00B73A46" w:rsidP="00D134FF">
      <w:pPr>
        <w:spacing w:line="160" w:lineRule="exact"/>
        <w:ind w:left="720"/>
        <w:rPr>
          <w:sz w:val="16"/>
          <w:szCs w:val="16"/>
          <w:lang w:val="pt-BR"/>
        </w:rPr>
      </w:pPr>
    </w:p>
    <w:p w:rsidR="00B73A46" w:rsidRPr="00C50FD1" w:rsidRDefault="00B73A46" w:rsidP="00804794">
      <w:pPr>
        <w:numPr>
          <w:ilvl w:val="0"/>
          <w:numId w:val="31"/>
        </w:numPr>
        <w:ind w:left="1440"/>
        <w:rPr>
          <w:lang w:val="pt-BR"/>
        </w:rPr>
      </w:pPr>
      <w:r w:rsidRPr="00C50FD1">
        <w:rPr>
          <w:rFonts w:cs="Tahoma"/>
          <w:szCs w:val="18"/>
          <w:lang w:val="pt-BR"/>
        </w:rPr>
        <w:t>A licença para o SO qualificado deverá ser cedida ao mesmo dispositivo ao qual a licença de Direitos de Locação de VL será cedida.</w:t>
      </w:r>
    </w:p>
    <w:p w:rsidR="00B73A46" w:rsidRPr="00C50FD1" w:rsidRDefault="00B73A46" w:rsidP="00804794">
      <w:pPr>
        <w:numPr>
          <w:ilvl w:val="0"/>
          <w:numId w:val="31"/>
        </w:numPr>
        <w:ind w:left="1440"/>
        <w:rPr>
          <w:lang w:val="pt-BR"/>
        </w:rPr>
      </w:pPr>
      <w:r w:rsidRPr="00C50FD1">
        <w:rPr>
          <w:rFonts w:cs="Tahoma"/>
          <w:szCs w:val="18"/>
          <w:lang w:val="pt-BR"/>
        </w:rPr>
        <w:t>O SO qualificado deverá ser instalado no referido dispositivo.</w:t>
      </w:r>
    </w:p>
    <w:p w:rsidR="00E31CC0" w:rsidRPr="00C50FD1" w:rsidRDefault="00E31CC0" w:rsidP="00D134FF">
      <w:pPr>
        <w:spacing w:line="160" w:lineRule="exact"/>
        <w:ind w:left="720"/>
        <w:rPr>
          <w:sz w:val="16"/>
          <w:szCs w:val="16"/>
          <w:lang w:val="pt-BR"/>
        </w:rPr>
      </w:pPr>
    </w:p>
    <w:p w:rsidR="00B73A46" w:rsidRPr="00C50FD1" w:rsidRDefault="00B73A46" w:rsidP="00EE035D">
      <w:pPr>
        <w:pStyle w:val="EndnoteText"/>
        <w:ind w:left="720"/>
        <w:rPr>
          <w:lang w:val="pt-BR"/>
        </w:rPr>
      </w:pPr>
      <w:r w:rsidRPr="00C50FD1">
        <w:rPr>
          <w:rFonts w:ascii="Tahoma" w:hAnsi="Tahoma" w:cs="Tahoma"/>
          <w:sz w:val="18"/>
          <w:szCs w:val="18"/>
          <w:lang w:val="pt-BR"/>
        </w:rPr>
        <w:t>Os sistemas operacionais qualificados por tipo de Programa são:</w:t>
      </w:r>
    </w:p>
    <w:p w:rsidR="00B73A46" w:rsidRPr="00C50FD1" w:rsidRDefault="00B73A46" w:rsidP="00D134FF">
      <w:pPr>
        <w:pStyle w:val="EndnoteText"/>
        <w:spacing w:line="160" w:lineRule="exact"/>
        <w:ind w:left="720"/>
        <w:rPr>
          <w:rFonts w:ascii="Tahoma" w:hAnsi="Tahoma" w:cs="Tahoma"/>
          <w:sz w:val="16"/>
          <w:szCs w:val="16"/>
          <w:lang w:val="pt-BR"/>
        </w:rPr>
      </w:pPr>
    </w:p>
    <w:tbl>
      <w:tblPr>
        <w:tblW w:w="8379" w:type="dxa"/>
        <w:tblInd w:w="878" w:type="dxa"/>
        <w:tblCellMar>
          <w:left w:w="0" w:type="dxa"/>
          <w:right w:w="0" w:type="dxa"/>
        </w:tblCellMar>
        <w:tblLook w:val="04A0" w:firstRow="1" w:lastRow="0" w:firstColumn="1" w:lastColumn="0" w:noHBand="0" w:noVBand="1"/>
      </w:tblPr>
      <w:tblGrid>
        <w:gridCol w:w="4082"/>
        <w:gridCol w:w="1080"/>
        <w:gridCol w:w="1045"/>
        <w:gridCol w:w="1156"/>
        <w:gridCol w:w="1000"/>
        <w:gridCol w:w="16"/>
      </w:tblGrid>
      <w:tr w:rsidR="00B73A46" w:rsidRPr="00653421" w:rsidTr="00D134FF">
        <w:trPr>
          <w:trHeight w:val="864"/>
          <w:tblHeader/>
        </w:trPr>
        <w:tc>
          <w:tcPr>
            <w:tcW w:w="408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C50FD1" w:rsidRDefault="009B3FA2" w:rsidP="00713A6C">
            <w:pPr>
              <w:rPr>
                <w:rFonts w:eastAsia="Calibri" w:cs="Tahoma"/>
                <w:bCs/>
                <w:szCs w:val="18"/>
                <w:lang w:val="pt-BR"/>
              </w:rPr>
            </w:pPr>
            <w:r w:rsidRPr="00C50FD1">
              <w:rPr>
                <w:rFonts w:cs="Tahoma"/>
                <w:b/>
                <w:bCs/>
                <w:szCs w:val="18"/>
                <w:lang w:val="pt-BR"/>
              </w:rPr>
              <w:t>Sistemas operacionais qualificados para a compra de Direitos de Locação do Windows</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53421" w:rsidRDefault="00B73A46" w:rsidP="009B3FA2">
            <w:pPr>
              <w:jc w:val="center"/>
              <w:rPr>
                <w:rFonts w:eastAsia="Calibri" w:cs="Tahoma"/>
                <w:b/>
                <w:bCs/>
                <w:sz w:val="14"/>
                <w:szCs w:val="18"/>
              </w:rPr>
            </w:pPr>
            <w:r w:rsidRPr="00653421">
              <w:rPr>
                <w:rFonts w:cs="Tahoma"/>
                <w:b/>
                <w:bCs/>
                <w:sz w:val="14"/>
                <w:szCs w:val="18"/>
              </w:rPr>
              <w:t>OEM</w:t>
            </w:r>
          </w:p>
        </w:tc>
        <w:tc>
          <w:tcPr>
            <w:tcW w:w="104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53421" w:rsidRDefault="00B73A46" w:rsidP="001B15A5">
            <w:pPr>
              <w:jc w:val="center"/>
              <w:rPr>
                <w:rFonts w:eastAsia="Calibri" w:cs="Tahoma"/>
                <w:b/>
                <w:bCs/>
                <w:sz w:val="14"/>
                <w:szCs w:val="18"/>
              </w:rPr>
            </w:pPr>
            <w:r w:rsidRPr="00653421">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53421" w:rsidRDefault="00B73A46" w:rsidP="0050116B">
            <w:pPr>
              <w:jc w:val="center"/>
              <w:rPr>
                <w:rFonts w:eastAsia="Calibri" w:cs="Tahoma"/>
                <w:b/>
                <w:bCs/>
                <w:sz w:val="14"/>
                <w:szCs w:val="18"/>
              </w:rPr>
            </w:pPr>
            <w:r w:rsidRPr="00653421">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53421" w:rsidRDefault="00B73A46" w:rsidP="005F0406">
            <w:pPr>
              <w:jc w:val="center"/>
              <w:rPr>
                <w:rFonts w:eastAsia="Calibri" w:cs="Tahoma"/>
                <w:b/>
                <w:bCs/>
                <w:sz w:val="14"/>
                <w:szCs w:val="18"/>
              </w:rPr>
            </w:pPr>
            <w:r w:rsidRPr="00653421">
              <w:rPr>
                <w:rFonts w:cs="Tahoma"/>
                <w:b/>
                <w:bCs/>
                <w:sz w:val="14"/>
                <w:szCs w:val="18"/>
              </w:rPr>
              <w:t>Licença Open</w:t>
            </w:r>
          </w:p>
        </w:tc>
        <w:tc>
          <w:tcPr>
            <w:tcW w:w="16" w:type="dxa"/>
            <w:vAlign w:val="center"/>
          </w:tcPr>
          <w:p w:rsidR="00B73A46" w:rsidRPr="00653421" w:rsidRDefault="00B73A46" w:rsidP="00713A6C">
            <w:pPr>
              <w:rPr>
                <w:rFonts w:eastAsia="Calibri" w:cs="Tahoma"/>
                <w:szCs w:val="18"/>
              </w:rPr>
            </w:pPr>
          </w:p>
        </w:tc>
      </w:tr>
      <w:tr w:rsidR="00BF7A97" w:rsidRPr="00653421" w:rsidTr="00D134FF">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713A6C">
            <w:pPr>
              <w:rPr>
                <w:rFonts w:cs="Tahoma"/>
                <w:b/>
                <w:bCs/>
                <w:szCs w:val="18"/>
              </w:rPr>
            </w:pPr>
            <w:r w:rsidRPr="00653421">
              <w:rPr>
                <w:rFonts w:cs="Tahoma"/>
                <w:b/>
                <w:bCs/>
                <w:szCs w:val="18"/>
              </w:rPr>
              <w:t>Windows 8 (32 bits ou 64 bits)</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BF7A97">
            <w:pPr>
              <w:jc w:val="center"/>
              <w:rPr>
                <w:rFonts w:eastAsia="Times New Roman" w:cs="Tahoma"/>
                <w:szCs w:val="18"/>
              </w:rPr>
            </w:pP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BF7A97">
            <w:pPr>
              <w:jc w:val="center"/>
              <w:rPr>
                <w:rFonts w:eastAsia="Times New Roman" w:cs="Tahoma"/>
                <w:szCs w:val="18"/>
              </w:rPr>
            </w:pPr>
          </w:p>
        </w:tc>
        <w:tc>
          <w:tcPr>
            <w:tcW w:w="16" w:type="dxa"/>
            <w:vAlign w:val="center"/>
          </w:tcPr>
          <w:p w:rsidR="00BF7A97" w:rsidRPr="00653421" w:rsidRDefault="00BF7A97" w:rsidP="00713A6C">
            <w:pPr>
              <w:rPr>
                <w:rFonts w:eastAsia="Calibri" w:cs="Tahoma"/>
                <w:szCs w:val="18"/>
              </w:rPr>
            </w:pPr>
          </w:p>
        </w:tc>
      </w:tr>
      <w:tr w:rsidR="00BF7A97" w:rsidRPr="00653421" w:rsidTr="00D134FF">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C3501B">
            <w:pPr>
              <w:ind w:left="522"/>
              <w:rPr>
                <w:rFonts w:cs="Tahoma"/>
                <w:b/>
                <w:bCs/>
                <w:szCs w:val="18"/>
              </w:rPr>
            </w:pPr>
            <w:r w:rsidRPr="00653421">
              <w:rPr>
                <w:rFonts w:cs="Tahoma"/>
                <w:szCs w:val="18"/>
              </w:rPr>
              <w:t>Pro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BF7A97">
            <w:pPr>
              <w:jc w:val="center"/>
              <w:rPr>
                <w:rFonts w:eastAsia="Times New Roman" w:cs="Tahoma"/>
                <w:szCs w:val="18"/>
              </w:rPr>
            </w:pPr>
            <w:r w:rsidRPr="00653421">
              <w:rPr>
                <w:rFonts w:eastAsia="Times New Roman" w:cs="Tahoma"/>
                <w:szCs w:val="18"/>
              </w:rPr>
              <w:t>x</w:t>
            </w: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BF7A97">
            <w:pPr>
              <w:jc w:val="center"/>
              <w:rPr>
                <w:rFonts w:eastAsia="Times New Roman" w:cs="Tahoma"/>
                <w:szCs w:val="18"/>
              </w:rPr>
            </w:pPr>
            <w:r w:rsidRPr="00653421">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53421" w:rsidRDefault="00BF7A97" w:rsidP="00BF7A97">
            <w:pPr>
              <w:jc w:val="center"/>
              <w:rPr>
                <w:rFonts w:eastAsia="Times New Roman" w:cs="Tahoma"/>
                <w:szCs w:val="18"/>
              </w:rPr>
            </w:pPr>
            <w:r w:rsidRPr="00653421">
              <w:rPr>
                <w:rFonts w:eastAsia="Times New Roman" w:cs="Tahoma"/>
                <w:szCs w:val="18"/>
              </w:rPr>
              <w:t>x</w:t>
            </w:r>
          </w:p>
        </w:tc>
        <w:tc>
          <w:tcPr>
            <w:tcW w:w="16" w:type="dxa"/>
            <w:vAlign w:val="center"/>
          </w:tcPr>
          <w:p w:rsidR="00BF7A97" w:rsidRPr="00653421" w:rsidRDefault="00BF7A97" w:rsidP="00713A6C">
            <w:pPr>
              <w:rPr>
                <w:rFonts w:eastAsia="Calibri" w:cs="Tahoma"/>
                <w:szCs w:val="18"/>
              </w:rPr>
            </w:pPr>
          </w:p>
        </w:tc>
      </w:tr>
      <w:tr w:rsidR="00B73A46" w:rsidRPr="00653421" w:rsidTr="00D134FF">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rPr>
                <w:rFonts w:eastAsia="Calibri" w:cs="Tahoma"/>
                <w:b/>
                <w:bCs/>
                <w:szCs w:val="18"/>
              </w:rPr>
            </w:pPr>
            <w:r w:rsidRPr="00653421">
              <w:rPr>
                <w:rFonts w:cs="Tahoma"/>
                <w:b/>
                <w:bCs/>
                <w:szCs w:val="18"/>
              </w:rPr>
              <w:t>Windows 7 (32 bits ou 64 bits)</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BF7A97">
            <w:pPr>
              <w:jc w:val="center"/>
              <w:rPr>
                <w:rFonts w:eastAsia="Times New Roman" w:cs="Tahoma"/>
                <w:szCs w:val="18"/>
              </w:rPr>
            </w:pP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BF7A97">
            <w:pPr>
              <w:jc w:val="center"/>
              <w:rPr>
                <w:rFonts w:eastAsia="Times New Roman" w:cs="Tahoma"/>
                <w:szCs w:val="18"/>
              </w:rPr>
            </w:pPr>
          </w:p>
        </w:tc>
        <w:tc>
          <w:tcPr>
            <w:tcW w:w="16" w:type="dxa"/>
            <w:vAlign w:val="center"/>
          </w:tcPr>
          <w:p w:rsidR="00B73A46" w:rsidRPr="00653421" w:rsidRDefault="00B73A46" w:rsidP="00713A6C">
            <w:pPr>
              <w:rPr>
                <w:rFonts w:eastAsia="Calibri" w:cs="Tahoma"/>
                <w:szCs w:val="18"/>
              </w:rPr>
            </w:pPr>
          </w:p>
        </w:tc>
      </w:tr>
      <w:tr w:rsidR="00B73A46" w:rsidRPr="00653421" w:rsidTr="00D134FF">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BF7A97">
            <w:pPr>
              <w:ind w:left="522"/>
              <w:rPr>
                <w:rFonts w:eastAsia="Calibri" w:cs="Tahoma"/>
                <w:bCs/>
                <w:szCs w:val="18"/>
              </w:rPr>
            </w:pPr>
            <w:r w:rsidRPr="00653421">
              <w:rPr>
                <w:rFonts w:cs="Tahoma"/>
                <w:szCs w:val="18"/>
              </w:rPr>
              <w:t>Professional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6" w:type="dxa"/>
            <w:vAlign w:val="center"/>
          </w:tcPr>
          <w:p w:rsidR="00B73A46" w:rsidRPr="00653421" w:rsidRDefault="00B73A46" w:rsidP="00713A6C">
            <w:pPr>
              <w:rPr>
                <w:rFonts w:eastAsia="Calibri" w:cs="Tahoma"/>
                <w:szCs w:val="18"/>
              </w:rPr>
            </w:pPr>
          </w:p>
        </w:tc>
      </w:tr>
      <w:tr w:rsidR="00B73A46" w:rsidRPr="00C50FD1" w:rsidTr="00D134FF">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rPr>
                <w:rFonts w:eastAsia="Calibri" w:cs="Tahoma"/>
                <w:b/>
                <w:bCs/>
                <w:szCs w:val="18"/>
                <w:lang w:val="pt-BR"/>
              </w:rPr>
            </w:pPr>
            <w:r w:rsidRPr="00C50FD1">
              <w:rPr>
                <w:rFonts w:cs="Tahoma"/>
                <w:b/>
                <w:bCs/>
                <w:szCs w:val="18"/>
                <w:lang w:val="pt-BR"/>
              </w:rPr>
              <w:t>Windows Vista (32 bits ou 64 bits)</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jc w:val="center"/>
              <w:rPr>
                <w:rFonts w:eastAsia="Calibri" w:cs="Tahoma"/>
                <w:szCs w:val="18"/>
                <w:lang w:val="pt-BR"/>
              </w:rPr>
            </w:pPr>
            <w:r w:rsidRPr="00C50FD1">
              <w:rPr>
                <w:rFonts w:cs="Tahoma"/>
                <w:szCs w:val="18"/>
                <w:lang w:val="pt-BR"/>
              </w:rPr>
              <w:t xml:space="preserve"> </w:t>
            </w: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jc w:val="center"/>
              <w:rPr>
                <w:rFonts w:eastAsia="Calibri" w:cs="Tahoma"/>
                <w:szCs w:val="18"/>
                <w:lang w:val="pt-BR"/>
              </w:rPr>
            </w:pPr>
            <w:r w:rsidRPr="00C50FD1">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jc w:val="center"/>
              <w:rPr>
                <w:rFonts w:eastAsia="Calibri" w:cs="Tahoma"/>
                <w:szCs w:val="18"/>
                <w:lang w:val="pt-BR"/>
              </w:rPr>
            </w:pPr>
            <w:r w:rsidRPr="00C50FD1">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50FD1" w:rsidRDefault="00B73A46" w:rsidP="00713A6C">
            <w:pPr>
              <w:jc w:val="center"/>
              <w:rPr>
                <w:rFonts w:eastAsia="Calibri" w:cs="Tahoma"/>
                <w:szCs w:val="18"/>
                <w:lang w:val="pt-BR"/>
              </w:rPr>
            </w:pPr>
            <w:r w:rsidRPr="00C50FD1">
              <w:rPr>
                <w:rFonts w:cs="Tahoma"/>
                <w:szCs w:val="18"/>
                <w:lang w:val="pt-BR"/>
              </w:rPr>
              <w:t xml:space="preserve"> </w:t>
            </w:r>
          </w:p>
        </w:tc>
        <w:tc>
          <w:tcPr>
            <w:tcW w:w="16" w:type="dxa"/>
            <w:vAlign w:val="center"/>
          </w:tcPr>
          <w:p w:rsidR="00B73A46" w:rsidRPr="00C50FD1" w:rsidRDefault="00B73A46" w:rsidP="00713A6C">
            <w:pPr>
              <w:rPr>
                <w:rFonts w:eastAsia="Calibri" w:cs="Tahoma"/>
                <w:szCs w:val="18"/>
                <w:lang w:val="pt-BR"/>
              </w:rPr>
            </w:pPr>
          </w:p>
        </w:tc>
      </w:tr>
      <w:tr w:rsidR="00B73A46" w:rsidRPr="00653421" w:rsidTr="00D134FF">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ind w:firstLine="540"/>
              <w:rPr>
                <w:rFonts w:eastAsia="Calibri" w:cs="Tahoma"/>
                <w:szCs w:val="18"/>
              </w:rPr>
            </w:pPr>
            <w:r w:rsidRPr="00653421">
              <w:rPr>
                <w:rFonts w:cs="Tahoma"/>
                <w:szCs w:val="18"/>
              </w:rPr>
              <w:t>Business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53421" w:rsidRDefault="00B73A46" w:rsidP="00713A6C">
            <w:pPr>
              <w:jc w:val="center"/>
              <w:rPr>
                <w:rFonts w:eastAsia="Calibri" w:cs="Tahoma"/>
                <w:szCs w:val="18"/>
              </w:rPr>
            </w:pPr>
            <w:r w:rsidRPr="00653421">
              <w:rPr>
                <w:rFonts w:cs="Tahoma"/>
                <w:szCs w:val="18"/>
              </w:rPr>
              <w:t>x</w:t>
            </w:r>
          </w:p>
        </w:tc>
        <w:tc>
          <w:tcPr>
            <w:tcW w:w="16" w:type="dxa"/>
            <w:vAlign w:val="center"/>
          </w:tcPr>
          <w:p w:rsidR="00B73A46" w:rsidRPr="00653421" w:rsidRDefault="00B73A46" w:rsidP="00713A6C">
            <w:pPr>
              <w:rPr>
                <w:rFonts w:eastAsia="Calibri" w:cs="Tahoma"/>
                <w:szCs w:val="18"/>
              </w:rPr>
            </w:pPr>
          </w:p>
        </w:tc>
      </w:tr>
    </w:tbl>
    <w:p w:rsidR="00B73A46" w:rsidRPr="00653421" w:rsidRDefault="00B73A46" w:rsidP="00D134FF">
      <w:pPr>
        <w:spacing w:line="160" w:lineRule="exact"/>
        <w:ind w:left="720"/>
        <w:rPr>
          <w:sz w:val="16"/>
          <w:szCs w:val="16"/>
        </w:rPr>
      </w:pPr>
    </w:p>
    <w:p w:rsidR="00B73A46" w:rsidRPr="00C50FD1" w:rsidRDefault="00B73A46" w:rsidP="00EE035D">
      <w:pPr>
        <w:ind w:left="720"/>
        <w:rPr>
          <w:lang w:val="pt-BR"/>
        </w:rPr>
      </w:pPr>
      <w:r w:rsidRPr="00C50FD1">
        <w:rPr>
          <w:rFonts w:cs="Tahoma"/>
          <w:szCs w:val="18"/>
          <w:lang w:val="pt-BR"/>
        </w:rPr>
        <w:t>Os clientes que adquirirem a licença de direitos de locação além de uma licença de sistema operacional qualificado</w:t>
      </w:r>
      <w:r w:rsidRPr="00C50FD1">
        <w:rPr>
          <w:rStyle w:val="CommentReference"/>
          <w:rFonts w:cs="Tahoma"/>
          <w:sz w:val="18"/>
          <w:szCs w:val="18"/>
          <w:lang w:val="pt-BR"/>
        </w:rPr>
        <w:t xml:space="preserve"> </w:t>
      </w:r>
      <w:r w:rsidRPr="00C50FD1">
        <w:rPr>
          <w:rFonts w:cs="Tahoma"/>
          <w:szCs w:val="18"/>
          <w:lang w:val="pt-BR"/>
        </w:rPr>
        <w:t>terão seus direitos de acordo com essa licença de sistema operacional qualificado</w:t>
      </w:r>
      <w:r w:rsidR="005A52A2" w:rsidRPr="00C50FD1">
        <w:rPr>
          <w:rStyle w:val="CommentReference"/>
          <w:rFonts w:cs="Tahoma"/>
          <w:sz w:val="18"/>
          <w:szCs w:val="18"/>
          <w:lang w:val="pt-BR"/>
        </w:rPr>
        <w:t xml:space="preserve"> </w:t>
      </w:r>
      <w:r w:rsidRPr="00C50FD1">
        <w:rPr>
          <w:rFonts w:cs="Tahoma"/>
          <w:szCs w:val="18"/>
          <w:lang w:val="pt-BR"/>
        </w:rPr>
        <w:t>estendidos a</w:t>
      </w:r>
      <w:r w:rsidR="0051059D" w:rsidRPr="00C50FD1">
        <w:rPr>
          <w:rFonts w:cs="Tahoma"/>
          <w:szCs w:val="18"/>
          <w:lang w:val="pt-BR"/>
        </w:rPr>
        <w:t> </w:t>
      </w:r>
      <w:r w:rsidRPr="00C50FD1">
        <w:rPr>
          <w:rFonts w:cs="Tahoma"/>
          <w:szCs w:val="18"/>
          <w:lang w:val="pt-BR"/>
        </w:rPr>
        <w:t>fim de permitir que terceiros usem o mesmo software. A licença de locação não é uma outorga para uma</w:t>
      </w:r>
      <w:r w:rsidR="0051059D" w:rsidRPr="00C50FD1">
        <w:rPr>
          <w:rFonts w:cs="Tahoma"/>
          <w:szCs w:val="18"/>
          <w:lang w:val="pt-BR"/>
        </w:rPr>
        <w:t> </w:t>
      </w:r>
      <w:r w:rsidRPr="00C50FD1">
        <w:rPr>
          <w:rFonts w:cs="Tahoma"/>
          <w:szCs w:val="18"/>
          <w:lang w:val="pt-BR"/>
        </w:rPr>
        <w:t xml:space="preserve">atualização de versão. </w:t>
      </w:r>
    </w:p>
    <w:p w:rsidR="00B73A46" w:rsidRPr="00C50FD1" w:rsidRDefault="00B73A46" w:rsidP="00D134FF">
      <w:pPr>
        <w:spacing w:line="160" w:lineRule="exact"/>
        <w:ind w:left="720"/>
        <w:rPr>
          <w:sz w:val="16"/>
          <w:szCs w:val="16"/>
          <w:lang w:val="pt-BR"/>
        </w:rPr>
      </w:pPr>
    </w:p>
    <w:p w:rsidR="00B73A46" w:rsidRPr="00C50FD1" w:rsidRDefault="00B73A46" w:rsidP="00804794">
      <w:pPr>
        <w:ind w:left="720"/>
        <w:rPr>
          <w:lang w:val="pt-BR"/>
        </w:rPr>
      </w:pPr>
      <w:r w:rsidRPr="00C50FD1">
        <w:rPr>
          <w:rFonts w:cs="Tahoma"/>
          <w:szCs w:val="18"/>
          <w:u w:val="single"/>
          <w:lang w:val="pt-BR"/>
        </w:rPr>
        <w:t>Exceção do Software Assurance</w:t>
      </w:r>
    </w:p>
    <w:p w:rsidR="00B73A46" w:rsidRPr="00C50FD1" w:rsidRDefault="00B73A46" w:rsidP="00804794">
      <w:pPr>
        <w:ind w:left="720"/>
        <w:rPr>
          <w:lang w:val="pt-BR"/>
        </w:rPr>
      </w:pPr>
      <w:r w:rsidRPr="00C50FD1">
        <w:rPr>
          <w:rFonts w:cs="Tahoma"/>
          <w:szCs w:val="18"/>
          <w:lang w:val="pt-BR"/>
        </w:rPr>
        <w:t xml:space="preserve">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ou Atualizações e Software Assurance para as licenças básicas de software sob seus próprios contratos de licenciamento por volume, sujeitos aos termos e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 correspondentes se encerrarem. </w:t>
      </w:r>
    </w:p>
    <w:p w:rsidR="00B73A46" w:rsidRPr="00C50FD1" w:rsidRDefault="00B73A46" w:rsidP="00D134FF">
      <w:pPr>
        <w:spacing w:line="160" w:lineRule="exact"/>
        <w:ind w:left="720"/>
        <w:rPr>
          <w:sz w:val="16"/>
          <w:szCs w:val="16"/>
          <w:lang w:val="pt-BR"/>
        </w:rPr>
      </w:pPr>
    </w:p>
    <w:bookmarkEnd w:id="1154"/>
    <w:bookmarkEnd w:id="1155"/>
    <w:bookmarkEnd w:id="1156"/>
    <w:p w:rsidR="00104195" w:rsidRPr="00C50FD1" w:rsidRDefault="00104195" w:rsidP="00D134FF">
      <w:pPr>
        <w:tabs>
          <w:tab w:val="left" w:pos="1440"/>
        </w:tabs>
        <w:spacing w:line="160" w:lineRule="exact"/>
        <w:ind w:left="720"/>
        <w:rPr>
          <w:sz w:val="16"/>
          <w:szCs w:val="16"/>
          <w:lang w:val="pt-BR"/>
        </w:rPr>
      </w:pPr>
    </w:p>
    <w:p w:rsidR="00104195" w:rsidRPr="00C50FD1" w:rsidRDefault="004668D9" w:rsidP="00104195">
      <w:pPr>
        <w:pStyle w:val="Heading2"/>
        <w:ind w:hanging="720"/>
        <w:rPr>
          <w:lang w:val="pt-BR"/>
        </w:rPr>
      </w:pPr>
      <w:bookmarkStart w:id="1157" w:name="_98_Windows_Multipoint"/>
      <w:bookmarkStart w:id="1158" w:name="_98Windows_Intune_Add-on"/>
      <w:bookmarkStart w:id="1159" w:name="_97_Windows_Intune"/>
      <w:bookmarkStart w:id="1160" w:name="_30_Complemento_do"/>
      <w:bookmarkStart w:id="1161" w:name="Srv_110WindowsIntuneAddOn"/>
      <w:bookmarkStart w:id="1162" w:name="_Toc336338366"/>
      <w:bookmarkStart w:id="1163" w:name="_Toc353470935"/>
      <w:bookmarkStart w:id="1164" w:name="Srv_104WindowsIntuneAddOn"/>
      <w:bookmarkEnd w:id="1157"/>
      <w:bookmarkEnd w:id="1158"/>
      <w:bookmarkEnd w:id="1159"/>
      <w:bookmarkEnd w:id="1160"/>
      <w:r w:rsidRPr="00C50FD1">
        <w:rPr>
          <w:rFonts w:ascii="Tahoma" w:hAnsi="Tahoma" w:cs="Tahoma"/>
          <w:caps/>
          <w:color w:val="EE6000"/>
          <w:sz w:val="22"/>
          <w:szCs w:val="18"/>
          <w:vertAlign w:val="superscript"/>
          <w:lang w:val="pt-BR"/>
        </w:rPr>
        <w:t>30</w:t>
      </w:r>
      <w:r w:rsidRPr="00C50FD1">
        <w:rPr>
          <w:rFonts w:ascii="Tahoma" w:hAnsi="Tahoma" w:cs="Tahoma"/>
          <w:caps/>
          <w:color w:val="EE6000"/>
          <w:sz w:val="22"/>
          <w:szCs w:val="18"/>
          <w:lang w:val="pt-BR"/>
        </w:rPr>
        <w:t xml:space="preserve"> </w:t>
      </w:r>
      <w:r w:rsidRPr="00C50FD1">
        <w:rPr>
          <w:rFonts w:ascii="Tahoma" w:hAnsi="Tahoma" w:cs="Tahoma"/>
          <w:color w:val="EE6000"/>
          <w:sz w:val="22"/>
          <w:szCs w:val="18"/>
          <w:lang w:val="pt-BR"/>
        </w:rPr>
        <w:t>Complemento do Windows Intune</w:t>
      </w:r>
      <w:bookmarkEnd w:id="1161"/>
      <w:bookmarkEnd w:id="1162"/>
      <w:r w:rsidRPr="00C50FD1">
        <w:rPr>
          <w:rFonts w:ascii="Tahoma" w:hAnsi="Tahoma" w:cs="Tahoma"/>
          <w:color w:val="EE6000"/>
          <w:sz w:val="22"/>
          <w:szCs w:val="18"/>
          <w:lang w:val="pt-BR"/>
        </w:rPr>
        <w:t xml:space="preserve"> (Por Dispositivo)</w:t>
      </w:r>
      <w:bookmarkEnd w:id="1163"/>
    </w:p>
    <w:bookmarkEnd w:id="1164"/>
    <w:p w:rsidR="00104195" w:rsidRPr="00C50FD1" w:rsidRDefault="00104195" w:rsidP="00D134FF">
      <w:pPr>
        <w:spacing w:line="160" w:lineRule="exact"/>
        <w:ind w:left="720"/>
        <w:rPr>
          <w:sz w:val="16"/>
          <w:szCs w:val="16"/>
          <w:lang w:val="pt-BR"/>
        </w:rPr>
      </w:pPr>
    </w:p>
    <w:p w:rsidR="00104195" w:rsidRPr="00C50FD1" w:rsidRDefault="00104195" w:rsidP="00104195">
      <w:pPr>
        <w:ind w:left="720"/>
        <w:rPr>
          <w:lang w:val="pt-BR"/>
        </w:rPr>
      </w:pPr>
      <w:r w:rsidRPr="00C50FD1">
        <w:rPr>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5A52A2" w:rsidRPr="00C50FD1">
        <w:rPr>
          <w:lang w:val="pt-BR"/>
        </w:rPr>
        <w:t xml:space="preserve"> </w:t>
      </w:r>
      <w:r w:rsidRPr="00C50FD1">
        <w:rPr>
          <w:lang w:val="pt-BR"/>
        </w:rPr>
        <w:t xml:space="preserve">As licenças do Complemento do Windows Intune (Por Dispositivo) devem ser adquiridas de acordo com o mesmo registro da cobertura de Software Assurance ou licença do Windows VDA correspondentes. </w:t>
      </w:r>
    </w:p>
    <w:p w:rsidR="00104195" w:rsidRPr="00C50FD1" w:rsidRDefault="00104195" w:rsidP="00D134FF">
      <w:pPr>
        <w:spacing w:line="160" w:lineRule="exact"/>
        <w:ind w:left="720"/>
        <w:rPr>
          <w:sz w:val="16"/>
          <w:szCs w:val="16"/>
          <w:lang w:val="pt-BR"/>
        </w:rPr>
      </w:pPr>
    </w:p>
    <w:p w:rsidR="00042D1C" w:rsidRPr="00C50FD1" w:rsidRDefault="00042D1C" w:rsidP="00D134FF">
      <w:pPr>
        <w:spacing w:line="160" w:lineRule="exact"/>
        <w:ind w:left="720"/>
        <w:rPr>
          <w:sz w:val="16"/>
          <w:szCs w:val="16"/>
          <w:lang w:val="pt-BR"/>
        </w:rPr>
      </w:pPr>
    </w:p>
    <w:p w:rsidR="00042D1C" w:rsidRPr="00C50FD1" w:rsidRDefault="00042D1C" w:rsidP="00D134FF">
      <w:pPr>
        <w:spacing w:line="160" w:lineRule="exact"/>
        <w:ind w:left="720"/>
        <w:rPr>
          <w:sz w:val="16"/>
          <w:szCs w:val="16"/>
          <w:lang w:val="pt-BR"/>
        </w:rPr>
      </w:pPr>
    </w:p>
    <w:p w:rsidR="00104195" w:rsidRPr="003A4C23" w:rsidRDefault="00104195" w:rsidP="00104195">
      <w:pPr>
        <w:spacing w:after="60"/>
        <w:ind w:left="720"/>
        <w:rPr>
          <w:lang w:val="pt-BR"/>
        </w:rPr>
      </w:pPr>
      <w:r w:rsidRPr="003A4C23">
        <w:rPr>
          <w:b/>
          <w:lang w:val="pt-BR"/>
        </w:rPr>
        <w:lastRenderedPageBreak/>
        <w:t>Realocação da Licença</w:t>
      </w:r>
    </w:p>
    <w:p w:rsidR="00104195" w:rsidRPr="003A4C23" w:rsidRDefault="00104195" w:rsidP="00104195">
      <w:pPr>
        <w:ind w:left="720"/>
        <w:rPr>
          <w:lang w:val="pt-BR"/>
        </w:rPr>
      </w:pPr>
      <w:r w:rsidRPr="003A4C23">
        <w:rPr>
          <w:lang w:val="pt-BR"/>
        </w:rPr>
        <w:t>Os clientes poderão ceder licenças do Complemento do Windows Intune (Por Dispositivo), mas não a curto prazo (ou seja, não antes de 90 dias depois da última cessão).</w:t>
      </w:r>
      <w:r w:rsidR="005A52A2" w:rsidRPr="003A4C23">
        <w:rPr>
          <w:lang w:val="pt-BR"/>
        </w:rPr>
        <w:t xml:space="preserve"> </w:t>
      </w:r>
      <w:r w:rsidRPr="003A4C23">
        <w:rPr>
          <w:lang w:val="pt-BR"/>
        </w:rPr>
        <w:t>Eles poderão realocar uma licença do Complemento do Windows Intune (Por Dispositivo) mais cedo se desativarem o dispositivo licenciado existente em decorrência de uma falha de hardware permanente.</w:t>
      </w:r>
      <w:r w:rsidR="005A52A2" w:rsidRPr="003A4C23">
        <w:rPr>
          <w:lang w:val="pt-BR"/>
        </w:rPr>
        <w:t xml:space="preserve"> </w:t>
      </w:r>
      <w:r w:rsidRPr="003A4C23">
        <w:rPr>
          <w:lang w:val="pt-BR"/>
        </w:rPr>
        <w:t xml:space="preserve">O dispositivo para o qual a licença do Complemento do Windows Intune (Por Dispositivo) for cedida deverá ter um Software Assurance do Windows ativo ou uma licença ativa do Windows VDA adquirida de acordo com o mesmo registro da licença do Complemento do Windows Intune (Por Dispositivo). </w:t>
      </w:r>
    </w:p>
    <w:p w:rsidR="00023FE7" w:rsidRPr="003A4C23" w:rsidRDefault="00113665">
      <w:pPr>
        <w:pStyle w:val="Heading2"/>
        <w:ind w:left="0"/>
        <w:rPr>
          <w:lang w:val="pt-BR"/>
        </w:rPr>
      </w:pPr>
      <w:r w:rsidRPr="003A4C23">
        <w:rPr>
          <w:rFonts w:ascii="Tahoma" w:hAnsi="Tahoma" w:cs="Tahoma"/>
          <w:sz w:val="28"/>
          <w:lang w:val="pt-BR"/>
        </w:rPr>
        <w:br w:type="page"/>
      </w:r>
      <w:bookmarkStart w:id="1165" w:name="_Toc336338287"/>
      <w:bookmarkStart w:id="1166" w:name="_Toc353470936"/>
      <w:r w:rsidRPr="003A4C23">
        <w:rPr>
          <w:rFonts w:ascii="Tahoma" w:hAnsi="Tahoma" w:cs="Tahoma"/>
          <w:sz w:val="28"/>
          <w:lang w:val="pt-BR"/>
        </w:rPr>
        <w:lastRenderedPageBreak/>
        <w:t>Pool de Servidores</w:t>
      </w:r>
      <w:bookmarkEnd w:id="1165"/>
      <w:bookmarkEnd w:id="1166"/>
    </w:p>
    <w:p w:rsidR="00023FE7" w:rsidRPr="003A4C23" w:rsidRDefault="00023FE7">
      <w:pPr>
        <w:pStyle w:val="EndnoteText"/>
        <w:rPr>
          <w:lang w:val="pt-BR"/>
        </w:rPr>
      </w:pPr>
    </w:p>
    <w:p w:rsidR="003C75C8" w:rsidRPr="003A4C23" w:rsidRDefault="003C75C8" w:rsidP="003C75C8">
      <w:pPr>
        <w:pStyle w:val="EndnoteText"/>
        <w:rPr>
          <w:lang w:val="pt-BR"/>
        </w:rPr>
      </w:pPr>
      <w:bookmarkStart w:id="1167" w:name="Srv_25BingMapsandAddons"/>
    </w:p>
    <w:p w:rsidR="004640EC" w:rsidRPr="003A4C23" w:rsidRDefault="004668D9" w:rsidP="00ED5B61">
      <w:pPr>
        <w:pStyle w:val="Heading2"/>
        <w:ind w:left="245" w:hanging="245"/>
        <w:rPr>
          <w:lang w:val="pt-BR"/>
        </w:rPr>
      </w:pPr>
      <w:bookmarkStart w:id="1168" w:name="_31_Complemento_de"/>
      <w:bookmarkStart w:id="1169" w:name="Srv_27BingMapsSvrandContentPack"/>
      <w:bookmarkStart w:id="1170" w:name="_Toc336338288"/>
      <w:bookmarkStart w:id="1171" w:name="_Toc353470937"/>
      <w:bookmarkEnd w:id="1168"/>
      <w:r w:rsidRPr="003A4C23">
        <w:rPr>
          <w:rFonts w:ascii="Tahoma" w:hAnsi="Tahoma" w:cs="Tahoma"/>
          <w:caps/>
          <w:color w:val="EE6000"/>
          <w:sz w:val="22"/>
          <w:vertAlign w:val="superscript"/>
          <w:lang w:val="pt-BR"/>
        </w:rPr>
        <w:t>31</w:t>
      </w:r>
      <w:r w:rsidRPr="003A4C23">
        <w:rPr>
          <w:rFonts w:ascii="Tahoma" w:hAnsi="Tahoma" w:cs="Tahoma"/>
          <w:color w:val="EE6000"/>
          <w:sz w:val="22"/>
          <w:lang w:val="pt-BR"/>
        </w:rPr>
        <w:t xml:space="preserve"> Complemento de Uso do Site Público dos Bing Maps e SL Complementar </w:t>
      </w:r>
      <w:r w:rsidR="00ED5B61" w:rsidRPr="003A4C23">
        <w:rPr>
          <w:rFonts w:ascii="Tahoma" w:hAnsi="Tahoma" w:cs="Tahoma"/>
          <w:color w:val="EE6000"/>
          <w:sz w:val="22"/>
          <w:lang w:val="pt-BR"/>
        </w:rPr>
        <w:br/>
      </w:r>
      <w:r w:rsidRPr="003A4C23">
        <w:rPr>
          <w:rFonts w:ascii="Tahoma" w:hAnsi="Tahoma" w:cs="Tahoma"/>
          <w:color w:val="EE6000"/>
          <w:sz w:val="22"/>
          <w:lang w:val="pt-BR"/>
        </w:rPr>
        <w:t>de</w:t>
      </w:r>
      <w:r w:rsidR="00C57DD8" w:rsidRPr="003A4C23">
        <w:rPr>
          <w:rFonts w:ascii="Tahoma" w:hAnsi="Tahoma" w:cs="Tahoma"/>
          <w:color w:val="EE6000"/>
          <w:sz w:val="22"/>
          <w:lang w:val="pt-BR"/>
        </w:rPr>
        <w:t> </w:t>
      </w:r>
      <w:r w:rsidRPr="003A4C23">
        <w:rPr>
          <w:rFonts w:ascii="Tahoma" w:hAnsi="Tahoma" w:cs="Tahoma"/>
          <w:color w:val="EE6000"/>
          <w:sz w:val="22"/>
          <w:lang w:val="pt-BR"/>
        </w:rPr>
        <w:t>Uso do</w:t>
      </w:r>
      <w:r w:rsidR="00042D1C" w:rsidRPr="003A4C23">
        <w:rPr>
          <w:rFonts w:ascii="Tahoma" w:hAnsi="Tahoma" w:cs="Tahoma"/>
          <w:color w:val="EE6000"/>
          <w:sz w:val="22"/>
          <w:lang w:val="pt-BR"/>
        </w:rPr>
        <w:t> </w:t>
      </w:r>
      <w:r w:rsidRPr="003A4C23">
        <w:rPr>
          <w:rFonts w:ascii="Tahoma" w:hAnsi="Tahoma" w:cs="Tahoma"/>
          <w:color w:val="EE6000"/>
          <w:sz w:val="22"/>
          <w:lang w:val="pt-BR"/>
        </w:rPr>
        <w:t>Site Interno do Bing Maps</w:t>
      </w:r>
      <w:bookmarkEnd w:id="1169"/>
      <w:bookmarkEnd w:id="1170"/>
      <w:bookmarkEnd w:id="1171"/>
    </w:p>
    <w:p w:rsidR="004668D9" w:rsidRPr="003A4C23" w:rsidRDefault="004668D9" w:rsidP="004640EC">
      <w:pPr>
        <w:pStyle w:val="NormalWeb"/>
        <w:spacing w:before="0" w:beforeAutospacing="0" w:after="0" w:afterAutospacing="0"/>
        <w:ind w:left="720"/>
        <w:rPr>
          <w:rFonts w:ascii="Tahoma" w:hAnsi="Tahoma" w:cs="Tahoma"/>
          <w:sz w:val="18"/>
          <w:szCs w:val="18"/>
          <w:lang w:val="pt-BR"/>
        </w:rPr>
      </w:pPr>
    </w:p>
    <w:p w:rsidR="004640EC" w:rsidRPr="003A4C23" w:rsidRDefault="004640EC" w:rsidP="004640EC">
      <w:pPr>
        <w:pStyle w:val="NormalWeb"/>
        <w:spacing w:before="0" w:beforeAutospacing="0" w:after="0" w:afterAutospacing="0"/>
        <w:ind w:left="720"/>
        <w:rPr>
          <w:lang w:val="pt-BR"/>
        </w:rPr>
      </w:pPr>
      <w:r w:rsidRPr="003A4C23">
        <w:rPr>
          <w:rFonts w:ascii="Tahoma" w:hAnsi="Tahoma" w:cs="Tahoma"/>
          <w:sz w:val="18"/>
          <w:szCs w:val="18"/>
          <w:lang w:val="pt-BR"/>
        </w:rPr>
        <w:t>Cada oferta de SL Complementar de Uso de Site Público do Bing Maps e SL Complementar de Uso de Site Interno do Bing Maps é composta de uma variedade de Transações Faturáveis (definidas neste documento).</w:t>
      </w:r>
      <w:r w:rsidR="005A52A2" w:rsidRPr="003A4C23">
        <w:rPr>
          <w:rFonts w:ascii="Tahoma" w:hAnsi="Tahoma" w:cs="Tahoma"/>
          <w:sz w:val="18"/>
          <w:szCs w:val="18"/>
          <w:lang w:val="pt-BR"/>
        </w:rPr>
        <w:t xml:space="preserve"> </w:t>
      </w:r>
      <w:r w:rsidRPr="003A4C23">
        <w:rPr>
          <w:rFonts w:ascii="Tahoma" w:hAnsi="Tahoma" w:cs="Tahoma"/>
          <w:sz w:val="18"/>
          <w:szCs w:val="18"/>
          <w:lang w:val="pt-BR"/>
        </w:rPr>
        <w:t xml:space="preserve">“Transações Faturáveis”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rsidR="004640EC" w:rsidRPr="003A4C23" w:rsidRDefault="004640EC" w:rsidP="004640EC">
      <w:pPr>
        <w:ind w:left="720"/>
        <w:rPr>
          <w:lang w:val="pt-BR"/>
        </w:rPr>
      </w:pPr>
    </w:p>
    <w:p w:rsidR="004640EC" w:rsidRPr="003A4C23" w:rsidRDefault="004640EC" w:rsidP="004640EC">
      <w:pPr>
        <w:ind w:left="720"/>
        <w:rPr>
          <w:lang w:val="pt-BR"/>
        </w:rPr>
      </w:pPr>
      <w:r w:rsidRPr="003A4C23">
        <w:rPr>
          <w:rFonts w:cs="Tahoma"/>
          <w:szCs w:val="18"/>
          <w:lang w:val="pt-BR"/>
        </w:rPr>
        <w:t>Os Clientes podem comprar várias ofertas de SLs Complementares de Uso de Site Público do Bing Maps e</w:t>
      </w:r>
      <w:r w:rsidR="00C57DD8" w:rsidRPr="003A4C23">
        <w:rPr>
          <w:rFonts w:cs="Tahoma"/>
          <w:szCs w:val="18"/>
          <w:lang w:val="pt-BR"/>
        </w:rPr>
        <w:t> </w:t>
      </w:r>
      <w:r w:rsidRPr="003A4C23">
        <w:rPr>
          <w:rFonts w:cs="Tahoma"/>
          <w:szCs w:val="18"/>
          <w:lang w:val="pt-BR"/>
        </w:rPr>
        <w:t>SLs Complementares de Uso de Site Interno do Bing Maps para comprar Transações mais Faturáveis por</w:t>
      </w:r>
      <w:r w:rsidR="00C57DD8" w:rsidRPr="003A4C23">
        <w:rPr>
          <w:rFonts w:cs="Tahoma"/>
          <w:szCs w:val="18"/>
          <w:lang w:val="pt-BR"/>
        </w:rPr>
        <w:t> </w:t>
      </w:r>
      <w:r w:rsidRPr="003A4C23">
        <w:rPr>
          <w:rFonts w:cs="Tahoma"/>
          <w:szCs w:val="18"/>
          <w:lang w:val="pt-BR"/>
        </w:rPr>
        <w:t>mês, com exceção da SL Complementar Ilimitada do Bing Maps que só pode ser comprada uma vez.</w:t>
      </w:r>
      <w:r w:rsidR="005A52A2" w:rsidRPr="003A4C23">
        <w:rPr>
          <w:rFonts w:cs="Tahoma"/>
          <w:szCs w:val="18"/>
          <w:lang w:val="pt-BR"/>
        </w:rPr>
        <w:t xml:space="preserve"> </w:t>
      </w:r>
      <w:r w:rsidRPr="003A4C23">
        <w:rPr>
          <w:rFonts w:cs="Tahoma"/>
          <w:szCs w:val="18"/>
          <w:lang w:val="pt-BR"/>
        </w:rPr>
        <w:t>As</w:t>
      </w:r>
      <w:r w:rsidR="00C57DD8" w:rsidRPr="003A4C23">
        <w:rPr>
          <w:rFonts w:cs="Tahoma"/>
          <w:szCs w:val="18"/>
          <w:lang w:val="pt-BR"/>
        </w:rPr>
        <w:t> </w:t>
      </w:r>
      <w:r w:rsidRPr="003A4C23">
        <w:rPr>
          <w:rFonts w:cs="Tahoma"/>
          <w:szCs w:val="18"/>
          <w:lang w:val="pt-BR"/>
        </w:rPr>
        <w:t>Transações Faturáveis mensais não utilizadas poderão ser transferidas mensalmente até a data do término do registro.</w:t>
      </w:r>
      <w:r w:rsidR="005A52A2" w:rsidRPr="003A4C23">
        <w:rPr>
          <w:rFonts w:cs="Tahoma"/>
          <w:szCs w:val="18"/>
          <w:lang w:val="pt-BR"/>
        </w:rPr>
        <w:t xml:space="preserve"> </w:t>
      </w:r>
      <w:r w:rsidRPr="003A4C23">
        <w:rPr>
          <w:rFonts w:cs="Tahoma"/>
          <w:szCs w:val="18"/>
          <w:lang w:val="pt-BR"/>
        </w:rPr>
        <w:t>Na data do término do registro, todas as Transações Faturáveis não utilizadas compradas serão</w:t>
      </w:r>
      <w:r w:rsidR="00C57DD8" w:rsidRPr="003A4C23">
        <w:rPr>
          <w:rFonts w:cs="Tahoma"/>
          <w:szCs w:val="18"/>
          <w:lang w:val="pt-BR"/>
        </w:rPr>
        <w:t> </w:t>
      </w:r>
      <w:r w:rsidRPr="003A4C23">
        <w:rPr>
          <w:rFonts w:cs="Tahoma"/>
          <w:szCs w:val="18"/>
          <w:lang w:val="pt-BR"/>
        </w:rPr>
        <w:t>perdidas. Os Clientes poderão exceder o número de Transações Faturáveis compradas em</w:t>
      </w:r>
      <w:r w:rsidR="00C57DD8" w:rsidRPr="003A4C23">
        <w:rPr>
          <w:rFonts w:cs="Tahoma"/>
          <w:szCs w:val="18"/>
          <w:lang w:val="pt-BR"/>
        </w:rPr>
        <w:t> </w:t>
      </w:r>
      <w:r w:rsidRPr="003A4C23">
        <w:rPr>
          <w:rFonts w:cs="Tahoma"/>
          <w:szCs w:val="18"/>
          <w:lang w:val="pt-BR"/>
        </w:rPr>
        <w:t>um mês, contanto que o número total de Transações Faturáveis usadas não exceda o número total de Transações Faturáveis compradas depois do prazo do registro.</w:t>
      </w:r>
      <w:r w:rsidR="005A52A2" w:rsidRPr="003A4C23">
        <w:rPr>
          <w:rFonts w:cs="Tahoma"/>
          <w:szCs w:val="18"/>
          <w:lang w:val="pt-BR"/>
        </w:rPr>
        <w:t xml:space="preserve"> </w:t>
      </w:r>
      <w:r w:rsidRPr="003A4C23">
        <w:rPr>
          <w:rFonts w:cs="Tahoma"/>
          <w:szCs w:val="18"/>
          <w:lang w:val="pt-BR"/>
        </w:rP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4640EC" w:rsidRPr="003A4C23" w:rsidRDefault="004640EC" w:rsidP="004640EC">
      <w:pPr>
        <w:ind w:left="720"/>
        <w:rPr>
          <w:lang w:val="pt-BR"/>
        </w:rPr>
      </w:pPr>
    </w:p>
    <w:p w:rsidR="004640EC" w:rsidRPr="003A4C23" w:rsidRDefault="004640EC" w:rsidP="004640EC">
      <w:pPr>
        <w:spacing w:after="60"/>
        <w:ind w:left="720"/>
        <w:rPr>
          <w:lang w:val="pt-BR"/>
        </w:rPr>
      </w:pPr>
      <w:r w:rsidRPr="003A4C23">
        <w:rPr>
          <w:rFonts w:cs="Tahoma"/>
          <w:b/>
          <w:color w:val="000000" w:themeColor="text1"/>
          <w:szCs w:val="18"/>
          <w:lang w:val="pt-BR"/>
        </w:rPr>
        <w:t>SL Complementar Ilimitada do Bing Maps</w:t>
      </w:r>
    </w:p>
    <w:p w:rsidR="004640EC" w:rsidRPr="003A4C23" w:rsidRDefault="004640EC" w:rsidP="004640EC">
      <w:pPr>
        <w:pStyle w:val="NormalWeb"/>
        <w:spacing w:before="0" w:beforeAutospacing="0" w:after="0" w:afterAutospacing="0"/>
        <w:ind w:left="720"/>
        <w:rPr>
          <w:lang w:val="pt-BR"/>
        </w:rPr>
      </w:pPr>
      <w:r w:rsidRPr="003A4C23">
        <w:rPr>
          <w:rFonts w:ascii="Tahoma" w:hAnsi="Tahoma" w:cs="Tahoma"/>
          <w:sz w:val="18"/>
          <w:szCs w:val="18"/>
          <w:lang w:val="pt-BR"/>
        </w:rPr>
        <w:t>A oferta de SL Complementar Ilimitada do Bing Maps tem uma cobertura de uso de 400 milhões de Transações Faturáveis por ano.</w:t>
      </w:r>
      <w:r w:rsidR="005A52A2" w:rsidRPr="003A4C23">
        <w:rPr>
          <w:rFonts w:ascii="Tahoma" w:hAnsi="Tahoma" w:cs="Tahoma"/>
          <w:sz w:val="18"/>
          <w:szCs w:val="18"/>
          <w:lang w:val="pt-BR"/>
        </w:rPr>
        <w:t xml:space="preserve"> </w:t>
      </w:r>
      <w:r w:rsidRPr="003A4C23">
        <w:rPr>
          <w:rFonts w:ascii="Tahoma" w:hAnsi="Tahoma" w:cs="Tahoma"/>
          <w:sz w:val="18"/>
          <w:szCs w:val="18"/>
          <w:lang w:val="pt-BR"/>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4640EC" w:rsidRPr="003A4C23" w:rsidRDefault="004640EC" w:rsidP="004640EC">
      <w:pPr>
        <w:pStyle w:val="NormalWeb"/>
        <w:spacing w:before="0" w:beforeAutospacing="0" w:after="0" w:afterAutospacing="0"/>
        <w:ind w:left="720"/>
        <w:rPr>
          <w:rFonts w:ascii="Tahoma" w:hAnsi="Tahoma" w:cs="Tahoma"/>
          <w:sz w:val="18"/>
          <w:szCs w:val="18"/>
          <w:lang w:val="pt-BR"/>
        </w:rPr>
      </w:pPr>
    </w:p>
    <w:p w:rsidR="004640EC" w:rsidRPr="003A4C23" w:rsidRDefault="004640EC" w:rsidP="004640EC">
      <w:pPr>
        <w:spacing w:after="60"/>
        <w:ind w:left="720"/>
        <w:rPr>
          <w:lang w:val="pt-BR"/>
        </w:rPr>
      </w:pPr>
      <w:r w:rsidRPr="003A4C23">
        <w:rPr>
          <w:rFonts w:cs="Tahoma"/>
          <w:b/>
          <w:color w:val="000000" w:themeColor="text1"/>
          <w:szCs w:val="18"/>
          <w:lang w:val="pt-BR"/>
        </w:rPr>
        <w:t>Suporte ao Cliente do Bing Maps</w:t>
      </w:r>
    </w:p>
    <w:p w:rsidR="004640EC" w:rsidRPr="003A4C23" w:rsidRDefault="004640EC" w:rsidP="004640EC">
      <w:pPr>
        <w:pStyle w:val="NormalWeb"/>
        <w:spacing w:before="0" w:beforeAutospacing="0" w:after="0" w:afterAutospacing="0"/>
        <w:ind w:left="720"/>
        <w:rPr>
          <w:lang w:val="pt-BR"/>
        </w:rPr>
      </w:pPr>
      <w:r w:rsidRPr="003A4C23">
        <w:rPr>
          <w:rFonts w:ascii="Tahoma" w:hAnsi="Tahoma" w:cs="Tahoma"/>
          <w:sz w:val="18"/>
          <w:szCs w:val="18"/>
          <w:lang w:val="pt-BR"/>
        </w:rPr>
        <w:t>O Suporte ao Cliente do Bing Maps está disponível para todos os clientes que comprem o Bing Maps da seguinte forma.</w:t>
      </w:r>
    </w:p>
    <w:p w:rsidR="00042D1C" w:rsidRPr="003A4C23" w:rsidRDefault="00042D1C" w:rsidP="004640EC">
      <w:pPr>
        <w:spacing w:after="60"/>
        <w:ind w:left="720"/>
        <w:rPr>
          <w:rFonts w:cs="Tahoma"/>
          <w:bCs/>
          <w:color w:val="000000"/>
          <w:szCs w:val="18"/>
          <w:lang w:val="pt-BR"/>
        </w:rPr>
      </w:pPr>
    </w:p>
    <w:p w:rsidR="006659B5" w:rsidRPr="003A4C23" w:rsidRDefault="006659B5">
      <w:pPr>
        <w:rPr>
          <w:rFonts w:cs="Tahoma"/>
          <w:b/>
          <w:bCs/>
          <w:color w:val="000000"/>
          <w:szCs w:val="18"/>
          <w:lang w:val="pt-BR"/>
        </w:rPr>
      </w:pPr>
      <w:r w:rsidRPr="003A4C23">
        <w:rPr>
          <w:rFonts w:cs="Tahoma"/>
          <w:b/>
          <w:bCs/>
          <w:color w:val="000000"/>
          <w:szCs w:val="18"/>
          <w:lang w:val="pt-BR"/>
        </w:rPr>
        <w:br w:type="page"/>
      </w:r>
    </w:p>
    <w:p w:rsidR="004640EC" w:rsidRPr="003A4C23" w:rsidRDefault="004640EC" w:rsidP="004640EC">
      <w:pPr>
        <w:spacing w:after="60"/>
        <w:ind w:left="720"/>
        <w:rPr>
          <w:lang w:val="pt-BR"/>
        </w:rPr>
      </w:pPr>
      <w:r w:rsidRPr="003A4C23">
        <w:rPr>
          <w:rFonts w:cs="Tahoma"/>
          <w:b/>
          <w:bCs/>
          <w:color w:val="000000"/>
          <w:szCs w:val="18"/>
          <w:lang w:val="pt-BR"/>
        </w:rPr>
        <w:lastRenderedPageBreak/>
        <w:t>O Suporte ao Cliente do Bing Maps Inclui:</w:t>
      </w:r>
    </w:p>
    <w:p w:rsidR="004640EC" w:rsidRPr="003A4C23" w:rsidRDefault="004640EC" w:rsidP="004640EC">
      <w:pPr>
        <w:ind w:left="720"/>
        <w:rPr>
          <w:lang w:val="pt-BR"/>
        </w:rPr>
      </w:pPr>
      <w:r w:rsidRPr="003A4C23">
        <w:rPr>
          <w:rFonts w:cs="Tahoma"/>
          <w:color w:val="000000"/>
          <w:szCs w:val="18"/>
          <w:lang w:val="pt-BR"/>
        </w:rPr>
        <w:t>Acesso direto à Equipe de Suporte Técnico do Bing Maps por email, telefone e Web durante o horário comercial, das 8 às 2 da manhã GMT, de segunda a sexta-feira, exceto em feriados públicos americanos.</w:t>
      </w:r>
      <w:r w:rsidR="005A52A2" w:rsidRPr="003A4C23">
        <w:rPr>
          <w:rFonts w:cs="Tahoma"/>
          <w:color w:val="000000"/>
          <w:szCs w:val="18"/>
          <w:lang w:val="pt-BR"/>
        </w:rPr>
        <w:t xml:space="preserve"> </w:t>
      </w:r>
      <w:r w:rsidRPr="003A4C23">
        <w:rPr>
          <w:rFonts w:cs="Tahoma"/>
          <w:color w:val="000000"/>
          <w:szCs w:val="18"/>
          <w:lang w:val="pt-BR"/>
        </w:rPr>
        <w:t>O</w:t>
      </w:r>
      <w:r w:rsidR="00C57DD8" w:rsidRPr="003A4C23">
        <w:rPr>
          <w:rFonts w:cs="Tahoma"/>
          <w:color w:val="000000"/>
          <w:szCs w:val="18"/>
          <w:lang w:val="pt-BR"/>
        </w:rPr>
        <w:t> </w:t>
      </w:r>
      <w:r w:rsidRPr="003A4C23">
        <w:rPr>
          <w:rFonts w:cs="Tahoma"/>
          <w:color w:val="000000"/>
          <w:szCs w:val="18"/>
          <w:lang w:val="pt-BR"/>
        </w:rPr>
        <w:t>cliente também horas nas quais não é fornecido acesso de emergência (das 2 às 8 da manhã GMT) à</w:t>
      </w:r>
      <w:r w:rsidR="00C57DD8" w:rsidRPr="003A4C23">
        <w:rPr>
          <w:rFonts w:cs="Tahoma"/>
          <w:color w:val="000000"/>
          <w:szCs w:val="18"/>
          <w:lang w:val="pt-BR"/>
        </w:rPr>
        <w:t> </w:t>
      </w:r>
      <w:r w:rsidRPr="003A4C23">
        <w:rPr>
          <w:rFonts w:cs="Tahoma"/>
          <w:color w:val="000000"/>
          <w:szCs w:val="18"/>
          <w:lang w:val="pt-BR"/>
        </w:rPr>
        <w:t>Equipe de Suporte para problemas relacionados a serviços de emergência (apenas pelo número de telefone fornecido abaixo).</w:t>
      </w:r>
      <w:r w:rsidR="005A52A2" w:rsidRPr="003A4C23">
        <w:rPr>
          <w:rFonts w:cs="Tahoma"/>
          <w:color w:val="000000"/>
          <w:szCs w:val="18"/>
          <w:lang w:val="pt-BR"/>
        </w:rPr>
        <w:t xml:space="preserve"> </w:t>
      </w:r>
      <w:r w:rsidRPr="003A4C23">
        <w:rPr>
          <w:rFonts w:cs="Tahoma"/>
          <w:color w:val="000000"/>
          <w:szCs w:val="18"/>
          <w:lang w:val="pt-BR"/>
        </w:rPr>
        <w:t>Todos os outros problemas relacionados durante as horas sem acesso serão</w:t>
      </w:r>
      <w:r w:rsidR="00C57DD8" w:rsidRPr="003A4C23">
        <w:rPr>
          <w:rFonts w:cs="Tahoma"/>
          <w:color w:val="000000"/>
          <w:szCs w:val="18"/>
          <w:lang w:val="pt-BR"/>
        </w:rPr>
        <w:t> </w:t>
      </w:r>
      <w:r w:rsidRPr="003A4C23">
        <w:rPr>
          <w:rFonts w:cs="Tahoma"/>
          <w:color w:val="000000"/>
          <w:szCs w:val="18"/>
          <w:lang w:val="pt-BR"/>
        </w:rPr>
        <w:t>adiados para horas comerciais normais.</w:t>
      </w:r>
      <w:r w:rsidR="005A52A2" w:rsidRPr="003A4C23">
        <w:rPr>
          <w:rFonts w:cs="Tahoma"/>
          <w:color w:val="000000"/>
          <w:szCs w:val="18"/>
          <w:lang w:val="pt-BR"/>
        </w:rPr>
        <w:t xml:space="preserve"> </w:t>
      </w:r>
      <w:r w:rsidRPr="003A4C23">
        <w:rPr>
          <w:rFonts w:cs="Tahoma"/>
          <w:color w:val="000000"/>
          <w:szCs w:val="18"/>
          <w:lang w:val="pt-BR"/>
        </w:rPr>
        <w:t>A Equipe de Suporte pode ser contatada pelos seguintes métodos ou sucessores deste:</w:t>
      </w:r>
    </w:p>
    <w:p w:rsidR="00141883" w:rsidRPr="003A4C23" w:rsidRDefault="00141883" w:rsidP="004640EC">
      <w:pPr>
        <w:ind w:left="720"/>
        <w:rPr>
          <w:lang w:val="pt-BR"/>
        </w:rPr>
      </w:pPr>
    </w:p>
    <w:p w:rsidR="004640EC" w:rsidRPr="003A4C23" w:rsidRDefault="004640EC" w:rsidP="004640EC">
      <w:pPr>
        <w:ind w:left="720"/>
        <w:rPr>
          <w:lang w:val="pt-BR"/>
        </w:rPr>
      </w:pPr>
      <w:r w:rsidRPr="003A4C23">
        <w:rPr>
          <w:rFonts w:cs="Tahoma"/>
          <w:color w:val="000000"/>
          <w:szCs w:val="18"/>
          <w:lang w:val="pt-BR"/>
        </w:rPr>
        <w:t>Email:</w:t>
      </w:r>
    </w:p>
    <w:p w:rsidR="004640EC" w:rsidRPr="003A4C23" w:rsidRDefault="0033195D" w:rsidP="004640EC">
      <w:pPr>
        <w:ind w:left="720"/>
        <w:rPr>
          <w:lang w:val="pt-BR"/>
        </w:rPr>
      </w:pPr>
      <w:hyperlink r:id="rId45" w:history="1">
        <w:r w:rsidR="00955428" w:rsidRPr="003A4C23">
          <w:rPr>
            <w:rStyle w:val="Hyperlink"/>
            <w:rFonts w:cs="Tahoma"/>
            <w:szCs w:val="18"/>
            <w:lang w:val="pt-BR"/>
          </w:rPr>
          <w:t>bmesupp@microsoft.com</w:t>
        </w:r>
      </w:hyperlink>
    </w:p>
    <w:p w:rsidR="004640EC" w:rsidRPr="003A4C23" w:rsidRDefault="004640EC" w:rsidP="004640EC">
      <w:pPr>
        <w:ind w:left="720"/>
        <w:rPr>
          <w:lang w:val="pt-BR"/>
        </w:rPr>
      </w:pPr>
    </w:p>
    <w:p w:rsidR="004640EC" w:rsidRPr="003A4C23" w:rsidRDefault="004640EC" w:rsidP="004640EC">
      <w:pPr>
        <w:ind w:left="720"/>
        <w:rPr>
          <w:lang w:val="pt-BR"/>
        </w:rPr>
      </w:pPr>
      <w:r w:rsidRPr="003A4C23">
        <w:rPr>
          <w:rFonts w:cs="Tahoma"/>
          <w:color w:val="000000"/>
          <w:szCs w:val="18"/>
          <w:lang w:val="pt-BR"/>
        </w:rPr>
        <w:t>Telefone:</w:t>
      </w:r>
    </w:p>
    <w:p w:rsidR="004640EC" w:rsidRPr="003A4C23" w:rsidRDefault="004640EC" w:rsidP="004640EC">
      <w:pPr>
        <w:ind w:left="720"/>
        <w:rPr>
          <w:lang w:val="pt-BR"/>
        </w:rPr>
      </w:pPr>
      <w:r w:rsidRPr="003A4C23">
        <w:rPr>
          <w:rFonts w:cs="Tahoma"/>
          <w:color w:val="000000"/>
          <w:szCs w:val="18"/>
          <w:lang w:val="pt-BR"/>
        </w:rPr>
        <w:t>+1 (800) 552-8872 (se estiver nos Estados Unidos e Canadá)</w:t>
      </w:r>
    </w:p>
    <w:p w:rsidR="004640EC" w:rsidRPr="003A4C23" w:rsidRDefault="004640EC" w:rsidP="004640EC">
      <w:pPr>
        <w:ind w:left="720"/>
        <w:rPr>
          <w:lang w:val="pt-BR"/>
        </w:rPr>
      </w:pPr>
      <w:r w:rsidRPr="003A4C23">
        <w:rPr>
          <w:rFonts w:cs="Tahoma"/>
          <w:color w:val="000000"/>
          <w:szCs w:val="18"/>
          <w:lang w:val="pt-BR"/>
        </w:rPr>
        <w:t>+1 (425) 705-2737 (se estiver fora dos Estados Unidos e Canadá)</w:t>
      </w:r>
    </w:p>
    <w:p w:rsidR="004640EC" w:rsidRPr="003A4C23" w:rsidRDefault="004640EC" w:rsidP="004640EC">
      <w:pPr>
        <w:ind w:left="720"/>
        <w:rPr>
          <w:lang w:val="pt-BR"/>
        </w:rPr>
      </w:pPr>
    </w:p>
    <w:p w:rsidR="004640EC" w:rsidRPr="003A4C23" w:rsidRDefault="004640EC" w:rsidP="004640EC">
      <w:pPr>
        <w:ind w:left="720"/>
        <w:rPr>
          <w:lang w:val="pt-BR"/>
        </w:rPr>
      </w:pPr>
      <w:r w:rsidRPr="003A4C23">
        <w:rPr>
          <w:rFonts w:cs="Tahoma"/>
          <w:color w:val="000000"/>
          <w:szCs w:val="18"/>
          <w:lang w:val="pt-BR"/>
        </w:rPr>
        <w:t>Formulário da Web</w:t>
      </w:r>
    </w:p>
    <w:p w:rsidR="004640EC" w:rsidRPr="003A4C23" w:rsidRDefault="0033195D" w:rsidP="004640EC">
      <w:pPr>
        <w:ind w:left="720"/>
        <w:rPr>
          <w:lang w:val="pt-BR"/>
        </w:rPr>
      </w:pPr>
      <w:hyperlink r:id="rId46" w:history="1">
        <w:r w:rsidR="00955428" w:rsidRPr="003A4C23">
          <w:rPr>
            <w:rStyle w:val="Hyperlink"/>
            <w:rFonts w:cs="Tahoma"/>
            <w:szCs w:val="18"/>
            <w:lang w:val="pt-BR"/>
          </w:rPr>
          <w:t>https://support.microsoft.com/oas/default.aspx?prid=13766&amp;st=1</w:t>
        </w:r>
      </w:hyperlink>
    </w:p>
    <w:p w:rsidR="004640EC" w:rsidRPr="003A4C23" w:rsidRDefault="004640EC" w:rsidP="004640EC">
      <w:pPr>
        <w:ind w:left="720"/>
        <w:rPr>
          <w:lang w:val="pt-BR"/>
        </w:rPr>
      </w:pPr>
    </w:p>
    <w:p w:rsidR="004640EC" w:rsidRPr="003A4C23" w:rsidRDefault="004640EC" w:rsidP="004640EC">
      <w:pPr>
        <w:ind w:left="720"/>
        <w:rPr>
          <w:lang w:val="pt-BR"/>
        </w:rPr>
      </w:pPr>
      <w:r w:rsidRPr="003A4C23">
        <w:rPr>
          <w:rFonts w:cs="Tahoma"/>
          <w:b/>
          <w:bCs/>
          <w:color w:val="000000"/>
          <w:szCs w:val="18"/>
          <w:lang w:val="pt-BR"/>
        </w:rPr>
        <w:t>Prioridade</w:t>
      </w:r>
      <w:r w:rsidRPr="003A4C23">
        <w:rPr>
          <w:rFonts w:cs="Tahoma"/>
          <w:color w:val="000000"/>
          <w:szCs w:val="18"/>
          <w:lang w:val="pt-BR"/>
        </w:rPr>
        <w:t>.</w:t>
      </w:r>
      <w:r w:rsidR="005A52A2" w:rsidRPr="003A4C23">
        <w:rPr>
          <w:rFonts w:cs="Tahoma"/>
          <w:color w:val="000000"/>
          <w:szCs w:val="18"/>
          <w:lang w:val="pt-BR"/>
        </w:rPr>
        <w:t xml:space="preserve"> </w:t>
      </w:r>
      <w:r w:rsidRPr="003A4C23">
        <w:rPr>
          <w:rFonts w:cs="Tahoma"/>
          <w:color w:val="000000"/>
          <w:szCs w:val="18"/>
          <w:lang w:val="pt-BR"/>
        </w:rPr>
        <w:t>Todas as solicitações de suporte ao cliente do Bing Maps para a Equipe de Suporte serão designadas como Gravidade Nível A, B, C ou D, conforme descrito nos gráficos de Níveis de Gravidade e Meta do Tempo de Resposta abaixo.</w:t>
      </w:r>
      <w:r w:rsidR="005A52A2" w:rsidRPr="003A4C23">
        <w:rPr>
          <w:rFonts w:cs="Tahoma"/>
          <w:color w:val="000000"/>
          <w:szCs w:val="18"/>
          <w:lang w:val="pt-BR"/>
        </w:rPr>
        <w:t xml:space="preserve"> </w:t>
      </w:r>
      <w:r w:rsidRPr="003A4C23">
        <w:rPr>
          <w:rFonts w:cs="Tahoma"/>
          <w:color w:val="000000"/>
          <w:szCs w:val="18"/>
          <w:lang w:val="pt-BR"/>
        </w:rPr>
        <w:t>Um Engenheiro de Suporte responderá de acordo com os Tempos-alvo de Resposta indicados no gráfico abaixo.</w:t>
      </w:r>
      <w:r w:rsidR="005A52A2" w:rsidRPr="003A4C23">
        <w:rPr>
          <w:rFonts w:cs="Tahoma"/>
          <w:color w:val="000000"/>
          <w:szCs w:val="18"/>
          <w:lang w:val="pt-BR"/>
        </w:rPr>
        <w:t xml:space="preserve"> </w:t>
      </w:r>
      <w:r w:rsidRPr="003A4C23">
        <w:rPr>
          <w:rFonts w:cs="Tahoma"/>
          <w:color w:val="000000"/>
          <w:szCs w:val="18"/>
          <w:lang w:val="pt-BR"/>
        </w:rPr>
        <w:t>O Engenheiro de Suporte determinará a designação do nível de gravidade final de acordo com a Descrição dos Problemas de Serviço do gráfico abaixo.</w:t>
      </w:r>
    </w:p>
    <w:p w:rsidR="006659B5" w:rsidRPr="003A4C23" w:rsidRDefault="006659B5" w:rsidP="004640EC">
      <w:pPr>
        <w:ind w:left="720"/>
        <w:rPr>
          <w:rFonts w:cs="Tahoma"/>
          <w:b/>
          <w:bCs/>
          <w:color w:val="000000"/>
          <w:szCs w:val="18"/>
          <w:lang w:val="pt-BR"/>
        </w:rPr>
      </w:pPr>
    </w:p>
    <w:p w:rsidR="004640EC" w:rsidRPr="003A4C23" w:rsidRDefault="004640EC" w:rsidP="004640EC">
      <w:pPr>
        <w:ind w:left="720"/>
        <w:rPr>
          <w:lang w:val="pt-BR"/>
        </w:rPr>
      </w:pPr>
      <w:r w:rsidRPr="003A4C23">
        <w:rPr>
          <w:rFonts w:cs="Tahoma"/>
          <w:b/>
          <w:bCs/>
          <w:color w:val="000000"/>
          <w:szCs w:val="18"/>
          <w:lang w:val="pt-BR"/>
        </w:rPr>
        <w:t xml:space="preserve">Níveis de Gravidade de Horário Comercial Normal e Meta do Tempo de Resposta: </w:t>
      </w:r>
    </w:p>
    <w:p w:rsidR="004640EC" w:rsidRPr="003A4C23" w:rsidRDefault="004640EC" w:rsidP="004640EC">
      <w:pPr>
        <w:ind w:left="720"/>
        <w:rPr>
          <w:lang w:val="pt-BR"/>
        </w:rPr>
      </w:pPr>
    </w:p>
    <w:tbl>
      <w:tblPr>
        <w:tblW w:w="8730" w:type="dxa"/>
        <w:tblInd w:w="738" w:type="dxa"/>
        <w:tblCellMar>
          <w:left w:w="0" w:type="dxa"/>
          <w:right w:w="0" w:type="dxa"/>
        </w:tblCellMar>
        <w:tblLook w:val="04A0" w:firstRow="1" w:lastRow="0" w:firstColumn="1" w:lastColumn="0" w:noHBand="0" w:noVBand="1"/>
      </w:tblPr>
      <w:tblGrid>
        <w:gridCol w:w="1576"/>
        <w:gridCol w:w="2052"/>
        <w:gridCol w:w="5102"/>
      </w:tblGrid>
      <w:tr w:rsidR="004640EC" w:rsidRPr="003A4C23" w:rsidTr="00F22872">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3A4C23" w:rsidRDefault="004640EC" w:rsidP="00C57DD8">
            <w:pPr>
              <w:rPr>
                <w:rFonts w:cs="Tahoma"/>
                <w:color w:val="000000"/>
                <w:szCs w:val="18"/>
                <w:lang w:val="pt-BR"/>
              </w:rPr>
            </w:pPr>
            <w:r w:rsidRPr="003A4C23">
              <w:rPr>
                <w:rFonts w:cs="Tahoma"/>
                <w:b/>
                <w:bCs/>
                <w:color w:val="000000"/>
                <w:szCs w:val="18"/>
                <w:lang w:val="pt-BR"/>
              </w:rPr>
              <w:t>Nível de Gravidade do</w:t>
            </w:r>
            <w:r w:rsidR="00C57DD8" w:rsidRPr="003A4C23">
              <w:rPr>
                <w:rFonts w:cs="Tahoma"/>
                <w:b/>
                <w:bCs/>
                <w:color w:val="000000"/>
                <w:szCs w:val="18"/>
                <w:lang w:val="pt-BR"/>
              </w:rPr>
              <w:t> </w:t>
            </w:r>
            <w:r w:rsidRPr="003A4C23">
              <w:rPr>
                <w:rFonts w:cs="Tahoma"/>
                <w:b/>
                <w:bCs/>
                <w:color w:val="000000"/>
                <w:szCs w:val="18"/>
                <w:lang w:val="pt-BR"/>
              </w:rPr>
              <w:t>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3A4C23" w:rsidRDefault="004640EC" w:rsidP="00C57DD8">
            <w:pPr>
              <w:rPr>
                <w:rFonts w:cs="Tahoma"/>
                <w:color w:val="000000"/>
                <w:szCs w:val="18"/>
                <w:lang w:val="pt-BR"/>
              </w:rPr>
            </w:pPr>
            <w:r w:rsidRPr="003A4C23">
              <w:rPr>
                <w:rFonts w:cs="Tahoma"/>
                <w:b/>
                <w:bCs/>
                <w:color w:val="000000"/>
                <w:szCs w:val="18"/>
                <w:lang w:val="pt-BR"/>
              </w:rPr>
              <w:t>Meta do Tempo de</w:t>
            </w:r>
            <w:r w:rsidR="00C57DD8" w:rsidRPr="003A4C23">
              <w:rPr>
                <w:rFonts w:cs="Tahoma"/>
                <w:b/>
                <w:bCs/>
                <w:color w:val="000000"/>
                <w:szCs w:val="18"/>
                <w:lang w:val="pt-BR"/>
              </w:rPr>
              <w:t> </w:t>
            </w:r>
            <w:r w:rsidRPr="003A4C23">
              <w:rPr>
                <w:rFonts w:cs="Tahoma"/>
                <w:b/>
                <w:bCs/>
                <w:color w:val="000000"/>
                <w:szCs w:val="18"/>
                <w:lang w:val="pt-BR"/>
              </w:rPr>
              <w:t>Resposta</w:t>
            </w:r>
          </w:p>
        </w:tc>
        <w:tc>
          <w:tcPr>
            <w:tcW w:w="510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3A4C23" w:rsidRDefault="004640EC" w:rsidP="00136585">
            <w:pPr>
              <w:rPr>
                <w:rFonts w:cs="Tahoma"/>
                <w:color w:val="000000"/>
                <w:szCs w:val="18"/>
                <w:lang w:val="pt-BR"/>
              </w:rPr>
            </w:pPr>
            <w:r w:rsidRPr="003A4C23">
              <w:rPr>
                <w:rFonts w:cs="Tahoma"/>
                <w:b/>
                <w:bCs/>
                <w:color w:val="000000"/>
                <w:szCs w:val="18"/>
                <w:lang w:val="pt-BR"/>
              </w:rPr>
              <w:t>Descrição dos Problemas de Serviço</w:t>
            </w:r>
          </w:p>
        </w:tc>
      </w:tr>
      <w:tr w:rsidR="004640EC" w:rsidRPr="003A4C23" w:rsidTr="00F22872">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Gravidade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1 Hora Comercial</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A4C23" w:rsidRDefault="004640EC" w:rsidP="00136585">
            <w:pPr>
              <w:rPr>
                <w:rFonts w:cs="Tahoma"/>
                <w:color w:val="000000"/>
                <w:szCs w:val="18"/>
                <w:lang w:val="pt-BR"/>
              </w:rPr>
            </w:pPr>
            <w:r w:rsidRPr="003A4C23">
              <w:rPr>
                <w:rFonts w:cs="Tahoma"/>
                <w:color w:val="000000"/>
                <w:szCs w:val="18"/>
                <w:lang w:val="pt-BR"/>
              </w:rPr>
              <w:t>O cliente está relatando uma paralisação dos Serviços ou outro problema crítico nos aplicativos de produção.</w:t>
            </w:r>
          </w:p>
        </w:tc>
      </w:tr>
      <w:tr w:rsidR="004640EC" w:rsidRPr="003A4C23" w:rsidTr="00F22872">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Gravidade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4 Horas Comerciais</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A4C23" w:rsidRDefault="004640EC" w:rsidP="00136585">
            <w:pPr>
              <w:rPr>
                <w:rFonts w:cs="Tahoma"/>
                <w:color w:val="000000"/>
                <w:szCs w:val="18"/>
                <w:lang w:val="pt-BR"/>
              </w:rPr>
            </w:pPr>
            <w:r w:rsidRPr="003A4C23">
              <w:rPr>
                <w:rFonts w:cs="Tahoma"/>
                <w:color w:val="000000"/>
                <w:szCs w:val="18"/>
                <w:lang w:val="pt-BR"/>
              </w:rPr>
              <w:t>O cliente está relatando um problema importante que está causando um problema significativo nos aplicativos de produção.</w:t>
            </w:r>
          </w:p>
        </w:tc>
      </w:tr>
      <w:tr w:rsidR="004640EC" w:rsidRPr="003A4C23" w:rsidTr="00F22872">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Gravidade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1 Dia Útil</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A4C23" w:rsidRDefault="004640EC" w:rsidP="00F22872">
            <w:pPr>
              <w:rPr>
                <w:rFonts w:cs="Tahoma"/>
                <w:color w:val="000000"/>
                <w:szCs w:val="18"/>
                <w:lang w:val="pt-BR"/>
              </w:rPr>
            </w:pPr>
            <w:r w:rsidRPr="003A4C23">
              <w:rPr>
                <w:rFonts w:cs="Tahoma"/>
                <w:color w:val="000000"/>
                <w:szCs w:val="18"/>
                <w:lang w:val="pt-BR"/>
              </w:rPr>
              <w:t>O cliente está relatando problemas não críticos (como</w:t>
            </w:r>
            <w:r w:rsidR="00F22872" w:rsidRPr="003A4C23">
              <w:rPr>
                <w:rFonts w:cs="Tahoma"/>
                <w:color w:val="000000"/>
                <w:szCs w:val="18"/>
                <w:lang w:val="pt-BR"/>
              </w:rPr>
              <w:t> </w:t>
            </w:r>
            <w:r w:rsidRPr="003A4C23">
              <w:rPr>
                <w:rFonts w:cs="Tahoma"/>
                <w:color w:val="000000"/>
                <w:szCs w:val="18"/>
                <w:lang w:val="pt-BR"/>
              </w:rPr>
              <w:t>problemas em produtos ou de desenvolvimento em</w:t>
            </w:r>
            <w:r w:rsidR="00F22872" w:rsidRPr="003A4C23">
              <w:rPr>
                <w:rFonts w:cs="Tahoma"/>
                <w:color w:val="000000"/>
                <w:szCs w:val="18"/>
                <w:lang w:val="pt-BR"/>
              </w:rPr>
              <w:t> </w:t>
            </w:r>
            <w:r w:rsidRPr="003A4C23">
              <w:rPr>
                <w:rFonts w:cs="Tahoma"/>
                <w:color w:val="000000"/>
                <w:szCs w:val="18"/>
                <w:lang w:val="pt-BR"/>
              </w:rPr>
              <w:t>geral, etc.).</w:t>
            </w:r>
          </w:p>
        </w:tc>
      </w:tr>
      <w:tr w:rsidR="004640EC" w:rsidRPr="003A4C23" w:rsidTr="00F22872">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Gravidade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3 Dias Úteis</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A4C23" w:rsidRDefault="004640EC" w:rsidP="00136585">
            <w:pPr>
              <w:rPr>
                <w:rFonts w:cs="Tahoma"/>
                <w:color w:val="000000"/>
                <w:szCs w:val="18"/>
                <w:lang w:val="pt-BR"/>
              </w:rPr>
            </w:pPr>
            <w:r w:rsidRPr="003A4C23">
              <w:rPr>
                <w:rFonts w:cs="Tahoma"/>
                <w:color w:val="000000"/>
                <w:szCs w:val="18"/>
                <w:lang w:val="pt-BR"/>
              </w:rPr>
              <w:t>O cliente está fornecendo feedback sobre um problema de mapeamento, instruções de direção ou código geográfico.</w:t>
            </w:r>
          </w:p>
        </w:tc>
      </w:tr>
    </w:tbl>
    <w:p w:rsidR="004640EC" w:rsidRPr="003A4C23" w:rsidRDefault="004640EC" w:rsidP="004640EC">
      <w:pPr>
        <w:ind w:left="720"/>
        <w:rPr>
          <w:lang w:val="pt-BR"/>
        </w:rPr>
      </w:pPr>
    </w:p>
    <w:p w:rsidR="004640EC" w:rsidRPr="003A4C23" w:rsidRDefault="004640EC" w:rsidP="004640EC">
      <w:pPr>
        <w:ind w:left="720"/>
        <w:rPr>
          <w:lang w:val="pt-BR"/>
        </w:rPr>
      </w:pPr>
      <w:r w:rsidRPr="003A4C23">
        <w:rPr>
          <w:rFonts w:cs="Tahoma"/>
          <w:b/>
          <w:bCs/>
          <w:color w:val="000000"/>
          <w:szCs w:val="18"/>
          <w:lang w:val="pt-BR"/>
        </w:rPr>
        <w:t xml:space="preserve">Entre em Contato com as Informações por 24 horas por dia, 7 dias por semana, com o Suporte de Emergência de Paralisação de Clientes: </w:t>
      </w:r>
    </w:p>
    <w:p w:rsidR="004640EC" w:rsidRPr="003A4C23" w:rsidRDefault="004640EC" w:rsidP="004640EC">
      <w:pPr>
        <w:ind w:left="720"/>
        <w:rPr>
          <w:lang w:val="pt-BR"/>
        </w:rPr>
      </w:pPr>
    </w:p>
    <w:p w:rsidR="004640EC" w:rsidRPr="003A4C23" w:rsidRDefault="004640EC" w:rsidP="004640EC">
      <w:pPr>
        <w:ind w:left="720"/>
        <w:rPr>
          <w:lang w:val="pt-BR"/>
        </w:rPr>
      </w:pPr>
      <w:r w:rsidRPr="003A4C23">
        <w:rPr>
          <w:rFonts w:cs="Tahoma"/>
          <w:szCs w:val="18"/>
          <w:lang w:val="pt-BR"/>
        </w:rPr>
        <w:t>Telefone:</w:t>
      </w:r>
    </w:p>
    <w:p w:rsidR="004640EC" w:rsidRPr="003A4C23" w:rsidRDefault="004640EC" w:rsidP="004640EC">
      <w:pPr>
        <w:ind w:left="720"/>
        <w:rPr>
          <w:lang w:val="pt-BR"/>
        </w:rPr>
      </w:pPr>
      <w:r w:rsidRPr="003A4C23">
        <w:rPr>
          <w:rFonts w:cs="Tahoma"/>
          <w:color w:val="000000"/>
          <w:szCs w:val="18"/>
          <w:lang w:val="pt-BR"/>
        </w:rPr>
        <w:t xml:space="preserve">+1 (800) 552-8872 (se estiver nos Estados Unidos e Canadá) </w:t>
      </w:r>
    </w:p>
    <w:p w:rsidR="004640EC" w:rsidRPr="003A4C23" w:rsidRDefault="004640EC" w:rsidP="004640EC">
      <w:pPr>
        <w:ind w:left="720"/>
        <w:rPr>
          <w:lang w:val="pt-BR"/>
        </w:rPr>
      </w:pPr>
      <w:r w:rsidRPr="003A4C23">
        <w:rPr>
          <w:rFonts w:cs="Tahoma"/>
          <w:color w:val="000000"/>
          <w:szCs w:val="18"/>
          <w:lang w:val="pt-BR"/>
        </w:rPr>
        <w:t xml:space="preserve">+1 (425) 705-2737 (se estiver fora dos Estados Unidos e Canadá) </w:t>
      </w:r>
    </w:p>
    <w:p w:rsidR="004640EC" w:rsidRPr="003A4C23" w:rsidRDefault="004640EC" w:rsidP="004640EC">
      <w:pPr>
        <w:ind w:left="720"/>
        <w:rPr>
          <w:lang w:val="pt-BR"/>
        </w:rPr>
      </w:pPr>
    </w:p>
    <w:p w:rsidR="004640EC" w:rsidRPr="003A4C23" w:rsidRDefault="004640EC" w:rsidP="004640EC">
      <w:pPr>
        <w:ind w:left="720"/>
        <w:rPr>
          <w:lang w:val="pt-BR"/>
        </w:rPr>
      </w:pPr>
      <w:r w:rsidRPr="003A4C23">
        <w:rPr>
          <w:rFonts w:cs="Tahoma"/>
          <w:color w:val="000000"/>
          <w:szCs w:val="18"/>
          <w:lang w:val="pt-BR"/>
        </w:rPr>
        <w:t>Notificação Importante: o suporte de emergência de 24 horas por dia, 7 dias por semana, só está disponível para problemas que se enquadrem no Nível A de Gravidade (uma paralisação de Serviços ou degradação de</w:t>
      </w:r>
      <w:r w:rsidR="00C57DD8" w:rsidRPr="003A4C23">
        <w:rPr>
          <w:rFonts w:cs="Tahoma"/>
          <w:color w:val="000000"/>
          <w:szCs w:val="18"/>
          <w:lang w:val="pt-BR"/>
        </w:rPr>
        <w:t> </w:t>
      </w:r>
      <w:r w:rsidRPr="003A4C23">
        <w:rPr>
          <w:rFonts w:cs="Tahoma"/>
          <w:color w:val="000000"/>
          <w:szCs w:val="18"/>
          <w:lang w:val="pt-BR"/>
        </w:rPr>
        <w:t>Serviços que afetam os aplicativos de produção do Cliente). A Microsoft responderá a todos os problemas de horas sem acesso que não se enquadrem no Nível A de Gravidade no próximo dia útil, com base na Meta</w:t>
      </w:r>
      <w:r w:rsidR="00C57DD8" w:rsidRPr="003A4C23">
        <w:rPr>
          <w:rFonts w:cs="Tahoma"/>
          <w:color w:val="000000"/>
          <w:szCs w:val="18"/>
          <w:lang w:val="pt-BR"/>
        </w:rPr>
        <w:t> </w:t>
      </w:r>
      <w:r w:rsidRPr="003A4C23">
        <w:rPr>
          <w:rFonts w:cs="Tahoma"/>
          <w:color w:val="000000"/>
          <w:szCs w:val="18"/>
          <w:lang w:val="pt-BR"/>
        </w:rPr>
        <w:t>de Tempo de Resposta destacada acima. Além disso, note que os problemas enviados por email (</w:t>
      </w:r>
      <w:hyperlink r:id="rId47" w:history="1">
        <w:r w:rsidRPr="003A4C23">
          <w:rPr>
            <w:rStyle w:val="Hyperlink"/>
            <w:rFonts w:cs="Tahoma"/>
            <w:szCs w:val="18"/>
            <w:lang w:val="pt-BR"/>
          </w:rPr>
          <w:t>bmesupp@microsoft.com</w:t>
        </w:r>
      </w:hyperlink>
      <w:r w:rsidRPr="003A4C23">
        <w:rPr>
          <w:rFonts w:cs="Tahoma"/>
          <w:color w:val="000000"/>
          <w:szCs w:val="18"/>
          <w:lang w:val="pt-BR"/>
        </w:rPr>
        <w:t xml:space="preserve">) ou Formulário da Web não são monitorados fora das horas comerciais normais da Equipe de Suporte ao Cliente do Bing Maps. </w:t>
      </w:r>
    </w:p>
    <w:p w:rsidR="00C57DD8" w:rsidRPr="003A4C23" w:rsidRDefault="00C57DD8" w:rsidP="004640EC">
      <w:pPr>
        <w:ind w:left="720"/>
        <w:rPr>
          <w:lang w:val="pt-BR"/>
        </w:rPr>
      </w:pPr>
    </w:p>
    <w:p w:rsidR="006659B5" w:rsidRPr="003A4C23" w:rsidRDefault="006659B5" w:rsidP="004640EC">
      <w:pPr>
        <w:ind w:left="720"/>
        <w:rPr>
          <w:lang w:val="pt-BR"/>
        </w:rPr>
      </w:pPr>
    </w:p>
    <w:p w:rsidR="004640EC" w:rsidRPr="003A4C23" w:rsidRDefault="004640EC" w:rsidP="004640EC">
      <w:pPr>
        <w:ind w:left="720"/>
        <w:rPr>
          <w:lang w:val="pt-BR"/>
        </w:rPr>
      </w:pPr>
      <w:r w:rsidRPr="003A4C23">
        <w:rPr>
          <w:rFonts w:cs="Tahoma"/>
          <w:b/>
          <w:bCs/>
          <w:color w:val="000000"/>
          <w:szCs w:val="18"/>
          <w:lang w:val="pt-BR"/>
        </w:rPr>
        <w:lastRenderedPageBreak/>
        <w:t>Níveis de Gravidade de Horário de Emergência sem Acesso e Meta do Tempo de Resposta:</w:t>
      </w:r>
    </w:p>
    <w:p w:rsidR="004640EC" w:rsidRPr="003A4C23" w:rsidRDefault="004640EC" w:rsidP="004640EC">
      <w:pPr>
        <w:ind w:left="720"/>
        <w:rPr>
          <w:lang w:val="pt-BR"/>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3A4C23"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3A4C23" w:rsidRDefault="004640EC" w:rsidP="00C57DD8">
            <w:pPr>
              <w:rPr>
                <w:rFonts w:cs="Tahoma"/>
                <w:color w:val="000000"/>
                <w:szCs w:val="18"/>
                <w:lang w:val="pt-BR"/>
              </w:rPr>
            </w:pPr>
            <w:r w:rsidRPr="003A4C23">
              <w:rPr>
                <w:rFonts w:cs="Tahoma"/>
                <w:b/>
                <w:bCs/>
                <w:color w:val="000000"/>
                <w:szCs w:val="18"/>
                <w:lang w:val="pt-BR"/>
              </w:rPr>
              <w:t>Nível de Gravidade do</w:t>
            </w:r>
            <w:r w:rsidR="00C57DD8" w:rsidRPr="003A4C23">
              <w:rPr>
                <w:rFonts w:cs="Tahoma"/>
                <w:b/>
                <w:bCs/>
                <w:color w:val="000000"/>
                <w:szCs w:val="18"/>
                <w:lang w:val="pt-BR"/>
              </w:rPr>
              <w:t> </w:t>
            </w:r>
            <w:r w:rsidRPr="003A4C23">
              <w:rPr>
                <w:rFonts w:cs="Tahoma"/>
                <w:b/>
                <w:bCs/>
                <w:color w:val="000000"/>
                <w:szCs w:val="18"/>
                <w:lang w:val="pt-BR"/>
              </w:rPr>
              <w:t>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3A4C23" w:rsidRDefault="004640EC" w:rsidP="00C57DD8">
            <w:pPr>
              <w:rPr>
                <w:rFonts w:cs="Tahoma"/>
                <w:color w:val="000000"/>
                <w:szCs w:val="18"/>
                <w:lang w:val="pt-BR"/>
              </w:rPr>
            </w:pPr>
            <w:r w:rsidRPr="003A4C23">
              <w:rPr>
                <w:rFonts w:cs="Tahoma"/>
                <w:b/>
                <w:bCs/>
                <w:color w:val="000000"/>
                <w:szCs w:val="18"/>
                <w:lang w:val="pt-BR"/>
              </w:rPr>
              <w:t>Meta do Tempo de</w:t>
            </w:r>
            <w:r w:rsidR="00C57DD8" w:rsidRPr="003A4C23">
              <w:rPr>
                <w:rFonts w:cs="Tahoma"/>
                <w:b/>
                <w:bCs/>
                <w:color w:val="000000"/>
                <w:szCs w:val="18"/>
                <w:lang w:val="pt-BR"/>
              </w:rPr>
              <w:t> </w:t>
            </w:r>
            <w:r w:rsidRPr="003A4C23">
              <w:rPr>
                <w:rFonts w:cs="Tahoma"/>
                <w:b/>
                <w:bCs/>
                <w:color w:val="000000"/>
                <w:szCs w:val="18"/>
                <w:lang w:val="pt-BR"/>
              </w:rPr>
              <w:t>Resposta</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3A4C23" w:rsidRDefault="004640EC" w:rsidP="00136585">
            <w:pPr>
              <w:rPr>
                <w:rFonts w:cs="Tahoma"/>
                <w:color w:val="000000"/>
                <w:szCs w:val="18"/>
                <w:lang w:val="pt-BR"/>
              </w:rPr>
            </w:pPr>
            <w:r w:rsidRPr="003A4C23">
              <w:rPr>
                <w:rFonts w:cs="Tahoma"/>
                <w:b/>
                <w:bCs/>
                <w:color w:val="000000"/>
                <w:szCs w:val="18"/>
                <w:lang w:val="pt-BR"/>
              </w:rPr>
              <w:t>Descrição dos Problemas de Serviço</w:t>
            </w:r>
          </w:p>
        </w:tc>
      </w:tr>
      <w:tr w:rsidR="004640EC" w:rsidRPr="003A4C23"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Gravidade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53421" w:rsidRDefault="004640EC" w:rsidP="00136585">
            <w:pPr>
              <w:rPr>
                <w:rFonts w:cs="Tahoma"/>
                <w:color w:val="000000"/>
                <w:szCs w:val="18"/>
              </w:rPr>
            </w:pPr>
            <w:r w:rsidRPr="00653421">
              <w:rPr>
                <w:rFonts w:cs="Tahoma"/>
                <w:color w:val="000000"/>
                <w:szCs w:val="18"/>
              </w:rPr>
              <w:t>1 Hora Comercial</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A4C23" w:rsidRDefault="004640EC" w:rsidP="00136585">
            <w:pPr>
              <w:rPr>
                <w:rFonts w:cs="Tahoma"/>
                <w:color w:val="000000"/>
                <w:szCs w:val="18"/>
                <w:lang w:val="pt-BR"/>
              </w:rPr>
            </w:pPr>
            <w:r w:rsidRPr="003A4C23">
              <w:rPr>
                <w:rFonts w:cs="Tahoma"/>
                <w:color w:val="000000"/>
                <w:szCs w:val="18"/>
                <w:lang w:val="pt-BR"/>
              </w:rPr>
              <w:t>O cliente está relatando uma paralisação dos Serviços ou outro problema crítico nos aplicativos de produção.</w:t>
            </w:r>
          </w:p>
        </w:tc>
      </w:tr>
      <w:bookmarkEnd w:id="1167"/>
    </w:tbl>
    <w:p w:rsidR="00E03856" w:rsidRPr="003A4C23" w:rsidRDefault="00E03856" w:rsidP="00676723">
      <w:pPr>
        <w:pStyle w:val="EndnoteText"/>
        <w:ind w:left="0"/>
        <w:rPr>
          <w:lang w:val="pt-BR"/>
        </w:rPr>
      </w:pPr>
    </w:p>
    <w:p w:rsidR="00141883" w:rsidRPr="003A4C23" w:rsidRDefault="00141883" w:rsidP="00676723">
      <w:pPr>
        <w:pStyle w:val="EndnoteText"/>
        <w:ind w:left="0"/>
        <w:rPr>
          <w:lang w:val="pt-BR"/>
        </w:rPr>
      </w:pPr>
    </w:p>
    <w:p w:rsidR="008233B3" w:rsidRPr="003A4C23" w:rsidRDefault="004668D9" w:rsidP="008233B3">
      <w:pPr>
        <w:pStyle w:val="Heading3"/>
        <w:rPr>
          <w:lang w:val="pt-BR"/>
        </w:rPr>
      </w:pPr>
      <w:bookmarkStart w:id="1172" w:name="_29_BizTalk®_Server"/>
      <w:bookmarkStart w:id="1173" w:name="_32_BizTalk_Server®"/>
      <w:bookmarkStart w:id="1174" w:name="_Toc353470938"/>
      <w:bookmarkEnd w:id="1172"/>
      <w:bookmarkEnd w:id="1173"/>
      <w:r w:rsidRPr="003A4C23">
        <w:rPr>
          <w:rFonts w:ascii="Tahoma" w:hAnsi="Tahoma" w:cs="Tahoma"/>
          <w:caps/>
          <w:color w:val="F66400"/>
          <w:sz w:val="22"/>
          <w:vertAlign w:val="superscript"/>
          <w:lang w:val="pt-BR"/>
        </w:rPr>
        <w:t>32</w:t>
      </w:r>
      <w:r w:rsidRPr="003A4C23">
        <w:rPr>
          <w:rFonts w:ascii="Tahoma" w:hAnsi="Tahoma" w:cs="Tahoma"/>
          <w:caps/>
          <w:color w:val="F66400"/>
          <w:sz w:val="22"/>
          <w:lang w:val="pt-BR"/>
        </w:rPr>
        <w:t xml:space="preserve"> </w:t>
      </w:r>
      <w:r w:rsidRPr="003A4C23">
        <w:rPr>
          <w:rFonts w:ascii="Tahoma" w:hAnsi="Tahoma" w:cs="Tahoma"/>
          <w:color w:val="F66400"/>
          <w:sz w:val="22"/>
          <w:lang w:val="pt-BR"/>
        </w:rPr>
        <w:t>BizTalk Server</w:t>
      </w:r>
      <w:r w:rsidRPr="003A4C23">
        <w:rPr>
          <w:rFonts w:ascii="Tahoma" w:hAnsi="Tahoma" w:cs="Tahoma"/>
          <w:color w:val="F66400"/>
          <w:sz w:val="22"/>
          <w:vertAlign w:val="superscript"/>
          <w:lang w:val="pt-BR"/>
        </w:rPr>
        <w:t>®</w:t>
      </w:r>
      <w:r w:rsidRPr="003A4C23">
        <w:rPr>
          <w:rFonts w:ascii="Tahoma" w:hAnsi="Tahoma" w:cs="Tahoma"/>
          <w:color w:val="F66400"/>
          <w:sz w:val="22"/>
          <w:lang w:val="pt-BR"/>
        </w:rPr>
        <w:t xml:space="preserve"> 2013 Branch</w:t>
      </w:r>
      <w:bookmarkEnd w:id="1174"/>
    </w:p>
    <w:p w:rsidR="008233B3" w:rsidRPr="003A4C23" w:rsidRDefault="008233B3" w:rsidP="008233B3">
      <w:pPr>
        <w:rPr>
          <w:lang w:val="pt-BR"/>
        </w:rPr>
      </w:pPr>
    </w:p>
    <w:p w:rsidR="008233B3" w:rsidRPr="003A4C23" w:rsidRDefault="008233B3" w:rsidP="008233B3">
      <w:pPr>
        <w:spacing w:after="60"/>
        <w:ind w:left="720"/>
        <w:rPr>
          <w:lang w:val="pt-BR"/>
        </w:rPr>
      </w:pPr>
      <w:r w:rsidRPr="003A4C23">
        <w:rPr>
          <w:rFonts w:eastAsia="Calibri" w:cs="Tahoma"/>
          <w:b/>
          <w:color w:val="000000"/>
          <w:szCs w:val="18"/>
          <w:lang w:val="pt-BR"/>
        </w:rPr>
        <w:t>Outorgas de Licença Associadas à Alteração no Modelo de Licenciamento</w:t>
      </w:r>
    </w:p>
    <w:p w:rsidR="008233B3" w:rsidRPr="003A4C23" w:rsidRDefault="008233B3" w:rsidP="008233B3">
      <w:pPr>
        <w:ind w:left="720"/>
        <w:rPr>
          <w:lang w:val="pt-BR"/>
        </w:rPr>
      </w:pPr>
      <w:r w:rsidRPr="003A4C23">
        <w:rPr>
          <w:rFonts w:eastAsia="Calibri" w:cs="Tahoma"/>
          <w:color w:val="000000"/>
          <w:szCs w:val="18"/>
          <w:lang w:val="pt-BR"/>
        </w:rPr>
        <w:t>O BizTalk Server 2010 será a última versão do BizTalk Server licenciada sob o modelo de licenciamento por processador.</w:t>
      </w:r>
      <w:r w:rsidR="005A52A2" w:rsidRPr="003A4C23">
        <w:rPr>
          <w:rFonts w:eastAsia="Calibri" w:cs="Tahoma"/>
          <w:color w:val="000000"/>
          <w:szCs w:val="18"/>
          <w:lang w:val="pt-BR"/>
        </w:rPr>
        <w:t xml:space="preserve"> </w:t>
      </w:r>
      <w:r w:rsidRPr="003A4C23">
        <w:rPr>
          <w:rFonts w:eastAsia="Calibri" w:cs="Tahoma"/>
          <w:color w:val="000000"/>
          <w:szCs w:val="18"/>
          <w:lang w:val="pt-BR"/>
        </w:rPr>
        <w:t xml:space="preserve">Como uma exceção, aos clientes de licenciamento por volume com Software Assurance ativo para licenças do processador do BizTalk Server 2010 Branch em 1º de abril de 2013 (“licenças qualificadas”) são concedidas as seguintes opções. As licenças do processador do BizTalk Server 2010 Branch </w:t>
      </w:r>
      <w:r w:rsidRPr="003A4C23">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fins dessas opções.</w:t>
      </w:r>
      <w:r w:rsidR="005A52A2" w:rsidRPr="003A4C23">
        <w:rPr>
          <w:rFonts w:cs="Tahoma"/>
          <w:bCs/>
          <w:color w:val="000000"/>
          <w:szCs w:val="18"/>
          <w:lang w:val="pt-BR"/>
        </w:rPr>
        <w:t xml:space="preserve"> </w:t>
      </w:r>
      <w:r w:rsidRPr="003A4C23">
        <w:rPr>
          <w:rFonts w:cs="Tahoma"/>
          <w:bCs/>
          <w:color w:val="000000"/>
          <w:szCs w:val="18"/>
          <w:lang w:val="pt-BR"/>
        </w:rPr>
        <w:t>As licenças adquiridas sob um prazo de registro subsequente, um contrato separado ou qualquer registro com uma data de início de vigência após 1º de abril de 2013 não são licenças qualificadas.</w:t>
      </w:r>
    </w:p>
    <w:p w:rsidR="008233B3" w:rsidRPr="003A4C23" w:rsidRDefault="008233B3" w:rsidP="008233B3">
      <w:pPr>
        <w:ind w:left="720"/>
        <w:rPr>
          <w:lang w:val="pt-BR"/>
        </w:rPr>
      </w:pPr>
    </w:p>
    <w:p w:rsidR="008233B3" w:rsidRPr="003A4C23" w:rsidRDefault="008233B3" w:rsidP="008233B3">
      <w:pPr>
        <w:spacing w:after="60"/>
        <w:ind w:left="720"/>
        <w:rPr>
          <w:lang w:val="pt-BR"/>
        </w:rPr>
      </w:pPr>
      <w:r w:rsidRPr="003A4C23">
        <w:rPr>
          <w:rFonts w:eastAsia="Calibri" w:cs="Tahoma"/>
          <w:b/>
          <w:color w:val="000000"/>
          <w:szCs w:val="18"/>
          <w:lang w:val="pt-BR"/>
        </w:rPr>
        <w:t>Prazo Atual</w:t>
      </w:r>
    </w:p>
    <w:p w:rsidR="008233B3" w:rsidRPr="003A4C23" w:rsidRDefault="008233B3" w:rsidP="008233B3">
      <w:pPr>
        <w:ind w:left="720"/>
        <w:rPr>
          <w:lang w:val="pt-BR"/>
        </w:rPr>
      </w:pPr>
      <w:r w:rsidRPr="003A4C23">
        <w:rPr>
          <w:rFonts w:eastAsia="Calibri" w:cs="Tahoma"/>
          <w:color w:val="000000"/>
          <w:szCs w:val="18"/>
          <w:lang w:val="pt-BR"/>
        </w:rPr>
        <w:t>Durante o prazo atual da sua cobertura de Software Assurance a partir de 1º de abril de 2013, os clientes (incluindo aqueles sob contratos de assinatura) podem, sob qualquer licença qualificada, atualizar e usar o</w:t>
      </w:r>
      <w:r w:rsidR="00C57DD8" w:rsidRPr="003A4C23">
        <w:rPr>
          <w:rFonts w:eastAsia="Calibri" w:cs="Tahoma"/>
          <w:color w:val="000000"/>
          <w:szCs w:val="18"/>
          <w:lang w:val="pt-BR"/>
        </w:rPr>
        <w:t> </w:t>
      </w:r>
      <w:r w:rsidRPr="003A4C23">
        <w:rPr>
          <w:rFonts w:eastAsia="Calibri" w:cs="Tahoma"/>
          <w:color w:val="000000"/>
          <w:szCs w:val="18"/>
          <w:lang w:val="pt-BR"/>
        </w:rPr>
        <w:t xml:space="preserve">BizTalk Server 2013 Branch em vez do BizTalk Server 2010 Branch sujeito aos direitos de uso do produto de licença do processador do BizTalk Server 2010 Branch (conforme os Direitos de Uso do Produto de janeiro de 2013). </w:t>
      </w:r>
    </w:p>
    <w:p w:rsidR="008233B3" w:rsidRPr="003A4C23" w:rsidRDefault="008233B3" w:rsidP="008233B3">
      <w:pPr>
        <w:ind w:left="720"/>
        <w:rPr>
          <w:lang w:val="pt-BR"/>
        </w:rPr>
      </w:pPr>
    </w:p>
    <w:p w:rsidR="008233B3" w:rsidRPr="003A4C23" w:rsidRDefault="008233B3" w:rsidP="008233B3">
      <w:pPr>
        <w:spacing w:after="60"/>
        <w:ind w:left="720"/>
        <w:rPr>
          <w:lang w:val="pt-BR"/>
        </w:rPr>
      </w:pPr>
      <w:r w:rsidRPr="003A4C23">
        <w:rPr>
          <w:rFonts w:eastAsia="Calibri" w:cs="Tahoma"/>
          <w:b/>
          <w:color w:val="000000"/>
          <w:szCs w:val="18"/>
          <w:lang w:val="pt-BR"/>
        </w:rPr>
        <w:t>Primeiro Prazo de Renovação</w:t>
      </w:r>
    </w:p>
    <w:p w:rsidR="008233B3" w:rsidRPr="003A4C23" w:rsidRDefault="008233B3" w:rsidP="008233B3">
      <w:pPr>
        <w:tabs>
          <w:tab w:val="left" w:pos="1800"/>
        </w:tabs>
        <w:spacing w:after="60"/>
        <w:ind w:left="720"/>
        <w:rPr>
          <w:lang w:val="pt-BR"/>
        </w:rPr>
      </w:pPr>
      <w:r w:rsidRPr="003A4C23">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rsidR="008233B3" w:rsidRPr="00653421" w:rsidRDefault="008233B3" w:rsidP="008233B3">
      <w:pPr>
        <w:numPr>
          <w:ilvl w:val="3"/>
          <w:numId w:val="112"/>
        </w:numPr>
        <w:tabs>
          <w:tab w:val="left" w:pos="2160"/>
        </w:tabs>
        <w:spacing w:after="60"/>
        <w:ind w:left="2160"/>
      </w:pPr>
      <w:r w:rsidRPr="00653421">
        <w:rPr>
          <w:rFonts w:eastAsia="Calibri" w:cs="Tahoma"/>
          <w:color w:val="000000"/>
          <w:szCs w:val="18"/>
        </w:rPr>
        <w:t>Quatro OU</w:t>
      </w:r>
    </w:p>
    <w:p w:rsidR="008233B3" w:rsidRPr="003A4C23" w:rsidRDefault="008233B3" w:rsidP="008233B3">
      <w:pPr>
        <w:numPr>
          <w:ilvl w:val="3"/>
          <w:numId w:val="112"/>
        </w:numPr>
        <w:tabs>
          <w:tab w:val="left" w:pos="2160"/>
        </w:tabs>
        <w:spacing w:after="60"/>
        <w:ind w:left="2160"/>
        <w:rPr>
          <w:lang w:val="pt-BR"/>
        </w:rPr>
      </w:pPr>
      <w:r w:rsidRPr="003A4C23">
        <w:rPr>
          <w:rFonts w:eastAsia="Calibri" w:cs="Tahoma"/>
          <w:color w:val="000000"/>
          <w:szCs w:val="18"/>
          <w:lang w:val="pt-BR"/>
        </w:rPr>
        <w:t>o número real de núcleos por processador físico multiplicado pelo fator do núcleo apropriado.</w:t>
      </w:r>
      <w:r w:rsidR="005A52A2" w:rsidRPr="003A4C23">
        <w:rPr>
          <w:rFonts w:eastAsia="Calibri" w:cs="Tahoma"/>
          <w:color w:val="000000"/>
          <w:szCs w:val="18"/>
          <w:lang w:val="pt-BR"/>
        </w:rPr>
        <w:t xml:space="preserve"> </w:t>
      </w:r>
      <w:r w:rsidRPr="003A4C23">
        <w:rPr>
          <w:rFonts w:eastAsia="Calibri" w:cs="Tahoma"/>
          <w:color w:val="000000"/>
          <w:szCs w:val="18"/>
          <w:lang w:val="pt-BR"/>
        </w:rPr>
        <w:t>(Nos casos em que o número real de núcleos por processador físico excede quatro, os clientes devem manter um registro da configuração do software BizTalk Server executando no servi</w:t>
      </w:r>
      <w:r w:rsidR="00392523" w:rsidRPr="003A4C23">
        <w:rPr>
          <w:rFonts w:eastAsia="Calibri" w:cs="Tahoma"/>
          <w:color w:val="000000"/>
          <w:szCs w:val="18"/>
          <w:lang w:val="pt-BR"/>
        </w:rPr>
        <w:t>dor</w:t>
      </w:r>
      <w:r w:rsidRPr="003A4C23">
        <w:rPr>
          <w:rFonts w:eastAsia="Calibri" w:cs="Tahoma"/>
          <w:color w:val="000000"/>
          <w:szCs w:val="18"/>
          <w:lang w:val="pt-BR"/>
        </w:rPr>
        <w:t xml:space="preserve"> </w:t>
      </w:r>
      <w:r w:rsidR="00392523" w:rsidRPr="003A4C23">
        <w:rPr>
          <w:rFonts w:eastAsia="Calibri" w:cs="Tahoma"/>
          <w:color w:val="000000"/>
          <w:szCs w:val="18"/>
          <w:lang w:val="pt-BR"/>
        </w:rPr>
        <w:t>(</w:t>
      </w:r>
      <w:r w:rsidRPr="003A4C23">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3A4C23" w:rsidRDefault="008233B3" w:rsidP="008233B3">
      <w:pPr>
        <w:tabs>
          <w:tab w:val="left" w:pos="1800"/>
        </w:tabs>
        <w:ind w:left="1080"/>
        <w:rPr>
          <w:lang w:val="pt-BR"/>
        </w:rPr>
      </w:pPr>
    </w:p>
    <w:p w:rsidR="008233B3" w:rsidRPr="003A4C23" w:rsidRDefault="008233B3" w:rsidP="008233B3">
      <w:pPr>
        <w:spacing w:after="60"/>
        <w:ind w:left="720"/>
        <w:rPr>
          <w:lang w:val="pt-BR"/>
        </w:rPr>
      </w:pPr>
      <w:r w:rsidRPr="003A4C23">
        <w:rPr>
          <w:rFonts w:eastAsia="Calibri" w:cs="Tahoma"/>
          <w:color w:val="000000"/>
          <w:szCs w:val="18"/>
          <w:lang w:val="pt-BR"/>
        </w:rPr>
        <w:t>As licenças do processador dos clientes não são mais válidas na aquisição do Software Assurance para as</w:t>
      </w:r>
      <w:r w:rsidR="00C57DD8" w:rsidRPr="003A4C23">
        <w:rPr>
          <w:rFonts w:eastAsia="Calibri" w:cs="Tahoma"/>
          <w:color w:val="000000"/>
          <w:szCs w:val="18"/>
          <w:lang w:val="pt-BR"/>
        </w:rPr>
        <w:t> </w:t>
      </w:r>
      <w:r w:rsidRPr="003A4C23">
        <w:rPr>
          <w:rFonts w:eastAsia="Calibri" w:cs="Tahoma"/>
          <w:color w:val="000000"/>
          <w:szCs w:val="18"/>
          <w:lang w:val="pt-BR"/>
        </w:rPr>
        <w:t xml:space="preserve">licenças principais sob esta oferta. </w:t>
      </w:r>
      <w:r w:rsidRPr="003A4C23">
        <w:rPr>
          <w:rFonts w:eastAsia="Calibri" w:cs="Tahoma"/>
          <w:szCs w:val="18"/>
          <w:lang w:val="pt-BR"/>
        </w:rPr>
        <w:t>A opção de adquirir o Software Assurance para licenças principais do</w:t>
      </w:r>
      <w:r w:rsidR="00C57DD8" w:rsidRPr="003A4C23">
        <w:rPr>
          <w:rFonts w:eastAsia="Calibri" w:cs="Tahoma"/>
          <w:szCs w:val="18"/>
          <w:lang w:val="pt-BR"/>
        </w:rPr>
        <w:t> </w:t>
      </w:r>
      <w:r w:rsidRPr="003A4C23">
        <w:rPr>
          <w:rFonts w:eastAsia="Calibri" w:cs="Tahoma"/>
          <w:szCs w:val="18"/>
          <w:lang w:val="pt-BR"/>
        </w:rPr>
        <w:t>BizTalk Server não é aplicável à renovação de cobertura sob os programas de assinatura.</w:t>
      </w:r>
      <w:r w:rsidR="005A52A2" w:rsidRPr="003A4C23">
        <w:rPr>
          <w:rFonts w:eastAsia="Calibri" w:cs="Tahoma"/>
          <w:szCs w:val="18"/>
          <w:lang w:val="pt-BR"/>
        </w:rPr>
        <w:t xml:space="preserve"> </w:t>
      </w:r>
    </w:p>
    <w:p w:rsidR="008233B3" w:rsidRPr="003A4C23" w:rsidRDefault="008233B3" w:rsidP="008233B3">
      <w:pPr>
        <w:ind w:left="1440"/>
        <w:rPr>
          <w:lang w:val="pt-BR"/>
        </w:rPr>
      </w:pPr>
    </w:p>
    <w:p w:rsidR="006659B5" w:rsidRPr="003A4C23" w:rsidRDefault="006659B5">
      <w:pPr>
        <w:rPr>
          <w:rFonts w:eastAsia="Calibri" w:cs="Tahoma"/>
          <w:b/>
          <w:color w:val="000000"/>
          <w:szCs w:val="18"/>
          <w:lang w:val="pt-BR"/>
        </w:rPr>
      </w:pPr>
      <w:r w:rsidRPr="003A4C23">
        <w:rPr>
          <w:rFonts w:eastAsia="Calibri" w:cs="Tahoma"/>
          <w:b/>
          <w:color w:val="000000"/>
          <w:szCs w:val="18"/>
          <w:lang w:val="pt-BR"/>
        </w:rPr>
        <w:br w:type="page"/>
      </w:r>
    </w:p>
    <w:p w:rsidR="008233B3" w:rsidRPr="003A4C23" w:rsidRDefault="008233B3" w:rsidP="008233B3">
      <w:pPr>
        <w:tabs>
          <w:tab w:val="left" w:pos="1440"/>
        </w:tabs>
        <w:spacing w:after="60"/>
        <w:ind w:left="720"/>
        <w:rPr>
          <w:lang w:val="pt-BR"/>
        </w:rPr>
      </w:pPr>
      <w:r w:rsidRPr="003A4C23">
        <w:rPr>
          <w:rFonts w:eastAsia="Calibri" w:cs="Tahoma"/>
          <w:b/>
          <w:color w:val="000000"/>
          <w:szCs w:val="18"/>
          <w:lang w:val="pt-BR"/>
        </w:rPr>
        <w:lastRenderedPageBreak/>
        <w:t>Para os clientes com cobertura de Software Assurance que optaram pela não renovação</w:t>
      </w:r>
    </w:p>
    <w:p w:rsidR="008233B3" w:rsidRPr="003A4C23" w:rsidRDefault="008233B3" w:rsidP="008233B3">
      <w:pPr>
        <w:tabs>
          <w:tab w:val="left" w:pos="1440"/>
        </w:tabs>
        <w:ind w:left="720"/>
        <w:rPr>
          <w:lang w:val="pt-BR"/>
        </w:rPr>
      </w:pPr>
      <w:r w:rsidRPr="003A4C23">
        <w:rPr>
          <w:lang w:val="pt-BR"/>
        </w:rPr>
        <w:t xml:space="preserve">Os clientes </w:t>
      </w:r>
      <w:r w:rsidRPr="003A4C23">
        <w:rPr>
          <w:rFonts w:eastAsia="Calibri" w:cs="Tahoma"/>
          <w:color w:val="000000"/>
          <w:szCs w:val="18"/>
          <w:lang w:val="pt-BR"/>
        </w:rPr>
        <w:t xml:space="preserve">Enterprise Subscription </w:t>
      </w:r>
      <w:r w:rsidRPr="003A4C23">
        <w:rPr>
          <w:rFonts w:cs="Tahoma"/>
          <w:bCs/>
          <w:color w:val="000000"/>
          <w:szCs w:val="18"/>
          <w:lang w:val="pt-BR"/>
        </w:rPr>
        <w:t xml:space="preserve">e Open Value Subscription </w:t>
      </w:r>
      <w:r w:rsidRPr="003A4C23">
        <w:rPr>
          <w:rFonts w:eastAsia="Calibri" w:cs="Tahoma"/>
          <w:color w:val="000000"/>
          <w:szCs w:val="18"/>
          <w:lang w:val="pt-BR"/>
        </w:rPr>
        <w:t>que optam por comprar licenças do processador e quaisquer outros clientes que adquirem licenças perpétuas sob seu contrato e optam por não renovar Software Assurance podem executar BizTalk Server 2010 ou BizTalk Server 2013 sob essas licenças da seguinte forma:</w:t>
      </w:r>
    </w:p>
    <w:p w:rsidR="008233B3" w:rsidRPr="003A4C23" w:rsidRDefault="008233B3" w:rsidP="008233B3">
      <w:pPr>
        <w:tabs>
          <w:tab w:val="left" w:pos="1440"/>
        </w:tabs>
        <w:ind w:left="720"/>
        <w:rPr>
          <w:lang w:val="pt-BR"/>
        </w:rPr>
      </w:pPr>
    </w:p>
    <w:p w:rsidR="008233B3" w:rsidRPr="003A4C23" w:rsidRDefault="008233B3" w:rsidP="008233B3">
      <w:pPr>
        <w:numPr>
          <w:ilvl w:val="0"/>
          <w:numId w:val="67"/>
        </w:numPr>
        <w:spacing w:after="60"/>
        <w:ind w:left="1440"/>
        <w:rPr>
          <w:lang w:val="pt-BR"/>
        </w:rPr>
      </w:pPr>
      <w:r w:rsidRPr="003A4C23">
        <w:rPr>
          <w:rFonts w:eastAsia="Calibri" w:cs="Tahoma"/>
          <w:b/>
          <w:color w:val="000000"/>
          <w:szCs w:val="18"/>
          <w:lang w:val="pt-BR"/>
        </w:rPr>
        <w:t>BizTalk Server 2010 Branch:</w:t>
      </w:r>
      <w:r w:rsidRPr="003A4C23">
        <w:rPr>
          <w:rFonts w:eastAsia="Calibri" w:cs="Tahoma"/>
          <w:color w:val="000000"/>
          <w:szCs w:val="18"/>
          <w:lang w:val="pt-BR"/>
        </w:rPr>
        <w:t xml:space="preserve"> O uso contínuo desta versão do software está sujeito aos direitos de uso do produto de licença do processador do BizTalk Server 2010 Branch; no entanto, os clientes não têm mais Mobilidade de Licenças por meio de Software Assurance.</w:t>
      </w:r>
    </w:p>
    <w:p w:rsidR="008233B3" w:rsidRPr="003A4C23" w:rsidRDefault="008233B3" w:rsidP="008233B3">
      <w:pPr>
        <w:numPr>
          <w:ilvl w:val="0"/>
          <w:numId w:val="67"/>
        </w:numPr>
        <w:tabs>
          <w:tab w:val="left" w:pos="1800"/>
        </w:tabs>
        <w:spacing w:after="60"/>
        <w:ind w:left="1440"/>
        <w:rPr>
          <w:lang w:val="pt-BR"/>
        </w:rPr>
      </w:pPr>
      <w:r w:rsidRPr="003A4C23">
        <w:rPr>
          <w:rFonts w:eastAsia="Calibri" w:cs="Tahoma"/>
          <w:b/>
          <w:color w:val="000000"/>
          <w:szCs w:val="18"/>
          <w:lang w:val="pt-BR"/>
        </w:rPr>
        <w:t xml:space="preserve">BizTalk Server 2013 Branch: </w:t>
      </w:r>
      <w:r w:rsidRPr="003A4C23">
        <w:rPr>
          <w:rFonts w:eastAsia="Calibri" w:cs="Tahoma"/>
          <w:color w:val="000000"/>
          <w:szCs w:val="18"/>
          <w:lang w:val="pt-BR"/>
        </w:rPr>
        <w:t xml:space="preserve">O uso desta versão do software está sujeito aos direitos de uso do produto de licença do processador do BizTalk Server 2010 Branch, no entanto: </w:t>
      </w:r>
    </w:p>
    <w:p w:rsidR="008233B3" w:rsidRPr="003A4C23" w:rsidRDefault="008233B3" w:rsidP="008233B3">
      <w:pPr>
        <w:numPr>
          <w:ilvl w:val="1"/>
          <w:numId w:val="67"/>
        </w:numPr>
        <w:tabs>
          <w:tab w:val="left" w:pos="2160"/>
        </w:tabs>
        <w:spacing w:after="60"/>
        <w:ind w:left="2160"/>
        <w:rPr>
          <w:lang w:val="pt-BR"/>
        </w:rPr>
      </w:pPr>
      <w:r w:rsidRPr="003A4C23">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3A4C23" w:rsidRDefault="008233B3" w:rsidP="008233B3">
      <w:pPr>
        <w:numPr>
          <w:ilvl w:val="1"/>
          <w:numId w:val="67"/>
        </w:numPr>
        <w:tabs>
          <w:tab w:val="left" w:pos="2160"/>
          <w:tab w:val="left" w:pos="2970"/>
        </w:tabs>
        <w:spacing w:after="60"/>
        <w:ind w:left="2160"/>
        <w:rPr>
          <w:lang w:val="pt-BR"/>
        </w:rPr>
      </w:pPr>
      <w:r w:rsidRPr="003A4C23">
        <w:rPr>
          <w:rFonts w:eastAsia="Calibri" w:cs="Tahoma"/>
          <w:color w:val="000000"/>
          <w:szCs w:val="18"/>
          <w:lang w:val="pt-BR"/>
        </w:rPr>
        <w:t>quaisquer reatribuição de licenças está sujeita a limitações abaixo relacionada a sua “equivalência de licença principal”. A equivalência de licença principal é determinada da</w:t>
      </w:r>
      <w:r w:rsidR="00392523" w:rsidRPr="003A4C23">
        <w:rPr>
          <w:rFonts w:eastAsia="Calibri" w:cs="Tahoma"/>
          <w:color w:val="000000"/>
          <w:szCs w:val="18"/>
          <w:lang w:val="pt-BR"/>
        </w:rPr>
        <w:t> </w:t>
      </w:r>
      <w:r w:rsidRPr="003A4C23">
        <w:rPr>
          <w:rFonts w:eastAsia="Calibri" w:cs="Tahoma"/>
          <w:color w:val="000000"/>
          <w:szCs w:val="18"/>
          <w:lang w:val="pt-BR"/>
        </w:rPr>
        <w:t xml:space="preserve">seguinte forma: </w:t>
      </w:r>
    </w:p>
    <w:p w:rsidR="008233B3" w:rsidRPr="003A4C23" w:rsidRDefault="008233B3" w:rsidP="008233B3">
      <w:pPr>
        <w:numPr>
          <w:ilvl w:val="2"/>
          <w:numId w:val="67"/>
        </w:numPr>
        <w:tabs>
          <w:tab w:val="left" w:pos="2520"/>
        </w:tabs>
        <w:spacing w:after="60"/>
        <w:ind w:left="2520"/>
        <w:rPr>
          <w:lang w:val="pt-BR"/>
        </w:rPr>
      </w:pPr>
      <w:r w:rsidRPr="003A4C23">
        <w:rPr>
          <w:rFonts w:eastAsia="Calibri" w:cs="Tahoma"/>
          <w:color w:val="000000"/>
          <w:szCs w:val="18"/>
          <w:lang w:val="pt-BR"/>
        </w:rPr>
        <w:t xml:space="preserve">Para cada licença qualificada atribuída ao servidor, a equivalência de licença principal é maior do que: </w:t>
      </w:r>
    </w:p>
    <w:p w:rsidR="008233B3" w:rsidRPr="003A4C23" w:rsidRDefault="008233B3" w:rsidP="008233B3">
      <w:pPr>
        <w:numPr>
          <w:ilvl w:val="4"/>
          <w:numId w:val="155"/>
        </w:numPr>
        <w:tabs>
          <w:tab w:val="left" w:pos="2880"/>
        </w:tabs>
        <w:spacing w:after="60"/>
        <w:ind w:left="2880"/>
        <w:rPr>
          <w:lang w:val="pt-BR"/>
        </w:rPr>
      </w:pPr>
      <w:r w:rsidRPr="003A4C23">
        <w:rPr>
          <w:rFonts w:eastAsia="Calibri" w:cs="Tahoma"/>
          <w:color w:val="000000"/>
          <w:szCs w:val="18"/>
          <w:lang w:val="pt-BR"/>
        </w:rPr>
        <w:t xml:space="preserve">quatro núcleos por licença de processador OU </w:t>
      </w:r>
    </w:p>
    <w:p w:rsidR="008233B3" w:rsidRPr="003A4C23" w:rsidRDefault="008233B3" w:rsidP="008233B3">
      <w:pPr>
        <w:numPr>
          <w:ilvl w:val="4"/>
          <w:numId w:val="155"/>
        </w:numPr>
        <w:tabs>
          <w:tab w:val="left" w:pos="2880"/>
        </w:tabs>
        <w:spacing w:after="60"/>
        <w:ind w:left="2880"/>
        <w:rPr>
          <w:lang w:val="pt-BR"/>
        </w:rPr>
      </w:pPr>
      <w:r w:rsidRPr="003A4C23">
        <w:rPr>
          <w:rFonts w:eastAsia="Calibri" w:cs="Tahoma"/>
          <w:color w:val="000000"/>
          <w:szCs w:val="18"/>
          <w:lang w:val="pt-BR"/>
        </w:rPr>
        <w:t>um número de núcleos por licença do processador com base no número real de</w:t>
      </w:r>
      <w:r w:rsidR="00C57DD8" w:rsidRPr="003A4C23">
        <w:rPr>
          <w:rFonts w:eastAsia="Calibri" w:cs="Tahoma"/>
          <w:color w:val="000000"/>
          <w:szCs w:val="18"/>
          <w:lang w:val="pt-BR"/>
        </w:rPr>
        <w:t> </w:t>
      </w:r>
      <w:r w:rsidRPr="003A4C23">
        <w:rPr>
          <w:rFonts w:eastAsia="Calibri" w:cs="Tahoma"/>
          <w:color w:val="000000"/>
          <w:szCs w:val="18"/>
          <w:lang w:val="pt-BR"/>
        </w:rPr>
        <w:t>núcleos por processador físico multiplicado pelo fator de núcleo apropriado. (Nos casos em que o número real de núcleos por processador físico excede quatro, os clientes devem manter um registro da configuração do software BizTal</w:t>
      </w:r>
      <w:r w:rsidR="00392523" w:rsidRPr="003A4C23">
        <w:rPr>
          <w:rFonts w:eastAsia="Calibri" w:cs="Tahoma"/>
          <w:color w:val="000000"/>
          <w:szCs w:val="18"/>
          <w:lang w:val="pt-BR"/>
        </w:rPr>
        <w:t>k Server executando no servidor</w:t>
      </w:r>
      <w:r w:rsidRPr="003A4C23">
        <w:rPr>
          <w:rFonts w:eastAsia="Calibri" w:cs="Tahoma"/>
          <w:color w:val="000000"/>
          <w:szCs w:val="18"/>
          <w:lang w:val="pt-BR"/>
        </w:rPr>
        <w:t xml:space="preserve"> </w:t>
      </w:r>
      <w:r w:rsidR="00392523" w:rsidRPr="003A4C23">
        <w:rPr>
          <w:rFonts w:eastAsia="Calibri" w:cs="Tahoma"/>
          <w:color w:val="000000"/>
          <w:szCs w:val="18"/>
          <w:lang w:val="pt-BR"/>
        </w:rPr>
        <w:t>(</w:t>
      </w:r>
      <w:r w:rsidRPr="003A4C23">
        <w:rPr>
          <w:rFonts w:eastAsia="Calibri" w:cs="Tahoma"/>
          <w:color w:val="000000"/>
          <w:szCs w:val="18"/>
          <w:lang w:val="pt-BR"/>
        </w:rPr>
        <w:t>instâncias licenciadas executando em ambientes do sistema operacional no servidor licenciado) e o hardware físico oferecendo suporte ao software que está antecedendo a expiração do Software</w:t>
      </w:r>
      <w:r w:rsidR="00C57DD8" w:rsidRPr="003A4C23">
        <w:rPr>
          <w:rFonts w:eastAsia="Calibri" w:cs="Tahoma"/>
          <w:color w:val="000000"/>
          <w:szCs w:val="18"/>
          <w:lang w:val="pt-BR"/>
        </w:rPr>
        <w:t> </w:t>
      </w:r>
      <w:r w:rsidRPr="003A4C23">
        <w:rPr>
          <w:rFonts w:eastAsia="Calibri" w:cs="Tahoma"/>
          <w:color w:val="000000"/>
          <w:szCs w:val="18"/>
          <w:lang w:val="pt-BR"/>
        </w:rPr>
        <w:t xml:space="preserve">Assurance usando a ferramenta Microsoft MAP ou qualquer software equivalente.) </w:t>
      </w:r>
    </w:p>
    <w:p w:rsidR="008233B3" w:rsidRPr="003A4C23" w:rsidRDefault="008233B3" w:rsidP="008233B3">
      <w:pPr>
        <w:numPr>
          <w:ilvl w:val="1"/>
          <w:numId w:val="157"/>
        </w:numPr>
        <w:tabs>
          <w:tab w:val="left" w:pos="1800"/>
        </w:tabs>
        <w:spacing w:after="60"/>
        <w:rPr>
          <w:lang w:val="pt-BR"/>
        </w:rPr>
      </w:pPr>
      <w:r w:rsidRPr="003A4C23">
        <w:rPr>
          <w:rFonts w:eastAsia="Calibri" w:cs="Tahoma"/>
          <w:color w:val="000000"/>
          <w:szCs w:val="18"/>
          <w:lang w:val="pt-BR"/>
        </w:rPr>
        <w:t xml:space="preserve">Os Clientes </w:t>
      </w:r>
      <w:r w:rsidRPr="003A4C23">
        <w:rPr>
          <w:rFonts w:eastAsia="Calibri" w:cs="Tahoma"/>
          <w:szCs w:val="18"/>
          <w:lang w:val="pt-BR"/>
        </w:rPr>
        <w:t>poderão transferir as Licenças para outro servidor. No entanto, se o cliente transferir uma licença para outro servidor, o cliente terá que seguir os direitos de uso do BizTalk Server 2013. Ao transferir licenças principais para servidores sob os direitos de uso do BizTalk 2013, o</w:t>
      </w:r>
      <w:r w:rsidR="00C57DD8" w:rsidRPr="003A4C23">
        <w:rPr>
          <w:rFonts w:eastAsia="Calibri" w:cs="Tahoma"/>
          <w:szCs w:val="18"/>
          <w:lang w:val="pt-BR"/>
        </w:rPr>
        <w:t> </w:t>
      </w:r>
      <w:r w:rsidRPr="003A4C23">
        <w:rPr>
          <w:rFonts w:eastAsia="Calibri" w:cs="Tahoma"/>
          <w:szCs w:val="18"/>
          <w:lang w:val="pt-BR"/>
        </w:rPr>
        <w:t>cliente poderá combinar a equivalência de núcleo de suas licenças existentes com as licenças principais do BizTalk Server 2013 adicionais.</w:t>
      </w:r>
    </w:p>
    <w:p w:rsidR="008233B3" w:rsidRPr="003A4C23" w:rsidRDefault="008233B3" w:rsidP="008233B3">
      <w:pPr>
        <w:numPr>
          <w:ilvl w:val="1"/>
          <w:numId w:val="157"/>
        </w:numPr>
        <w:tabs>
          <w:tab w:val="left" w:pos="1800"/>
          <w:tab w:val="left" w:pos="2970"/>
        </w:tabs>
        <w:spacing w:after="60"/>
        <w:rPr>
          <w:lang w:val="pt-BR"/>
        </w:rPr>
      </w:pPr>
      <w:r w:rsidRPr="003A4C23">
        <w:rPr>
          <w:rFonts w:eastAsia="Calibri" w:cs="Tahoma"/>
          <w:color w:val="000000"/>
          <w:szCs w:val="18"/>
          <w:lang w:val="pt-BR"/>
        </w:rPr>
        <w:t>A equivalência de licença principal dos clientes não implica que eles podem atribuir uma única licença de processador a núcleos por dois ou mais processadores.</w:t>
      </w:r>
    </w:p>
    <w:p w:rsidR="008233B3" w:rsidRPr="003A4C23" w:rsidRDefault="008233B3" w:rsidP="008233B3">
      <w:pPr>
        <w:ind w:left="1440"/>
        <w:rPr>
          <w:lang w:val="pt-BR"/>
        </w:rPr>
      </w:pPr>
    </w:p>
    <w:p w:rsidR="008233B3" w:rsidRPr="003A4C23" w:rsidRDefault="008233B3" w:rsidP="008233B3">
      <w:pPr>
        <w:tabs>
          <w:tab w:val="left" w:pos="720"/>
        </w:tabs>
        <w:spacing w:after="60"/>
        <w:ind w:left="720"/>
        <w:rPr>
          <w:lang w:val="pt-BR"/>
        </w:rPr>
      </w:pPr>
      <w:r w:rsidRPr="003A4C23">
        <w:rPr>
          <w:b/>
          <w:lang w:val="pt-BR"/>
        </w:rPr>
        <w:t>Para os clientes localizados na República Popular da</w:t>
      </w:r>
      <w:r w:rsidRPr="003A4C23">
        <w:rPr>
          <w:lang w:val="pt-BR"/>
        </w:rPr>
        <w:t xml:space="preserve"> </w:t>
      </w:r>
      <w:r w:rsidRPr="003A4C23">
        <w:rPr>
          <w:b/>
          <w:lang w:val="pt-BR"/>
        </w:rPr>
        <w:t>China e para os que estão adquirindo licenças de processador e Software Assurance para BizTalk Server 2010</w:t>
      </w:r>
    </w:p>
    <w:p w:rsidR="008233B3" w:rsidRPr="003A4C23" w:rsidRDefault="008233B3" w:rsidP="008233B3">
      <w:pPr>
        <w:tabs>
          <w:tab w:val="left" w:pos="720"/>
        </w:tabs>
        <w:ind w:left="720"/>
        <w:rPr>
          <w:lang w:val="pt-BR"/>
        </w:rPr>
      </w:pPr>
      <w:r w:rsidRPr="003A4C23">
        <w:rPr>
          <w:lang w:val="pt-BR"/>
        </w:rPr>
        <w:t>A referência a 1</w:t>
      </w:r>
      <w:r w:rsidRPr="003A4C23">
        <w:rPr>
          <w:vertAlign w:val="superscript"/>
          <w:lang w:val="pt-BR"/>
        </w:rPr>
        <w:t>º</w:t>
      </w:r>
      <w:r w:rsidRPr="003A4C23">
        <w:rPr>
          <w:lang w:val="pt-BR"/>
        </w:rPr>
        <w:t xml:space="preserve"> de abril de 2013 nesta nota da lista de produtos não é aplicável. A data aplicável para esses clientes é 1</w:t>
      </w:r>
      <w:r w:rsidRPr="003A4C23">
        <w:rPr>
          <w:vertAlign w:val="superscript"/>
          <w:lang w:val="pt-BR"/>
        </w:rPr>
        <w:t>º</w:t>
      </w:r>
      <w:r w:rsidRPr="003A4C23">
        <w:rPr>
          <w:lang w:val="pt-BR"/>
        </w:rPr>
        <w:t xml:space="preserve"> de maio de 2013.</w:t>
      </w:r>
    </w:p>
    <w:p w:rsidR="008233B3" w:rsidRPr="003A4C23" w:rsidRDefault="008233B3" w:rsidP="008233B3">
      <w:pPr>
        <w:rPr>
          <w:lang w:val="pt-BR"/>
        </w:rPr>
      </w:pPr>
    </w:p>
    <w:p w:rsidR="00ED5B61" w:rsidRPr="003A4C23" w:rsidRDefault="00ED5B61" w:rsidP="008233B3">
      <w:pPr>
        <w:rPr>
          <w:lang w:val="pt-BR"/>
        </w:rPr>
      </w:pPr>
    </w:p>
    <w:p w:rsidR="008233B3" w:rsidRPr="003A4C23" w:rsidRDefault="004668D9" w:rsidP="008233B3">
      <w:pPr>
        <w:pStyle w:val="Heading3"/>
        <w:rPr>
          <w:lang w:val="pt-BR"/>
        </w:rPr>
      </w:pPr>
      <w:bookmarkStart w:id="1175" w:name="_33_BizTalk_Server®"/>
      <w:bookmarkStart w:id="1176" w:name="_Toc353470939"/>
      <w:bookmarkStart w:id="1177" w:name="_Toc343596567"/>
      <w:bookmarkEnd w:id="1175"/>
      <w:r w:rsidRPr="003A4C23">
        <w:rPr>
          <w:rFonts w:ascii="Tahoma" w:hAnsi="Tahoma"/>
          <w:caps/>
          <w:color w:val="F66400"/>
          <w:sz w:val="22"/>
          <w:vertAlign w:val="superscript"/>
          <w:lang w:val="pt-BR"/>
        </w:rPr>
        <w:t>33</w:t>
      </w:r>
      <w:r w:rsidRPr="003A4C23">
        <w:rPr>
          <w:rFonts w:ascii="Tahoma" w:hAnsi="Tahoma"/>
          <w:caps/>
          <w:color w:val="F66400"/>
          <w:sz w:val="22"/>
          <w:lang w:val="pt-BR"/>
        </w:rPr>
        <w:t xml:space="preserve"> </w:t>
      </w:r>
      <w:r w:rsidRPr="003A4C23">
        <w:rPr>
          <w:rFonts w:ascii="Tahoma" w:hAnsi="Tahoma"/>
          <w:color w:val="F66400"/>
          <w:sz w:val="22"/>
          <w:lang w:val="pt-BR"/>
        </w:rPr>
        <w:t>BizTalk Server</w:t>
      </w:r>
      <w:r w:rsidRPr="003A4C23">
        <w:rPr>
          <w:rFonts w:ascii="Tahoma" w:hAnsi="Tahoma"/>
          <w:color w:val="F66400"/>
          <w:sz w:val="22"/>
          <w:vertAlign w:val="superscript"/>
          <w:lang w:val="pt-BR"/>
        </w:rPr>
        <w:t>®</w:t>
      </w:r>
      <w:r w:rsidRPr="003A4C23">
        <w:rPr>
          <w:rFonts w:ascii="Tahoma" w:hAnsi="Tahoma"/>
          <w:color w:val="F66400"/>
          <w:sz w:val="22"/>
          <w:lang w:val="pt-BR"/>
        </w:rPr>
        <w:t xml:space="preserve"> 2013 Enterprise</w:t>
      </w:r>
      <w:bookmarkEnd w:id="1176"/>
      <w:r w:rsidRPr="003A4C23">
        <w:rPr>
          <w:rFonts w:ascii="Tahoma" w:hAnsi="Tahoma"/>
          <w:color w:val="F66400"/>
          <w:sz w:val="22"/>
          <w:lang w:val="pt-BR"/>
        </w:rPr>
        <w:t xml:space="preserve"> </w:t>
      </w:r>
      <w:bookmarkEnd w:id="1177"/>
    </w:p>
    <w:p w:rsidR="008233B3" w:rsidRPr="003A4C23" w:rsidRDefault="008233B3" w:rsidP="008233B3">
      <w:pPr>
        <w:ind w:left="720"/>
        <w:rPr>
          <w:lang w:val="pt-BR"/>
        </w:rPr>
      </w:pPr>
    </w:p>
    <w:p w:rsidR="008233B3" w:rsidRPr="003A4C23" w:rsidRDefault="008233B3" w:rsidP="008233B3">
      <w:pPr>
        <w:spacing w:after="60"/>
        <w:ind w:left="720"/>
        <w:rPr>
          <w:lang w:val="pt-BR"/>
        </w:rPr>
      </w:pPr>
      <w:r w:rsidRPr="003A4C23">
        <w:rPr>
          <w:rFonts w:eastAsia="Calibri" w:cs="Tahoma"/>
          <w:b/>
          <w:color w:val="000000"/>
          <w:szCs w:val="18"/>
          <w:lang w:val="pt-BR"/>
        </w:rPr>
        <w:t>Outorgas de Licença Associadas à Alteração no Modelo de Licenciamento</w:t>
      </w:r>
    </w:p>
    <w:p w:rsidR="008233B3" w:rsidRPr="003A4C23" w:rsidRDefault="008233B3" w:rsidP="008233B3">
      <w:pPr>
        <w:ind w:left="720"/>
        <w:rPr>
          <w:lang w:val="pt-BR"/>
        </w:rPr>
      </w:pPr>
      <w:r w:rsidRPr="003A4C23">
        <w:rPr>
          <w:rFonts w:eastAsia="Calibri" w:cs="Tahoma"/>
          <w:color w:val="000000"/>
          <w:szCs w:val="18"/>
          <w:lang w:val="pt-BR"/>
        </w:rPr>
        <w:t>O BizTalk Server 2010 será a última versão do BizTalk Server licenciada sob o modelo de licenciamento por</w:t>
      </w:r>
      <w:r w:rsidR="00392523" w:rsidRPr="003A4C23">
        <w:rPr>
          <w:rFonts w:eastAsia="Calibri" w:cs="Tahoma"/>
          <w:color w:val="000000"/>
          <w:szCs w:val="18"/>
          <w:lang w:val="pt-BR"/>
        </w:rPr>
        <w:t> </w:t>
      </w:r>
      <w:r w:rsidRPr="003A4C23">
        <w:rPr>
          <w:rFonts w:eastAsia="Calibri" w:cs="Tahoma"/>
          <w:color w:val="000000"/>
          <w:szCs w:val="18"/>
          <w:lang w:val="pt-BR"/>
        </w:rPr>
        <w:t>processador.</w:t>
      </w:r>
      <w:r w:rsidR="005A52A2" w:rsidRPr="003A4C23">
        <w:rPr>
          <w:rFonts w:eastAsia="Calibri" w:cs="Tahoma"/>
          <w:color w:val="000000"/>
          <w:szCs w:val="18"/>
          <w:lang w:val="pt-BR"/>
        </w:rPr>
        <w:t xml:space="preserve"> </w:t>
      </w:r>
      <w:r w:rsidRPr="003A4C23">
        <w:rPr>
          <w:rFonts w:eastAsia="Calibri" w:cs="Tahoma"/>
          <w:color w:val="000000"/>
          <w:szCs w:val="18"/>
          <w:lang w:val="pt-BR"/>
        </w:rPr>
        <w:t xml:space="preserve">Como uma exceção, aos clientes de licenciamento por volume com Software Assurance ativo para licenças do processador do BizTalk Server 2010 Enterprise em 1º de abril de 2013 (“licenças qualificadas”) são concedidas as seguintes opções. As licenças do processador do BizTalk Server 2010 Enterprise </w:t>
      </w:r>
      <w:r w:rsidRPr="003A4C23">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fins dessas opções.</w:t>
      </w:r>
      <w:r w:rsidR="005A52A2" w:rsidRPr="003A4C23">
        <w:rPr>
          <w:rFonts w:cs="Tahoma"/>
          <w:bCs/>
          <w:color w:val="000000"/>
          <w:szCs w:val="18"/>
          <w:lang w:val="pt-BR"/>
        </w:rPr>
        <w:t xml:space="preserve"> </w:t>
      </w:r>
      <w:r w:rsidRPr="003A4C23">
        <w:rPr>
          <w:rFonts w:cs="Tahoma"/>
          <w:bCs/>
          <w:color w:val="000000"/>
          <w:szCs w:val="18"/>
          <w:lang w:val="pt-BR"/>
        </w:rPr>
        <w:t>As licenças adquiridas sob um prazo de registro subsequente, um contrato separado ou qualquer registro com uma data de início de vigência após 1º de abril de 2013 não são licenças qualificadas.</w:t>
      </w:r>
    </w:p>
    <w:p w:rsidR="00C57DD8" w:rsidRPr="003A4C23" w:rsidRDefault="00C57DD8" w:rsidP="008233B3">
      <w:pPr>
        <w:ind w:left="720"/>
        <w:rPr>
          <w:lang w:val="pt-BR"/>
        </w:rPr>
      </w:pPr>
    </w:p>
    <w:p w:rsidR="008233B3" w:rsidRPr="003A4C23" w:rsidRDefault="008233B3" w:rsidP="008233B3">
      <w:pPr>
        <w:spacing w:after="60"/>
        <w:ind w:left="720"/>
        <w:rPr>
          <w:lang w:val="pt-BR"/>
        </w:rPr>
      </w:pPr>
      <w:r w:rsidRPr="003A4C23">
        <w:rPr>
          <w:rFonts w:eastAsia="Calibri" w:cs="Tahoma"/>
          <w:b/>
          <w:color w:val="000000"/>
          <w:szCs w:val="18"/>
          <w:lang w:val="pt-BR"/>
        </w:rPr>
        <w:lastRenderedPageBreak/>
        <w:t>Prazo Atual</w:t>
      </w:r>
    </w:p>
    <w:p w:rsidR="008233B3" w:rsidRPr="003A4C23" w:rsidRDefault="008233B3" w:rsidP="008233B3">
      <w:pPr>
        <w:ind w:left="720"/>
        <w:rPr>
          <w:lang w:val="pt-BR"/>
        </w:rPr>
      </w:pPr>
      <w:r w:rsidRPr="003A4C23">
        <w:rPr>
          <w:rFonts w:eastAsia="Calibri" w:cs="Tahoma"/>
          <w:color w:val="000000"/>
          <w:szCs w:val="18"/>
          <w:lang w:val="pt-BR"/>
        </w:rPr>
        <w:t xml:space="preserve">Durante o prazo atual da sua cobertura de Software Assurance a partir de 1º de abril de 2013, os clientes (incluindo aqueles sob contratos de assinatura) podem, sob qualquer licença qualificada, atualizar e usar o BizTalk Server 2013 Enterprise em vez do BizTalk Server 2010 Enterprise sujeito aos direitos de uso do produto de licença do processador do BizTalk Server 2010 Enterprise (conforme os Direitos de Uso do Produto de janeiro de 2013). </w:t>
      </w:r>
    </w:p>
    <w:p w:rsidR="008233B3" w:rsidRPr="003A4C23" w:rsidRDefault="008233B3" w:rsidP="008233B3">
      <w:pPr>
        <w:ind w:left="720"/>
        <w:rPr>
          <w:lang w:val="pt-BR"/>
        </w:rPr>
      </w:pPr>
    </w:p>
    <w:p w:rsidR="008233B3" w:rsidRPr="003A4C23" w:rsidRDefault="008233B3" w:rsidP="008233B3">
      <w:pPr>
        <w:spacing w:after="60"/>
        <w:ind w:left="720"/>
        <w:rPr>
          <w:lang w:val="pt-BR"/>
        </w:rPr>
      </w:pPr>
      <w:r w:rsidRPr="003A4C23">
        <w:rPr>
          <w:rFonts w:eastAsia="Calibri" w:cs="Tahoma"/>
          <w:b/>
          <w:color w:val="000000"/>
          <w:szCs w:val="18"/>
          <w:lang w:val="pt-BR"/>
        </w:rPr>
        <w:t>Primeiro Prazo de Renovação</w:t>
      </w:r>
    </w:p>
    <w:p w:rsidR="008233B3" w:rsidRPr="003A4C23" w:rsidRDefault="008233B3" w:rsidP="008233B3">
      <w:pPr>
        <w:tabs>
          <w:tab w:val="left" w:pos="1800"/>
        </w:tabs>
        <w:spacing w:after="60"/>
        <w:ind w:left="720"/>
        <w:rPr>
          <w:lang w:val="pt-BR"/>
        </w:rPr>
      </w:pPr>
      <w:r w:rsidRPr="003A4C23">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rsidR="008233B3" w:rsidRPr="00653421" w:rsidRDefault="008233B3" w:rsidP="008233B3">
      <w:pPr>
        <w:numPr>
          <w:ilvl w:val="3"/>
          <w:numId w:val="112"/>
        </w:numPr>
        <w:tabs>
          <w:tab w:val="left" w:pos="2160"/>
        </w:tabs>
        <w:spacing w:after="60"/>
        <w:ind w:left="2160"/>
      </w:pPr>
      <w:r w:rsidRPr="00653421">
        <w:rPr>
          <w:rFonts w:eastAsia="Calibri" w:cs="Tahoma"/>
          <w:color w:val="000000"/>
          <w:szCs w:val="18"/>
        </w:rPr>
        <w:t>Quatro OU</w:t>
      </w:r>
    </w:p>
    <w:p w:rsidR="008233B3" w:rsidRPr="003A4C23" w:rsidRDefault="008233B3" w:rsidP="008233B3">
      <w:pPr>
        <w:numPr>
          <w:ilvl w:val="3"/>
          <w:numId w:val="112"/>
        </w:numPr>
        <w:tabs>
          <w:tab w:val="left" w:pos="2160"/>
        </w:tabs>
        <w:spacing w:after="60"/>
        <w:ind w:left="2160"/>
        <w:rPr>
          <w:lang w:val="pt-BR"/>
        </w:rPr>
      </w:pPr>
      <w:r w:rsidRPr="003A4C23">
        <w:rPr>
          <w:rFonts w:eastAsia="Calibri" w:cs="Tahoma"/>
          <w:color w:val="000000"/>
          <w:szCs w:val="18"/>
          <w:lang w:val="pt-BR"/>
        </w:rPr>
        <w:t>o número real de núcleos por processador físico multiplicado pelo fator do núcleo apropriado.</w:t>
      </w:r>
      <w:r w:rsidR="005A52A2" w:rsidRPr="003A4C23">
        <w:rPr>
          <w:rFonts w:eastAsia="Calibri" w:cs="Tahoma"/>
          <w:color w:val="000000"/>
          <w:szCs w:val="18"/>
          <w:lang w:val="pt-BR"/>
        </w:rPr>
        <w:t xml:space="preserve"> </w:t>
      </w:r>
      <w:r w:rsidRPr="003A4C23">
        <w:rPr>
          <w:rFonts w:eastAsia="Calibri" w:cs="Tahoma"/>
          <w:color w:val="000000"/>
          <w:szCs w:val="18"/>
          <w:lang w:val="pt-BR"/>
        </w:rPr>
        <w:t>(Nos casos em que o número real de núcleos por processador físico excede quatro, os clientes devem manter um registro da configuração do software BizTal</w:t>
      </w:r>
      <w:r w:rsidR="00392523" w:rsidRPr="003A4C23">
        <w:rPr>
          <w:rFonts w:eastAsia="Calibri" w:cs="Tahoma"/>
          <w:color w:val="000000"/>
          <w:szCs w:val="18"/>
          <w:lang w:val="pt-BR"/>
        </w:rPr>
        <w:t>k Server executando no servidor</w:t>
      </w:r>
      <w:r w:rsidRPr="003A4C23">
        <w:rPr>
          <w:rFonts w:eastAsia="Calibri" w:cs="Tahoma"/>
          <w:color w:val="000000"/>
          <w:szCs w:val="18"/>
          <w:lang w:val="pt-BR"/>
        </w:rPr>
        <w:t xml:space="preserve"> </w:t>
      </w:r>
      <w:r w:rsidR="00392523" w:rsidRPr="003A4C23">
        <w:rPr>
          <w:rFonts w:eastAsia="Calibri" w:cs="Tahoma"/>
          <w:color w:val="000000"/>
          <w:szCs w:val="18"/>
          <w:lang w:val="pt-BR"/>
        </w:rPr>
        <w:t>(</w:t>
      </w:r>
      <w:r w:rsidRPr="003A4C23">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3A4C23" w:rsidRDefault="008233B3" w:rsidP="008233B3">
      <w:pPr>
        <w:tabs>
          <w:tab w:val="left" w:pos="1800"/>
        </w:tabs>
        <w:ind w:left="1080"/>
        <w:rPr>
          <w:lang w:val="pt-BR"/>
        </w:rPr>
      </w:pPr>
    </w:p>
    <w:p w:rsidR="008233B3" w:rsidRPr="003A4C23" w:rsidRDefault="008233B3" w:rsidP="008233B3">
      <w:pPr>
        <w:spacing w:after="60"/>
        <w:ind w:left="720"/>
        <w:rPr>
          <w:lang w:val="pt-BR"/>
        </w:rPr>
      </w:pPr>
      <w:r w:rsidRPr="003A4C23">
        <w:rPr>
          <w:rFonts w:eastAsia="Calibri" w:cs="Tahoma"/>
          <w:color w:val="000000"/>
          <w:szCs w:val="18"/>
          <w:lang w:val="pt-BR"/>
        </w:rPr>
        <w:t xml:space="preserve">As licenças do processador dos clientes não são mais válidas na aquisição do Software Assurance para as licenças principais sob esta oferta. </w:t>
      </w:r>
      <w:r w:rsidRPr="003A4C23">
        <w:rPr>
          <w:rFonts w:eastAsia="Calibri" w:cs="Tahoma"/>
          <w:szCs w:val="18"/>
          <w:lang w:val="pt-BR"/>
        </w:rPr>
        <w:t>A opção de adquirir o Software Assurance para licenças principais do BizTalk Server não é aplicável à renovação de cobertura sob os programas de assinatura.</w:t>
      </w:r>
      <w:r w:rsidR="005A52A2" w:rsidRPr="003A4C23">
        <w:rPr>
          <w:rFonts w:eastAsia="Calibri" w:cs="Tahoma"/>
          <w:szCs w:val="18"/>
          <w:lang w:val="pt-BR"/>
        </w:rPr>
        <w:t xml:space="preserve"> </w:t>
      </w:r>
    </w:p>
    <w:p w:rsidR="008233B3" w:rsidRPr="003A4C23" w:rsidRDefault="008233B3" w:rsidP="008233B3">
      <w:pPr>
        <w:ind w:left="1440"/>
        <w:rPr>
          <w:lang w:val="pt-BR"/>
        </w:rPr>
      </w:pPr>
    </w:p>
    <w:p w:rsidR="008233B3" w:rsidRPr="003A4C23" w:rsidRDefault="008233B3" w:rsidP="008233B3">
      <w:pPr>
        <w:tabs>
          <w:tab w:val="left" w:pos="1440"/>
        </w:tabs>
        <w:spacing w:after="60"/>
        <w:ind w:left="720"/>
        <w:rPr>
          <w:lang w:val="pt-BR"/>
        </w:rPr>
      </w:pPr>
      <w:r w:rsidRPr="003A4C23">
        <w:rPr>
          <w:rFonts w:eastAsia="Calibri" w:cs="Tahoma"/>
          <w:b/>
          <w:color w:val="000000"/>
          <w:szCs w:val="18"/>
          <w:lang w:val="pt-BR"/>
        </w:rPr>
        <w:t>Para os clientes com cobertura de Software Assurance que optaram pela não renovação</w:t>
      </w:r>
    </w:p>
    <w:p w:rsidR="008233B3" w:rsidRPr="003A4C23" w:rsidRDefault="008233B3" w:rsidP="008233B3">
      <w:pPr>
        <w:tabs>
          <w:tab w:val="left" w:pos="1440"/>
        </w:tabs>
        <w:ind w:left="720"/>
        <w:rPr>
          <w:lang w:val="pt-BR"/>
        </w:rPr>
      </w:pPr>
      <w:r w:rsidRPr="003A4C23">
        <w:rPr>
          <w:lang w:val="pt-BR"/>
        </w:rPr>
        <w:t xml:space="preserve">Os clientes </w:t>
      </w:r>
      <w:r w:rsidRPr="003A4C23">
        <w:rPr>
          <w:rFonts w:eastAsia="Calibri" w:cs="Tahoma"/>
          <w:color w:val="000000"/>
          <w:szCs w:val="18"/>
          <w:lang w:val="pt-BR"/>
        </w:rPr>
        <w:t xml:space="preserve">Enterprise Subscription </w:t>
      </w:r>
      <w:r w:rsidRPr="003A4C23">
        <w:rPr>
          <w:rFonts w:cs="Tahoma"/>
          <w:bCs/>
          <w:color w:val="000000"/>
          <w:szCs w:val="18"/>
          <w:lang w:val="pt-BR"/>
        </w:rPr>
        <w:t xml:space="preserve">e Open Value Subscription </w:t>
      </w:r>
      <w:r w:rsidRPr="003A4C23">
        <w:rPr>
          <w:rFonts w:eastAsia="Calibri" w:cs="Tahoma"/>
          <w:color w:val="000000"/>
          <w:szCs w:val="18"/>
          <w:lang w:val="pt-BR"/>
        </w:rPr>
        <w:t>que optam por comprar licenças do processador e quaisquer outros clientes que adquirem licenças perpétuas sob seu contrato e optam por não renovar Software Assurance podem executar BizTalk Server 2010 ou BizTalk Server 2013 sob essas licenças da seguinte forma:</w:t>
      </w:r>
    </w:p>
    <w:p w:rsidR="008233B3" w:rsidRPr="003A4C23" w:rsidRDefault="008233B3" w:rsidP="008233B3">
      <w:pPr>
        <w:tabs>
          <w:tab w:val="left" w:pos="1440"/>
        </w:tabs>
        <w:ind w:left="720"/>
        <w:rPr>
          <w:lang w:val="pt-BR"/>
        </w:rPr>
      </w:pPr>
    </w:p>
    <w:p w:rsidR="008233B3" w:rsidRPr="003A4C23" w:rsidRDefault="008233B3" w:rsidP="008233B3">
      <w:pPr>
        <w:numPr>
          <w:ilvl w:val="0"/>
          <w:numId w:val="67"/>
        </w:numPr>
        <w:spacing w:after="60"/>
        <w:ind w:left="1440"/>
        <w:rPr>
          <w:lang w:val="pt-BR"/>
        </w:rPr>
      </w:pPr>
      <w:r w:rsidRPr="003A4C23">
        <w:rPr>
          <w:rFonts w:eastAsia="Calibri" w:cs="Tahoma"/>
          <w:b/>
          <w:color w:val="000000"/>
          <w:szCs w:val="18"/>
          <w:lang w:val="pt-BR"/>
        </w:rPr>
        <w:t>BizTalk Server 2010 Enterprise:</w:t>
      </w:r>
      <w:r w:rsidRPr="003A4C23">
        <w:rPr>
          <w:rFonts w:eastAsia="Calibri" w:cs="Tahoma"/>
          <w:color w:val="000000"/>
          <w:szCs w:val="18"/>
          <w:lang w:val="pt-BR"/>
        </w:rPr>
        <w:t xml:space="preserve"> O uso contínuo desta versão do software está sujeito aos direitos de uso do produto de licença do processador do BizTalk Server 2010 Enterprise; no entanto, os clientes não têm mais Mobilidade de Licenças por meio de Software Assurance.</w:t>
      </w:r>
    </w:p>
    <w:p w:rsidR="008233B3" w:rsidRPr="003A4C23" w:rsidRDefault="008233B3" w:rsidP="008233B3">
      <w:pPr>
        <w:numPr>
          <w:ilvl w:val="0"/>
          <w:numId w:val="67"/>
        </w:numPr>
        <w:tabs>
          <w:tab w:val="left" w:pos="1800"/>
        </w:tabs>
        <w:spacing w:after="60"/>
        <w:ind w:left="1440"/>
        <w:rPr>
          <w:lang w:val="pt-BR"/>
        </w:rPr>
      </w:pPr>
      <w:r w:rsidRPr="003A4C23">
        <w:rPr>
          <w:rFonts w:eastAsia="Calibri" w:cs="Tahoma"/>
          <w:b/>
          <w:color w:val="000000"/>
          <w:szCs w:val="18"/>
          <w:lang w:val="pt-BR"/>
        </w:rPr>
        <w:t xml:space="preserve">BizTalk Server 2013 Enterprise: </w:t>
      </w:r>
      <w:r w:rsidRPr="003A4C23">
        <w:rPr>
          <w:rFonts w:eastAsia="Calibri" w:cs="Tahoma"/>
          <w:color w:val="000000"/>
          <w:szCs w:val="18"/>
          <w:lang w:val="pt-BR"/>
        </w:rPr>
        <w:t>O uso desta versão do software está sujeito aos direitos de</w:t>
      </w:r>
      <w:r w:rsidR="002246E1" w:rsidRPr="003A4C23">
        <w:rPr>
          <w:rFonts w:eastAsia="Calibri" w:cs="Tahoma"/>
          <w:color w:val="000000"/>
          <w:szCs w:val="18"/>
          <w:lang w:val="pt-BR"/>
        </w:rPr>
        <w:t> </w:t>
      </w:r>
      <w:r w:rsidRPr="003A4C23">
        <w:rPr>
          <w:rFonts w:eastAsia="Calibri" w:cs="Tahoma"/>
          <w:color w:val="000000"/>
          <w:szCs w:val="18"/>
          <w:lang w:val="pt-BR"/>
        </w:rPr>
        <w:t xml:space="preserve">uso do produto de licença do processador do BizTalk Server 2010 Enterprise, no entanto: </w:t>
      </w:r>
    </w:p>
    <w:p w:rsidR="008233B3" w:rsidRPr="003A4C23" w:rsidRDefault="008233B3" w:rsidP="008233B3">
      <w:pPr>
        <w:numPr>
          <w:ilvl w:val="1"/>
          <w:numId w:val="67"/>
        </w:numPr>
        <w:tabs>
          <w:tab w:val="left" w:pos="2160"/>
        </w:tabs>
        <w:spacing w:after="60"/>
        <w:ind w:left="2160"/>
        <w:rPr>
          <w:lang w:val="pt-BR"/>
        </w:rPr>
      </w:pPr>
      <w:r w:rsidRPr="003A4C23">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3A4C23" w:rsidRDefault="008233B3" w:rsidP="008233B3">
      <w:pPr>
        <w:numPr>
          <w:ilvl w:val="1"/>
          <w:numId w:val="67"/>
        </w:numPr>
        <w:tabs>
          <w:tab w:val="left" w:pos="2160"/>
          <w:tab w:val="left" w:pos="2970"/>
        </w:tabs>
        <w:spacing w:after="60"/>
        <w:ind w:left="2160"/>
        <w:rPr>
          <w:lang w:val="pt-BR"/>
        </w:rPr>
      </w:pPr>
      <w:r w:rsidRPr="003A4C23">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rsidR="008233B3" w:rsidRPr="003A4C23" w:rsidRDefault="008233B3" w:rsidP="008233B3">
      <w:pPr>
        <w:numPr>
          <w:ilvl w:val="2"/>
          <w:numId w:val="67"/>
        </w:numPr>
        <w:tabs>
          <w:tab w:val="left" w:pos="2520"/>
        </w:tabs>
        <w:spacing w:after="60"/>
        <w:ind w:left="2520"/>
        <w:rPr>
          <w:lang w:val="pt-BR"/>
        </w:rPr>
      </w:pPr>
      <w:r w:rsidRPr="003A4C23">
        <w:rPr>
          <w:rFonts w:eastAsia="Calibri" w:cs="Tahoma"/>
          <w:color w:val="000000"/>
          <w:szCs w:val="18"/>
          <w:lang w:val="pt-BR"/>
        </w:rPr>
        <w:t xml:space="preserve">Para cada licença qualificada atribuída ao servidor, a equivalência de licença principal é maior do que: </w:t>
      </w:r>
    </w:p>
    <w:p w:rsidR="008233B3" w:rsidRPr="003A4C23" w:rsidRDefault="008233B3" w:rsidP="008233B3">
      <w:pPr>
        <w:numPr>
          <w:ilvl w:val="4"/>
          <w:numId w:val="155"/>
        </w:numPr>
        <w:tabs>
          <w:tab w:val="left" w:pos="2880"/>
        </w:tabs>
        <w:spacing w:after="60"/>
        <w:ind w:left="2880"/>
        <w:rPr>
          <w:lang w:val="pt-BR"/>
        </w:rPr>
      </w:pPr>
      <w:r w:rsidRPr="003A4C23">
        <w:rPr>
          <w:rFonts w:eastAsia="Calibri" w:cs="Tahoma"/>
          <w:color w:val="000000"/>
          <w:szCs w:val="18"/>
          <w:lang w:val="pt-BR"/>
        </w:rPr>
        <w:t xml:space="preserve">quatro núcleos por licença de processador OU </w:t>
      </w:r>
    </w:p>
    <w:p w:rsidR="008233B3" w:rsidRPr="003A4C23" w:rsidRDefault="008233B3" w:rsidP="008233B3">
      <w:pPr>
        <w:numPr>
          <w:ilvl w:val="4"/>
          <w:numId w:val="155"/>
        </w:numPr>
        <w:tabs>
          <w:tab w:val="left" w:pos="2880"/>
        </w:tabs>
        <w:spacing w:after="60"/>
        <w:ind w:left="2880"/>
        <w:rPr>
          <w:lang w:val="pt-BR"/>
        </w:rPr>
      </w:pPr>
      <w:r w:rsidRPr="003A4C23">
        <w:rPr>
          <w:rFonts w:eastAsia="Calibri" w:cs="Tahoma"/>
          <w:color w:val="000000"/>
          <w:szCs w:val="18"/>
          <w:lang w:val="pt-BR"/>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w:t>
      </w:r>
      <w:r w:rsidR="00392523" w:rsidRPr="003A4C23">
        <w:rPr>
          <w:rFonts w:eastAsia="Calibri" w:cs="Tahoma"/>
          <w:color w:val="000000"/>
          <w:szCs w:val="18"/>
          <w:lang w:val="pt-BR"/>
        </w:rPr>
        <w:t xml:space="preserve"> (</w:t>
      </w:r>
      <w:r w:rsidRPr="003A4C23">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6659B5" w:rsidRPr="003A4C23" w:rsidRDefault="006659B5" w:rsidP="006659B5">
      <w:pPr>
        <w:tabs>
          <w:tab w:val="left" w:pos="2880"/>
        </w:tabs>
        <w:spacing w:after="60"/>
        <w:ind w:left="2880"/>
        <w:rPr>
          <w:lang w:val="pt-BR"/>
        </w:rPr>
      </w:pPr>
    </w:p>
    <w:p w:rsidR="008233B3" w:rsidRPr="003A4C23" w:rsidRDefault="008233B3" w:rsidP="008233B3">
      <w:pPr>
        <w:numPr>
          <w:ilvl w:val="1"/>
          <w:numId w:val="156"/>
        </w:numPr>
        <w:tabs>
          <w:tab w:val="left" w:pos="1800"/>
        </w:tabs>
        <w:spacing w:after="60"/>
        <w:rPr>
          <w:lang w:val="pt-BR"/>
        </w:rPr>
      </w:pPr>
      <w:r w:rsidRPr="003A4C23">
        <w:rPr>
          <w:rFonts w:eastAsia="Calibri" w:cs="Tahoma"/>
          <w:color w:val="000000"/>
          <w:szCs w:val="18"/>
          <w:lang w:val="pt-BR"/>
        </w:rPr>
        <w:lastRenderedPageBreak/>
        <w:t>Os Clientes poderão transferir as Licenças para outro servidor. No entanto, se o cliente transferir</w:t>
      </w:r>
      <w:r w:rsidR="00392523" w:rsidRPr="003A4C23">
        <w:rPr>
          <w:rFonts w:eastAsia="Calibri" w:cs="Tahoma"/>
          <w:color w:val="000000"/>
          <w:szCs w:val="18"/>
          <w:lang w:val="pt-BR"/>
        </w:rPr>
        <w:t> </w:t>
      </w:r>
      <w:r w:rsidRPr="003A4C23">
        <w:rPr>
          <w:rFonts w:eastAsia="Calibri" w:cs="Tahoma"/>
          <w:color w:val="000000"/>
          <w:szCs w:val="18"/>
          <w:lang w:val="pt-BR"/>
        </w:rPr>
        <w:t>uma licença para outro servidor, o cliente terá que seguir os direitos de uso do BizTalk</w:t>
      </w:r>
      <w:r w:rsidR="00392523" w:rsidRPr="003A4C23">
        <w:rPr>
          <w:rFonts w:eastAsia="Calibri" w:cs="Tahoma"/>
          <w:color w:val="000000"/>
          <w:szCs w:val="18"/>
          <w:lang w:val="pt-BR"/>
        </w:rPr>
        <w:t> </w:t>
      </w:r>
      <w:r w:rsidRPr="003A4C23">
        <w:rPr>
          <w:rFonts w:eastAsia="Calibri" w:cs="Tahoma"/>
          <w:color w:val="000000"/>
          <w:szCs w:val="18"/>
          <w:lang w:val="pt-BR"/>
        </w:rPr>
        <w:t>Server 2013. Ao transferir licenças principais para servidores sob os direitos de uso do</w:t>
      </w:r>
      <w:r w:rsidR="00392523" w:rsidRPr="003A4C23">
        <w:rPr>
          <w:rFonts w:eastAsia="Calibri" w:cs="Tahoma"/>
          <w:color w:val="000000"/>
          <w:szCs w:val="18"/>
          <w:lang w:val="pt-BR"/>
        </w:rPr>
        <w:t> </w:t>
      </w:r>
      <w:r w:rsidRPr="003A4C23">
        <w:rPr>
          <w:rFonts w:eastAsia="Calibri" w:cs="Tahoma"/>
          <w:color w:val="000000"/>
          <w:szCs w:val="18"/>
          <w:lang w:val="pt-BR"/>
        </w:rPr>
        <w:t>BizTalk 2013, o</w:t>
      </w:r>
      <w:r w:rsidR="002246E1" w:rsidRPr="003A4C23">
        <w:rPr>
          <w:rFonts w:eastAsia="Calibri" w:cs="Tahoma"/>
          <w:color w:val="000000"/>
          <w:szCs w:val="18"/>
          <w:lang w:val="pt-BR"/>
        </w:rPr>
        <w:t> </w:t>
      </w:r>
      <w:r w:rsidRPr="003A4C23">
        <w:rPr>
          <w:rFonts w:eastAsia="Calibri" w:cs="Tahoma"/>
          <w:color w:val="000000"/>
          <w:szCs w:val="18"/>
          <w:lang w:val="pt-BR"/>
        </w:rPr>
        <w:t>cliente poderá combinar a equivalência de núcleo de suas licenças existentes com as licenças principais do BizTalk Server 2013 adicionais.</w:t>
      </w:r>
    </w:p>
    <w:p w:rsidR="008233B3" w:rsidRPr="003A4C23" w:rsidRDefault="008233B3" w:rsidP="008233B3">
      <w:pPr>
        <w:numPr>
          <w:ilvl w:val="1"/>
          <w:numId w:val="156"/>
        </w:numPr>
        <w:tabs>
          <w:tab w:val="left" w:pos="1800"/>
          <w:tab w:val="left" w:pos="2970"/>
        </w:tabs>
        <w:spacing w:after="60"/>
        <w:rPr>
          <w:lang w:val="pt-BR"/>
        </w:rPr>
      </w:pPr>
      <w:r w:rsidRPr="003A4C23">
        <w:rPr>
          <w:rFonts w:eastAsia="Calibri" w:cs="Tahoma"/>
          <w:color w:val="000000"/>
          <w:szCs w:val="18"/>
          <w:lang w:val="pt-BR"/>
        </w:rPr>
        <w:t>A equivalência de licença principal dos clientes não implica que eles podem atribuir uma única licença de processador a núcleos por dois ou mais processadores.</w:t>
      </w:r>
    </w:p>
    <w:p w:rsidR="008233B3" w:rsidRPr="003A4C23" w:rsidRDefault="008233B3" w:rsidP="008233B3">
      <w:pPr>
        <w:ind w:left="1440"/>
        <w:rPr>
          <w:lang w:val="pt-BR"/>
        </w:rPr>
      </w:pPr>
    </w:p>
    <w:p w:rsidR="008233B3" w:rsidRPr="003A4C23" w:rsidRDefault="008233B3" w:rsidP="008233B3">
      <w:pPr>
        <w:tabs>
          <w:tab w:val="left" w:pos="720"/>
        </w:tabs>
        <w:spacing w:after="60"/>
        <w:ind w:left="720"/>
        <w:rPr>
          <w:lang w:val="pt-BR"/>
        </w:rPr>
      </w:pPr>
      <w:r w:rsidRPr="003A4C23">
        <w:rPr>
          <w:b/>
          <w:lang w:val="pt-BR"/>
        </w:rPr>
        <w:t>Para os clientes localizados na República Popular da</w:t>
      </w:r>
      <w:r w:rsidRPr="003A4C23">
        <w:rPr>
          <w:lang w:val="pt-BR"/>
        </w:rPr>
        <w:t xml:space="preserve"> </w:t>
      </w:r>
      <w:r w:rsidRPr="003A4C23">
        <w:rPr>
          <w:b/>
          <w:lang w:val="pt-BR"/>
        </w:rPr>
        <w:t>China e para os que estão adquirindo licenças de processador e Software Assurance para BizTalk Server 2010</w:t>
      </w:r>
    </w:p>
    <w:p w:rsidR="008233B3" w:rsidRPr="003A4C23" w:rsidRDefault="008233B3" w:rsidP="008233B3">
      <w:pPr>
        <w:tabs>
          <w:tab w:val="left" w:pos="720"/>
        </w:tabs>
        <w:ind w:left="720"/>
        <w:rPr>
          <w:lang w:val="pt-BR"/>
        </w:rPr>
      </w:pPr>
      <w:r w:rsidRPr="003A4C23">
        <w:rPr>
          <w:lang w:val="pt-BR"/>
        </w:rPr>
        <w:t>A referência a 1</w:t>
      </w:r>
      <w:r w:rsidRPr="003A4C23">
        <w:rPr>
          <w:vertAlign w:val="superscript"/>
          <w:lang w:val="pt-BR"/>
        </w:rPr>
        <w:t>º</w:t>
      </w:r>
      <w:r w:rsidRPr="003A4C23">
        <w:rPr>
          <w:lang w:val="pt-BR"/>
        </w:rPr>
        <w:t xml:space="preserve"> de abril de 2013 nesta nota da lista de produtos não é aplicável. A data aplicável para esses clientes é 1</w:t>
      </w:r>
      <w:r w:rsidRPr="003A4C23">
        <w:rPr>
          <w:vertAlign w:val="superscript"/>
          <w:lang w:val="pt-BR"/>
        </w:rPr>
        <w:t>º</w:t>
      </w:r>
      <w:r w:rsidRPr="003A4C23">
        <w:rPr>
          <w:lang w:val="pt-BR"/>
        </w:rPr>
        <w:t xml:space="preserve"> de maio de 2013.</w:t>
      </w:r>
    </w:p>
    <w:p w:rsidR="008233B3" w:rsidRPr="003A4C23" w:rsidRDefault="008233B3" w:rsidP="008233B3">
      <w:pPr>
        <w:ind w:left="720"/>
        <w:rPr>
          <w:lang w:val="pt-BR"/>
        </w:rPr>
      </w:pPr>
    </w:p>
    <w:p w:rsidR="00141883" w:rsidRPr="003A4C23" w:rsidRDefault="00141883" w:rsidP="008233B3">
      <w:pPr>
        <w:ind w:left="720"/>
        <w:rPr>
          <w:lang w:val="pt-BR"/>
        </w:rPr>
      </w:pPr>
    </w:p>
    <w:p w:rsidR="008233B3" w:rsidRPr="003A4C23" w:rsidRDefault="004668D9" w:rsidP="008233B3">
      <w:pPr>
        <w:pStyle w:val="Heading3"/>
        <w:rPr>
          <w:lang w:val="pt-BR"/>
        </w:rPr>
      </w:pPr>
      <w:bookmarkStart w:id="1178" w:name="_34_BizTalk_Server®"/>
      <w:bookmarkStart w:id="1179" w:name="_Toc353470940"/>
      <w:bookmarkStart w:id="1180" w:name="_Toc343596569"/>
      <w:bookmarkEnd w:id="1178"/>
      <w:r w:rsidRPr="003A4C23">
        <w:rPr>
          <w:rFonts w:ascii="Tahoma" w:hAnsi="Tahoma" w:cs="Tahoma"/>
          <w:caps/>
          <w:color w:val="F66400"/>
          <w:sz w:val="22"/>
          <w:vertAlign w:val="superscript"/>
          <w:lang w:val="pt-BR"/>
        </w:rPr>
        <w:t>34</w:t>
      </w:r>
      <w:r w:rsidRPr="003A4C23">
        <w:rPr>
          <w:rFonts w:ascii="Tahoma" w:hAnsi="Tahoma" w:cs="Tahoma"/>
          <w:color w:val="F66400"/>
          <w:sz w:val="22"/>
          <w:lang w:val="pt-BR"/>
        </w:rPr>
        <w:t xml:space="preserve"> BizTalk Server</w:t>
      </w:r>
      <w:r w:rsidRPr="003A4C23">
        <w:rPr>
          <w:rFonts w:ascii="Tahoma" w:hAnsi="Tahoma" w:cs="Tahoma"/>
          <w:color w:val="F66400"/>
          <w:sz w:val="22"/>
          <w:vertAlign w:val="superscript"/>
          <w:lang w:val="pt-BR"/>
        </w:rPr>
        <w:t>®</w:t>
      </w:r>
      <w:r w:rsidRPr="003A4C23">
        <w:rPr>
          <w:rFonts w:ascii="Tahoma" w:hAnsi="Tahoma" w:cs="Tahoma"/>
          <w:color w:val="F66400"/>
          <w:sz w:val="22"/>
          <w:lang w:val="pt-BR"/>
        </w:rPr>
        <w:t xml:space="preserve"> 2013 Standard</w:t>
      </w:r>
      <w:bookmarkEnd w:id="1179"/>
      <w:r w:rsidRPr="003A4C23">
        <w:rPr>
          <w:rFonts w:ascii="Tahoma" w:eastAsia="Calibri" w:hAnsi="Tahoma" w:cs="Tahoma"/>
          <w:color w:val="F66400"/>
          <w:sz w:val="22"/>
          <w:szCs w:val="18"/>
          <w:lang w:val="pt-BR"/>
        </w:rPr>
        <w:t xml:space="preserve"> </w:t>
      </w:r>
      <w:bookmarkEnd w:id="1180"/>
    </w:p>
    <w:p w:rsidR="008233B3" w:rsidRPr="003A4C23" w:rsidRDefault="008233B3" w:rsidP="008233B3">
      <w:pPr>
        <w:rPr>
          <w:lang w:val="pt-BR"/>
        </w:rPr>
      </w:pPr>
    </w:p>
    <w:p w:rsidR="008233B3" w:rsidRPr="003A4C23" w:rsidRDefault="008233B3" w:rsidP="008233B3">
      <w:pPr>
        <w:spacing w:after="60"/>
        <w:ind w:left="720"/>
        <w:rPr>
          <w:lang w:val="pt-BR"/>
        </w:rPr>
      </w:pPr>
      <w:r w:rsidRPr="003A4C23">
        <w:rPr>
          <w:rFonts w:eastAsia="Calibri" w:cs="Tahoma"/>
          <w:b/>
          <w:color w:val="000000"/>
          <w:szCs w:val="18"/>
          <w:lang w:val="pt-BR"/>
        </w:rPr>
        <w:t>Outorgas de Licença Associadas à Alteração no Modelo de Licenciamento</w:t>
      </w:r>
    </w:p>
    <w:p w:rsidR="008233B3" w:rsidRPr="003A4C23" w:rsidRDefault="008233B3" w:rsidP="008233B3">
      <w:pPr>
        <w:ind w:left="720"/>
        <w:rPr>
          <w:lang w:val="pt-BR"/>
        </w:rPr>
      </w:pPr>
      <w:r w:rsidRPr="003A4C23">
        <w:rPr>
          <w:rFonts w:eastAsia="Calibri" w:cs="Tahoma"/>
          <w:color w:val="000000"/>
          <w:szCs w:val="18"/>
          <w:lang w:val="pt-BR"/>
        </w:rPr>
        <w:t>O BizTalk Server 2010 será a última versão do BizTalk Server licenciada sob o modelo de licenciamento por</w:t>
      </w:r>
      <w:r w:rsidR="002246E1" w:rsidRPr="003A4C23">
        <w:rPr>
          <w:rFonts w:eastAsia="Calibri" w:cs="Tahoma"/>
          <w:color w:val="000000"/>
          <w:szCs w:val="18"/>
          <w:lang w:val="pt-BR"/>
        </w:rPr>
        <w:t> </w:t>
      </w:r>
      <w:r w:rsidRPr="003A4C23">
        <w:rPr>
          <w:rFonts w:eastAsia="Calibri" w:cs="Tahoma"/>
          <w:color w:val="000000"/>
          <w:szCs w:val="18"/>
          <w:lang w:val="pt-BR"/>
        </w:rPr>
        <w:t>processador.</w:t>
      </w:r>
      <w:r w:rsidR="005A52A2" w:rsidRPr="003A4C23">
        <w:rPr>
          <w:rFonts w:eastAsia="Calibri" w:cs="Tahoma"/>
          <w:color w:val="000000"/>
          <w:szCs w:val="18"/>
          <w:lang w:val="pt-BR"/>
        </w:rPr>
        <w:t xml:space="preserve"> </w:t>
      </w:r>
      <w:r w:rsidRPr="003A4C23">
        <w:rPr>
          <w:rFonts w:eastAsia="Calibri" w:cs="Tahoma"/>
          <w:color w:val="000000"/>
          <w:szCs w:val="18"/>
          <w:lang w:val="pt-BR"/>
        </w:rPr>
        <w:t xml:space="preserve">Como uma exceção, aos clientes de licenciamento por volume com Software Assurance ativo para licenças do processador do BizTalk Server 2010 Standard em 1º de abril de 2013 (“licenças qualificadas”) são concedidas as seguintes opções. As licenças do processador do BizTalk Server 2010 Standard </w:t>
      </w:r>
      <w:r w:rsidRPr="003A4C23">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fins dessas opções.</w:t>
      </w:r>
      <w:r w:rsidR="005A52A2" w:rsidRPr="003A4C23">
        <w:rPr>
          <w:rFonts w:cs="Tahoma"/>
          <w:bCs/>
          <w:color w:val="000000"/>
          <w:szCs w:val="18"/>
          <w:lang w:val="pt-BR"/>
        </w:rPr>
        <w:t xml:space="preserve"> </w:t>
      </w:r>
      <w:r w:rsidRPr="003A4C23">
        <w:rPr>
          <w:rFonts w:cs="Tahoma"/>
          <w:bCs/>
          <w:color w:val="000000"/>
          <w:szCs w:val="18"/>
          <w:lang w:val="pt-BR"/>
        </w:rPr>
        <w:t>As licenças adquiridas sob um prazo de registro subsequente, um contrato separado ou qualquer registro com uma data de início de vigência após 1º de abril de 2013 não são licenças qualificadas.</w:t>
      </w:r>
    </w:p>
    <w:p w:rsidR="008233B3" w:rsidRPr="003A4C23" w:rsidRDefault="008233B3" w:rsidP="008233B3">
      <w:pPr>
        <w:ind w:left="720"/>
        <w:rPr>
          <w:lang w:val="pt-BR"/>
        </w:rPr>
      </w:pPr>
    </w:p>
    <w:p w:rsidR="008233B3" w:rsidRPr="003A4C23" w:rsidRDefault="008233B3" w:rsidP="008233B3">
      <w:pPr>
        <w:spacing w:after="60"/>
        <w:ind w:left="720"/>
        <w:rPr>
          <w:lang w:val="pt-BR"/>
        </w:rPr>
      </w:pPr>
      <w:r w:rsidRPr="003A4C23">
        <w:rPr>
          <w:rFonts w:eastAsia="Calibri" w:cs="Tahoma"/>
          <w:b/>
          <w:color w:val="000000"/>
          <w:szCs w:val="18"/>
          <w:lang w:val="pt-BR"/>
        </w:rPr>
        <w:t>Prazo Atual</w:t>
      </w:r>
    </w:p>
    <w:p w:rsidR="008233B3" w:rsidRPr="003A4C23" w:rsidRDefault="008233B3" w:rsidP="008233B3">
      <w:pPr>
        <w:ind w:left="720"/>
        <w:rPr>
          <w:lang w:val="pt-BR"/>
        </w:rPr>
      </w:pPr>
      <w:r w:rsidRPr="003A4C23">
        <w:rPr>
          <w:rFonts w:eastAsia="Calibri" w:cs="Tahoma"/>
          <w:color w:val="000000"/>
          <w:szCs w:val="18"/>
          <w:lang w:val="pt-BR"/>
        </w:rPr>
        <w:t>Durante o prazo atual da sua cobertura de Software Assurance a partir de 1º de abril de 2013, os clientes (incluindo aqueles sob contratos de assinatura) podem, sob qualquer licença qualificada, atualizar e usar o</w:t>
      </w:r>
      <w:r w:rsidR="002246E1" w:rsidRPr="003A4C23">
        <w:rPr>
          <w:rFonts w:eastAsia="Calibri" w:cs="Tahoma"/>
          <w:color w:val="000000"/>
          <w:szCs w:val="18"/>
          <w:lang w:val="pt-BR"/>
        </w:rPr>
        <w:t> </w:t>
      </w:r>
      <w:r w:rsidRPr="003A4C23">
        <w:rPr>
          <w:rFonts w:eastAsia="Calibri" w:cs="Tahoma"/>
          <w:color w:val="000000"/>
          <w:szCs w:val="18"/>
          <w:lang w:val="pt-BR"/>
        </w:rPr>
        <w:t xml:space="preserve">BizTalk Server 2013 Standard em vez do BizTalk Server 2010 Standard sujeito aos direitos de uso do produto de licença do processador do BizTalk Server 2010 Standard (conforme os Direitos de Uso do Produto de janeiro de 2013). </w:t>
      </w:r>
    </w:p>
    <w:p w:rsidR="008233B3" w:rsidRPr="003A4C23" w:rsidRDefault="008233B3" w:rsidP="008233B3">
      <w:pPr>
        <w:ind w:left="720"/>
        <w:rPr>
          <w:lang w:val="pt-BR"/>
        </w:rPr>
      </w:pPr>
    </w:p>
    <w:p w:rsidR="008233B3" w:rsidRPr="003A4C23" w:rsidRDefault="008233B3" w:rsidP="008233B3">
      <w:pPr>
        <w:spacing w:after="60"/>
        <w:ind w:left="720"/>
        <w:rPr>
          <w:lang w:val="pt-BR"/>
        </w:rPr>
      </w:pPr>
      <w:r w:rsidRPr="003A4C23">
        <w:rPr>
          <w:rFonts w:eastAsia="Calibri" w:cs="Tahoma"/>
          <w:b/>
          <w:color w:val="000000"/>
          <w:szCs w:val="18"/>
          <w:lang w:val="pt-BR"/>
        </w:rPr>
        <w:t>Primeiro Prazo de Renovação</w:t>
      </w:r>
    </w:p>
    <w:p w:rsidR="008233B3" w:rsidRPr="003A4C23" w:rsidRDefault="008233B3" w:rsidP="008233B3">
      <w:pPr>
        <w:tabs>
          <w:tab w:val="left" w:pos="1800"/>
        </w:tabs>
        <w:spacing w:after="60"/>
        <w:ind w:left="720"/>
        <w:rPr>
          <w:lang w:val="pt-BR"/>
        </w:rPr>
      </w:pPr>
      <w:r w:rsidRPr="003A4C23">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rsidR="008233B3" w:rsidRPr="00653421" w:rsidRDefault="008233B3" w:rsidP="008233B3">
      <w:pPr>
        <w:numPr>
          <w:ilvl w:val="3"/>
          <w:numId w:val="112"/>
        </w:numPr>
        <w:tabs>
          <w:tab w:val="left" w:pos="2160"/>
        </w:tabs>
        <w:spacing w:after="60"/>
        <w:ind w:left="2160"/>
      </w:pPr>
      <w:r w:rsidRPr="00653421">
        <w:rPr>
          <w:rFonts w:eastAsia="Calibri" w:cs="Tahoma"/>
          <w:color w:val="000000"/>
          <w:szCs w:val="18"/>
        </w:rPr>
        <w:t>Quatro OU</w:t>
      </w:r>
    </w:p>
    <w:p w:rsidR="008233B3" w:rsidRPr="003A4C23" w:rsidRDefault="008233B3" w:rsidP="008233B3">
      <w:pPr>
        <w:numPr>
          <w:ilvl w:val="3"/>
          <w:numId w:val="112"/>
        </w:numPr>
        <w:tabs>
          <w:tab w:val="left" w:pos="2160"/>
        </w:tabs>
        <w:spacing w:after="60"/>
        <w:ind w:left="2160"/>
        <w:rPr>
          <w:lang w:val="pt-BR"/>
        </w:rPr>
      </w:pPr>
      <w:r w:rsidRPr="003A4C23">
        <w:rPr>
          <w:rFonts w:eastAsia="Calibri" w:cs="Tahoma"/>
          <w:color w:val="000000"/>
          <w:szCs w:val="18"/>
          <w:lang w:val="pt-BR"/>
        </w:rPr>
        <w:t>o número real de núcleos por processador físico multiplicado pelo fator do núcleo apropriado.</w:t>
      </w:r>
      <w:r w:rsidR="005A52A2" w:rsidRPr="003A4C23">
        <w:rPr>
          <w:rFonts w:eastAsia="Calibri" w:cs="Tahoma"/>
          <w:color w:val="000000"/>
          <w:szCs w:val="18"/>
          <w:lang w:val="pt-BR"/>
        </w:rPr>
        <w:t xml:space="preserve"> </w:t>
      </w:r>
      <w:r w:rsidRPr="003A4C23">
        <w:rPr>
          <w:rFonts w:eastAsia="Calibri" w:cs="Tahoma"/>
          <w:color w:val="000000"/>
          <w:szCs w:val="18"/>
          <w:lang w:val="pt-BR"/>
        </w:rPr>
        <w:t>(Nos casos em que o número real de núcleos por processador físico excede quatro, os clientes devem manter um registro da configuração do software BizTal</w:t>
      </w:r>
      <w:r w:rsidR="00392523" w:rsidRPr="003A4C23">
        <w:rPr>
          <w:rFonts w:eastAsia="Calibri" w:cs="Tahoma"/>
          <w:color w:val="000000"/>
          <w:szCs w:val="18"/>
          <w:lang w:val="pt-BR"/>
        </w:rPr>
        <w:t>k Server executando no servidor</w:t>
      </w:r>
      <w:r w:rsidRPr="003A4C23">
        <w:rPr>
          <w:rFonts w:eastAsia="Calibri" w:cs="Tahoma"/>
          <w:color w:val="000000"/>
          <w:szCs w:val="18"/>
          <w:lang w:val="pt-BR"/>
        </w:rPr>
        <w:t xml:space="preserve"> </w:t>
      </w:r>
      <w:r w:rsidR="00392523" w:rsidRPr="003A4C23">
        <w:rPr>
          <w:rFonts w:eastAsia="Calibri" w:cs="Tahoma"/>
          <w:color w:val="000000"/>
          <w:szCs w:val="18"/>
          <w:lang w:val="pt-BR"/>
        </w:rPr>
        <w:t>(</w:t>
      </w:r>
      <w:r w:rsidRPr="003A4C23">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3A4C23" w:rsidRDefault="008233B3" w:rsidP="008233B3">
      <w:pPr>
        <w:tabs>
          <w:tab w:val="left" w:pos="1800"/>
        </w:tabs>
        <w:ind w:left="1080"/>
        <w:rPr>
          <w:lang w:val="pt-BR"/>
        </w:rPr>
      </w:pPr>
    </w:p>
    <w:p w:rsidR="008233B3" w:rsidRPr="003A4C23" w:rsidRDefault="008233B3" w:rsidP="008233B3">
      <w:pPr>
        <w:spacing w:after="60"/>
        <w:ind w:left="720"/>
        <w:rPr>
          <w:lang w:val="pt-BR"/>
        </w:rPr>
      </w:pPr>
      <w:r w:rsidRPr="003A4C23">
        <w:rPr>
          <w:rFonts w:eastAsia="Calibri" w:cs="Tahoma"/>
          <w:color w:val="000000"/>
          <w:szCs w:val="18"/>
          <w:lang w:val="pt-BR"/>
        </w:rPr>
        <w:t xml:space="preserve">As licenças do processador dos clientes não são mais válidas na aquisição do Software Assurance para as licenças principais sob esta oferta. </w:t>
      </w:r>
      <w:r w:rsidRPr="003A4C23">
        <w:rPr>
          <w:rFonts w:eastAsia="Calibri" w:cs="Tahoma"/>
          <w:szCs w:val="18"/>
          <w:lang w:val="pt-BR"/>
        </w:rPr>
        <w:t>A opção de adquirir o Software Assurance para licenças principais do BizTalk Server não é aplicável à renovação de cobertura sob os programas de assinatura.</w:t>
      </w:r>
      <w:r w:rsidR="005A52A2" w:rsidRPr="003A4C23">
        <w:rPr>
          <w:rFonts w:eastAsia="Calibri" w:cs="Tahoma"/>
          <w:szCs w:val="18"/>
          <w:lang w:val="pt-BR"/>
        </w:rPr>
        <w:t xml:space="preserve"> </w:t>
      </w:r>
    </w:p>
    <w:p w:rsidR="008233B3" w:rsidRPr="003A4C23" w:rsidRDefault="008233B3" w:rsidP="008233B3">
      <w:pPr>
        <w:ind w:left="1440"/>
        <w:rPr>
          <w:lang w:val="pt-BR"/>
        </w:rPr>
      </w:pPr>
    </w:p>
    <w:p w:rsidR="006659B5" w:rsidRPr="003A4C23" w:rsidRDefault="006659B5" w:rsidP="008233B3">
      <w:pPr>
        <w:ind w:left="1440"/>
        <w:rPr>
          <w:lang w:val="pt-BR"/>
        </w:rPr>
      </w:pPr>
    </w:p>
    <w:p w:rsidR="006659B5" w:rsidRPr="003A4C23" w:rsidRDefault="006659B5" w:rsidP="008233B3">
      <w:pPr>
        <w:ind w:left="1440"/>
        <w:rPr>
          <w:lang w:val="pt-BR"/>
        </w:rPr>
      </w:pPr>
    </w:p>
    <w:p w:rsidR="006659B5" w:rsidRPr="003A4C23" w:rsidRDefault="006659B5" w:rsidP="008233B3">
      <w:pPr>
        <w:ind w:left="1440"/>
        <w:rPr>
          <w:lang w:val="pt-BR"/>
        </w:rPr>
      </w:pPr>
    </w:p>
    <w:p w:rsidR="008233B3" w:rsidRPr="003A4C23" w:rsidRDefault="008233B3" w:rsidP="008233B3">
      <w:pPr>
        <w:tabs>
          <w:tab w:val="left" w:pos="1440"/>
        </w:tabs>
        <w:spacing w:after="60"/>
        <w:ind w:left="720"/>
        <w:rPr>
          <w:lang w:val="pt-BR"/>
        </w:rPr>
      </w:pPr>
      <w:r w:rsidRPr="003A4C23">
        <w:rPr>
          <w:rFonts w:eastAsia="Calibri" w:cs="Tahoma"/>
          <w:b/>
          <w:color w:val="000000"/>
          <w:szCs w:val="18"/>
          <w:lang w:val="pt-BR"/>
        </w:rPr>
        <w:lastRenderedPageBreak/>
        <w:t>Para os clientes com cobertura de Software Assurance que optaram pela não renovação</w:t>
      </w:r>
    </w:p>
    <w:p w:rsidR="008233B3" w:rsidRPr="003A4C23" w:rsidRDefault="008233B3" w:rsidP="008233B3">
      <w:pPr>
        <w:tabs>
          <w:tab w:val="left" w:pos="1440"/>
        </w:tabs>
        <w:ind w:left="720"/>
        <w:rPr>
          <w:lang w:val="pt-BR"/>
        </w:rPr>
      </w:pPr>
      <w:r w:rsidRPr="003A4C23">
        <w:rPr>
          <w:lang w:val="pt-BR"/>
        </w:rPr>
        <w:t xml:space="preserve">Os clientes </w:t>
      </w:r>
      <w:r w:rsidRPr="003A4C23">
        <w:rPr>
          <w:rFonts w:eastAsia="Calibri" w:cs="Tahoma"/>
          <w:color w:val="000000"/>
          <w:szCs w:val="18"/>
          <w:lang w:val="pt-BR"/>
        </w:rPr>
        <w:t xml:space="preserve">Enterprise Subscription </w:t>
      </w:r>
      <w:r w:rsidRPr="003A4C23">
        <w:rPr>
          <w:rFonts w:cs="Tahoma"/>
          <w:bCs/>
          <w:color w:val="000000"/>
          <w:szCs w:val="18"/>
          <w:lang w:val="pt-BR"/>
        </w:rPr>
        <w:t xml:space="preserve">e Open Value Subscription </w:t>
      </w:r>
      <w:r w:rsidRPr="003A4C23">
        <w:rPr>
          <w:rFonts w:eastAsia="Calibri" w:cs="Tahoma"/>
          <w:color w:val="000000"/>
          <w:szCs w:val="18"/>
          <w:lang w:val="pt-BR"/>
        </w:rPr>
        <w:t>que optam por comprar licenças do processador e quaisquer outros clientes que adquirem licenças perpétuas sob seu contrato e optam por não renovar Software Assurance podem executar BizTalk Server 2010 ou BizTalk Server 2013 sob essas licenças da seguinte forma:</w:t>
      </w:r>
    </w:p>
    <w:p w:rsidR="008233B3" w:rsidRPr="003A4C23" w:rsidRDefault="008233B3" w:rsidP="008233B3">
      <w:pPr>
        <w:tabs>
          <w:tab w:val="left" w:pos="1440"/>
        </w:tabs>
        <w:ind w:left="720"/>
        <w:rPr>
          <w:lang w:val="pt-BR"/>
        </w:rPr>
      </w:pPr>
    </w:p>
    <w:p w:rsidR="008233B3" w:rsidRPr="003A4C23" w:rsidRDefault="008233B3" w:rsidP="008233B3">
      <w:pPr>
        <w:numPr>
          <w:ilvl w:val="0"/>
          <w:numId w:val="67"/>
        </w:numPr>
        <w:spacing w:after="60"/>
        <w:ind w:left="1440"/>
        <w:rPr>
          <w:lang w:val="pt-BR"/>
        </w:rPr>
      </w:pPr>
      <w:r w:rsidRPr="003A4C23">
        <w:rPr>
          <w:rFonts w:eastAsia="Calibri" w:cs="Tahoma"/>
          <w:b/>
          <w:color w:val="000000"/>
          <w:szCs w:val="18"/>
          <w:lang w:val="pt-BR"/>
        </w:rPr>
        <w:t>BizTalk Server 2010 Standard:</w:t>
      </w:r>
      <w:r w:rsidRPr="003A4C23">
        <w:rPr>
          <w:rFonts w:eastAsia="Calibri" w:cs="Tahoma"/>
          <w:color w:val="000000"/>
          <w:szCs w:val="18"/>
          <w:lang w:val="pt-BR"/>
        </w:rPr>
        <w:t xml:space="preserve"> O uso contínuo desta versão do software está sujeito aos direitos de uso do produto de licença do processador do BizTalk Server 2010 Standard; no entanto,</w:t>
      </w:r>
      <w:r w:rsidR="002246E1" w:rsidRPr="003A4C23">
        <w:rPr>
          <w:rFonts w:eastAsia="Calibri" w:cs="Tahoma"/>
          <w:color w:val="000000"/>
          <w:szCs w:val="18"/>
          <w:lang w:val="pt-BR"/>
        </w:rPr>
        <w:t> </w:t>
      </w:r>
      <w:r w:rsidRPr="003A4C23">
        <w:rPr>
          <w:rFonts w:eastAsia="Calibri" w:cs="Tahoma"/>
          <w:color w:val="000000"/>
          <w:szCs w:val="18"/>
          <w:lang w:val="pt-BR"/>
        </w:rPr>
        <w:t>os clientes não têm mais Mobilidade de Licenças por meio de Software Assurance.</w:t>
      </w:r>
    </w:p>
    <w:p w:rsidR="008233B3" w:rsidRPr="003A4C23" w:rsidRDefault="008233B3" w:rsidP="008233B3">
      <w:pPr>
        <w:numPr>
          <w:ilvl w:val="0"/>
          <w:numId w:val="67"/>
        </w:numPr>
        <w:tabs>
          <w:tab w:val="left" w:pos="1800"/>
        </w:tabs>
        <w:spacing w:after="60"/>
        <w:ind w:left="1440"/>
        <w:rPr>
          <w:lang w:val="pt-BR"/>
        </w:rPr>
      </w:pPr>
      <w:r w:rsidRPr="003A4C23">
        <w:rPr>
          <w:rFonts w:eastAsia="Calibri" w:cs="Tahoma"/>
          <w:b/>
          <w:color w:val="000000"/>
          <w:szCs w:val="18"/>
          <w:lang w:val="pt-BR"/>
        </w:rPr>
        <w:t xml:space="preserve">BizTalk Server 2013 Standard: </w:t>
      </w:r>
      <w:r w:rsidRPr="003A4C23">
        <w:rPr>
          <w:rFonts w:eastAsia="Calibri" w:cs="Tahoma"/>
          <w:color w:val="000000"/>
          <w:szCs w:val="18"/>
          <w:lang w:val="pt-BR"/>
        </w:rPr>
        <w:t>O uso desta versão do software está sujeito aos direitos de</w:t>
      </w:r>
      <w:r w:rsidR="00392523" w:rsidRPr="003A4C23">
        <w:rPr>
          <w:rFonts w:eastAsia="Calibri" w:cs="Tahoma"/>
          <w:color w:val="000000"/>
          <w:szCs w:val="18"/>
          <w:lang w:val="pt-BR"/>
        </w:rPr>
        <w:t> </w:t>
      </w:r>
      <w:r w:rsidRPr="003A4C23">
        <w:rPr>
          <w:rFonts w:eastAsia="Calibri" w:cs="Tahoma"/>
          <w:color w:val="000000"/>
          <w:szCs w:val="18"/>
          <w:lang w:val="pt-BR"/>
        </w:rPr>
        <w:t>uso</w:t>
      </w:r>
      <w:r w:rsidR="002246E1" w:rsidRPr="003A4C23">
        <w:rPr>
          <w:rFonts w:eastAsia="Calibri" w:cs="Tahoma"/>
          <w:color w:val="000000"/>
          <w:szCs w:val="18"/>
          <w:lang w:val="pt-BR"/>
        </w:rPr>
        <w:t> </w:t>
      </w:r>
      <w:r w:rsidRPr="003A4C23">
        <w:rPr>
          <w:rFonts w:eastAsia="Calibri" w:cs="Tahoma"/>
          <w:color w:val="000000"/>
          <w:szCs w:val="18"/>
          <w:lang w:val="pt-BR"/>
        </w:rPr>
        <w:t xml:space="preserve">do produto de licença do processador do BizTalk Server 2010 Standard, no entanto: </w:t>
      </w:r>
    </w:p>
    <w:p w:rsidR="008233B3" w:rsidRPr="003A4C23" w:rsidRDefault="008233B3" w:rsidP="008233B3">
      <w:pPr>
        <w:numPr>
          <w:ilvl w:val="1"/>
          <w:numId w:val="67"/>
        </w:numPr>
        <w:tabs>
          <w:tab w:val="left" w:pos="2160"/>
        </w:tabs>
        <w:spacing w:after="60"/>
        <w:ind w:left="2160"/>
        <w:rPr>
          <w:lang w:val="pt-BR"/>
        </w:rPr>
      </w:pPr>
      <w:r w:rsidRPr="003A4C23">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3A4C23" w:rsidRDefault="008233B3" w:rsidP="008233B3">
      <w:pPr>
        <w:numPr>
          <w:ilvl w:val="1"/>
          <w:numId w:val="67"/>
        </w:numPr>
        <w:tabs>
          <w:tab w:val="left" w:pos="2160"/>
          <w:tab w:val="left" w:pos="2970"/>
        </w:tabs>
        <w:spacing w:after="60"/>
        <w:ind w:left="2160"/>
        <w:rPr>
          <w:lang w:val="pt-BR"/>
        </w:rPr>
      </w:pPr>
      <w:r w:rsidRPr="003A4C23">
        <w:rPr>
          <w:rFonts w:eastAsia="Calibri" w:cs="Tahoma"/>
          <w:color w:val="000000"/>
          <w:szCs w:val="18"/>
          <w:lang w:val="pt-BR"/>
        </w:rPr>
        <w:t>quaisquer reatribuição de licenças está sujeita a limitações abaixo relacionada a sua “equivalência de licença principal”. A equivalência de licença principal é determinada da</w:t>
      </w:r>
      <w:r w:rsidR="00392523" w:rsidRPr="003A4C23">
        <w:rPr>
          <w:rFonts w:eastAsia="Calibri" w:cs="Tahoma"/>
          <w:color w:val="000000"/>
          <w:szCs w:val="18"/>
          <w:lang w:val="pt-BR"/>
        </w:rPr>
        <w:t> </w:t>
      </w:r>
      <w:r w:rsidRPr="003A4C23">
        <w:rPr>
          <w:rFonts w:eastAsia="Calibri" w:cs="Tahoma"/>
          <w:color w:val="000000"/>
          <w:szCs w:val="18"/>
          <w:lang w:val="pt-BR"/>
        </w:rPr>
        <w:t xml:space="preserve">seguinte forma: </w:t>
      </w:r>
    </w:p>
    <w:p w:rsidR="008233B3" w:rsidRPr="003A4C23" w:rsidRDefault="008233B3" w:rsidP="008233B3">
      <w:pPr>
        <w:numPr>
          <w:ilvl w:val="2"/>
          <w:numId w:val="67"/>
        </w:numPr>
        <w:tabs>
          <w:tab w:val="left" w:pos="2520"/>
        </w:tabs>
        <w:spacing w:after="60"/>
        <w:ind w:left="2520"/>
        <w:rPr>
          <w:lang w:val="pt-BR"/>
        </w:rPr>
      </w:pPr>
      <w:r w:rsidRPr="003A4C23">
        <w:rPr>
          <w:rFonts w:eastAsia="Calibri" w:cs="Tahoma"/>
          <w:color w:val="000000"/>
          <w:szCs w:val="18"/>
          <w:lang w:val="pt-BR"/>
        </w:rPr>
        <w:t>Para cada licença qualificada atribuída ao servidor, a equivalência de licença principal</w:t>
      </w:r>
      <w:r w:rsidR="00ED5B61" w:rsidRPr="003A4C23">
        <w:rPr>
          <w:rFonts w:eastAsia="Calibri" w:cs="Tahoma"/>
          <w:color w:val="000000"/>
          <w:szCs w:val="18"/>
          <w:lang w:val="pt-BR"/>
        </w:rPr>
        <w:t> </w:t>
      </w:r>
      <w:r w:rsidRPr="003A4C23">
        <w:rPr>
          <w:rFonts w:eastAsia="Calibri" w:cs="Tahoma"/>
          <w:color w:val="000000"/>
          <w:szCs w:val="18"/>
          <w:lang w:val="pt-BR"/>
        </w:rPr>
        <w:t xml:space="preserve">é maior do que: </w:t>
      </w:r>
    </w:p>
    <w:p w:rsidR="008233B3" w:rsidRPr="003A4C23" w:rsidRDefault="008233B3" w:rsidP="008233B3">
      <w:pPr>
        <w:numPr>
          <w:ilvl w:val="4"/>
          <w:numId w:val="155"/>
        </w:numPr>
        <w:tabs>
          <w:tab w:val="left" w:pos="2880"/>
        </w:tabs>
        <w:spacing w:after="60"/>
        <w:ind w:left="2880"/>
        <w:rPr>
          <w:lang w:val="pt-BR"/>
        </w:rPr>
      </w:pPr>
      <w:r w:rsidRPr="003A4C23">
        <w:rPr>
          <w:rFonts w:eastAsia="Calibri" w:cs="Tahoma"/>
          <w:color w:val="000000"/>
          <w:szCs w:val="18"/>
          <w:lang w:val="pt-BR"/>
        </w:rPr>
        <w:t>quatro núcleos por licença de processador</w:t>
      </w:r>
      <w:r w:rsidR="00482782" w:rsidRPr="003A4C23">
        <w:rPr>
          <w:rFonts w:eastAsia="Calibri" w:cs="Tahoma"/>
          <w:color w:val="000000"/>
          <w:szCs w:val="18"/>
          <w:lang w:val="pt-BR"/>
        </w:rPr>
        <w:t>,</w:t>
      </w:r>
      <w:r w:rsidRPr="003A4C23">
        <w:rPr>
          <w:rFonts w:eastAsia="Calibri" w:cs="Tahoma"/>
          <w:color w:val="000000"/>
          <w:szCs w:val="18"/>
          <w:lang w:val="pt-BR"/>
        </w:rPr>
        <w:t xml:space="preserve"> OU </w:t>
      </w:r>
    </w:p>
    <w:p w:rsidR="008233B3" w:rsidRPr="003A4C23" w:rsidRDefault="008233B3" w:rsidP="008233B3">
      <w:pPr>
        <w:numPr>
          <w:ilvl w:val="4"/>
          <w:numId w:val="155"/>
        </w:numPr>
        <w:tabs>
          <w:tab w:val="left" w:pos="2880"/>
        </w:tabs>
        <w:spacing w:after="60"/>
        <w:ind w:left="2880"/>
        <w:rPr>
          <w:lang w:val="pt-BR"/>
        </w:rPr>
      </w:pPr>
      <w:r w:rsidRPr="003A4C23">
        <w:rPr>
          <w:rFonts w:eastAsia="Calibri" w:cs="Tahoma"/>
          <w:color w:val="000000"/>
          <w:szCs w:val="18"/>
          <w:lang w:val="pt-BR"/>
        </w:rPr>
        <w:t>um número de núcleos por licença do processador com base no número real de</w:t>
      </w:r>
      <w:r w:rsidR="002246E1" w:rsidRPr="003A4C23">
        <w:rPr>
          <w:rFonts w:eastAsia="Calibri" w:cs="Tahoma"/>
          <w:color w:val="000000"/>
          <w:szCs w:val="18"/>
          <w:lang w:val="pt-BR"/>
        </w:rPr>
        <w:t> </w:t>
      </w:r>
      <w:r w:rsidRPr="003A4C23">
        <w:rPr>
          <w:rFonts w:eastAsia="Calibri" w:cs="Tahoma"/>
          <w:color w:val="000000"/>
          <w:szCs w:val="18"/>
          <w:lang w:val="pt-BR"/>
        </w:rPr>
        <w:t xml:space="preserve">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392523" w:rsidRPr="003A4C23">
        <w:rPr>
          <w:rFonts w:eastAsia="Calibri" w:cs="Tahoma"/>
          <w:color w:val="000000"/>
          <w:szCs w:val="18"/>
          <w:lang w:val="pt-BR"/>
        </w:rPr>
        <w:t>(</w:t>
      </w:r>
      <w:r w:rsidRPr="003A4C23">
        <w:rPr>
          <w:rFonts w:eastAsia="Calibri" w:cs="Tahoma"/>
          <w:color w:val="000000"/>
          <w:szCs w:val="18"/>
          <w:lang w:val="pt-BR"/>
        </w:rPr>
        <w:t>instâncias licenciadas executando em ambientes do sistema operacional no servidor licenciado) e o hardware físico oferecendo suporte ao software que está antecedendo a expiração do Software</w:t>
      </w:r>
      <w:r w:rsidR="002246E1" w:rsidRPr="003A4C23">
        <w:rPr>
          <w:rFonts w:eastAsia="Calibri" w:cs="Tahoma"/>
          <w:color w:val="000000"/>
          <w:szCs w:val="18"/>
          <w:lang w:val="pt-BR"/>
        </w:rPr>
        <w:t> </w:t>
      </w:r>
      <w:r w:rsidRPr="003A4C23">
        <w:rPr>
          <w:rFonts w:eastAsia="Calibri" w:cs="Tahoma"/>
          <w:color w:val="000000"/>
          <w:szCs w:val="18"/>
          <w:lang w:val="pt-BR"/>
        </w:rPr>
        <w:t xml:space="preserve">Assurance usando a ferramenta Microsoft MAP ou qualquer software equivalente.) </w:t>
      </w:r>
    </w:p>
    <w:p w:rsidR="008233B3" w:rsidRPr="003A4C23" w:rsidRDefault="008233B3" w:rsidP="008233B3">
      <w:pPr>
        <w:numPr>
          <w:ilvl w:val="1"/>
          <w:numId w:val="157"/>
        </w:numPr>
        <w:tabs>
          <w:tab w:val="left" w:pos="1800"/>
        </w:tabs>
        <w:spacing w:after="60"/>
        <w:rPr>
          <w:lang w:val="pt-BR"/>
        </w:rPr>
      </w:pPr>
      <w:r w:rsidRPr="003A4C23">
        <w:rPr>
          <w:rFonts w:eastAsia="Calibri" w:cs="Tahoma"/>
          <w:color w:val="000000"/>
          <w:szCs w:val="18"/>
          <w:lang w:val="pt-BR"/>
        </w:rPr>
        <w:t xml:space="preserve">Os Clientes </w:t>
      </w:r>
      <w:r w:rsidRPr="003A4C23">
        <w:rPr>
          <w:rFonts w:eastAsia="Calibri" w:cs="Tahoma"/>
          <w:szCs w:val="18"/>
          <w:lang w:val="pt-BR"/>
        </w:rPr>
        <w:t>poderão transferir as Licenças para outro servidor. No entanto, se o cliente transferir uma licença para outro servidor, o cliente terá que seguir os direitos de uso do BizTalk Server 2013. Ao transferir licenças principais para servidores sob os direitos de uso do BizTalk 2013, o</w:t>
      </w:r>
      <w:r w:rsidR="002246E1" w:rsidRPr="003A4C23">
        <w:rPr>
          <w:rFonts w:eastAsia="Calibri" w:cs="Tahoma"/>
          <w:szCs w:val="18"/>
          <w:lang w:val="pt-BR"/>
        </w:rPr>
        <w:t> </w:t>
      </w:r>
      <w:r w:rsidRPr="003A4C23">
        <w:rPr>
          <w:rFonts w:eastAsia="Calibri" w:cs="Tahoma"/>
          <w:szCs w:val="18"/>
          <w:lang w:val="pt-BR"/>
        </w:rPr>
        <w:t>cliente poderá combinar a equivalência de núcleo de suas licenças existentes com as licenças principais do BizTalk Server 2013 adicionais.</w:t>
      </w:r>
    </w:p>
    <w:p w:rsidR="008233B3" w:rsidRPr="003A4C23" w:rsidRDefault="008233B3" w:rsidP="008233B3">
      <w:pPr>
        <w:numPr>
          <w:ilvl w:val="1"/>
          <w:numId w:val="157"/>
        </w:numPr>
        <w:tabs>
          <w:tab w:val="left" w:pos="1800"/>
          <w:tab w:val="left" w:pos="2970"/>
        </w:tabs>
        <w:spacing w:after="60"/>
        <w:rPr>
          <w:lang w:val="pt-BR"/>
        </w:rPr>
      </w:pPr>
      <w:r w:rsidRPr="003A4C23">
        <w:rPr>
          <w:rFonts w:eastAsia="Calibri" w:cs="Tahoma"/>
          <w:color w:val="000000"/>
          <w:szCs w:val="18"/>
          <w:lang w:val="pt-BR"/>
        </w:rPr>
        <w:t>A equivalência de licença principal dos clientes não implica que eles podem atribuir uma única licença de processador a núcleos por dois ou mais processadores.</w:t>
      </w:r>
    </w:p>
    <w:p w:rsidR="008233B3" w:rsidRPr="003A4C23" w:rsidRDefault="008233B3" w:rsidP="008233B3">
      <w:pPr>
        <w:ind w:left="1440"/>
        <w:rPr>
          <w:lang w:val="pt-BR"/>
        </w:rPr>
      </w:pPr>
    </w:p>
    <w:p w:rsidR="008233B3" w:rsidRPr="003A4C23" w:rsidRDefault="008233B3" w:rsidP="008233B3">
      <w:pPr>
        <w:tabs>
          <w:tab w:val="left" w:pos="720"/>
        </w:tabs>
        <w:spacing w:after="60"/>
        <w:ind w:left="720"/>
        <w:rPr>
          <w:lang w:val="pt-BR"/>
        </w:rPr>
      </w:pPr>
      <w:r w:rsidRPr="003A4C23">
        <w:rPr>
          <w:b/>
          <w:lang w:val="pt-BR"/>
        </w:rPr>
        <w:t>Para os clientes localizados na República Popular da</w:t>
      </w:r>
      <w:r w:rsidRPr="003A4C23">
        <w:rPr>
          <w:lang w:val="pt-BR"/>
        </w:rPr>
        <w:t xml:space="preserve"> </w:t>
      </w:r>
      <w:r w:rsidRPr="003A4C23">
        <w:rPr>
          <w:b/>
          <w:lang w:val="pt-BR"/>
        </w:rPr>
        <w:t>China e para os que estão adquirindo licenças de processador e Software Assurance para BizTalk Server 2010</w:t>
      </w:r>
    </w:p>
    <w:p w:rsidR="008233B3" w:rsidRPr="003A4C23" w:rsidRDefault="008233B3" w:rsidP="008233B3">
      <w:pPr>
        <w:tabs>
          <w:tab w:val="left" w:pos="720"/>
        </w:tabs>
        <w:ind w:left="720"/>
        <w:rPr>
          <w:lang w:val="pt-BR"/>
        </w:rPr>
      </w:pPr>
      <w:r w:rsidRPr="003A4C23">
        <w:rPr>
          <w:lang w:val="pt-BR"/>
        </w:rPr>
        <w:t>A referência a 1</w:t>
      </w:r>
      <w:r w:rsidRPr="003A4C23">
        <w:rPr>
          <w:vertAlign w:val="superscript"/>
          <w:lang w:val="pt-BR"/>
        </w:rPr>
        <w:t>º</w:t>
      </w:r>
      <w:r w:rsidRPr="003A4C23">
        <w:rPr>
          <w:lang w:val="pt-BR"/>
        </w:rPr>
        <w:t xml:space="preserve"> de abril de 2013 nesta nota da lista de produtos não é aplicável. A data aplicável para esses clientes é 1</w:t>
      </w:r>
      <w:r w:rsidRPr="003A4C23">
        <w:rPr>
          <w:vertAlign w:val="superscript"/>
          <w:lang w:val="pt-BR"/>
        </w:rPr>
        <w:t>º</w:t>
      </w:r>
      <w:r w:rsidRPr="003A4C23">
        <w:rPr>
          <w:lang w:val="pt-BR"/>
        </w:rPr>
        <w:t xml:space="preserve"> de maio de 2013.</w:t>
      </w:r>
    </w:p>
    <w:p w:rsidR="003540FA" w:rsidRPr="003A4C23" w:rsidRDefault="003540FA" w:rsidP="00A66BD2">
      <w:pPr>
        <w:ind w:left="540"/>
        <w:rPr>
          <w:lang w:val="pt-BR"/>
        </w:rPr>
      </w:pPr>
    </w:p>
    <w:p w:rsidR="00676723" w:rsidRPr="003A4C23" w:rsidRDefault="00676723" w:rsidP="00A66BD2">
      <w:pPr>
        <w:ind w:left="540"/>
        <w:rPr>
          <w:lang w:val="pt-BR"/>
        </w:rPr>
      </w:pPr>
    </w:p>
    <w:p w:rsidR="007B48BC" w:rsidRPr="003A4C23" w:rsidRDefault="004668D9" w:rsidP="000773D2">
      <w:pPr>
        <w:pStyle w:val="Heading3"/>
        <w:ind w:left="270" w:hanging="270"/>
        <w:rPr>
          <w:lang w:val="pt-BR"/>
        </w:rPr>
      </w:pPr>
      <w:bookmarkStart w:id="1181" w:name="_Toc336338293"/>
      <w:bookmarkStart w:id="1182" w:name="_Toc353470941"/>
      <w:bookmarkStart w:id="1183" w:name="Srv_35BusinessIntellApp2012"/>
      <w:bookmarkStart w:id="1184" w:name="Srv_35CoreCALBridgeWinIntune"/>
      <w:r w:rsidRPr="003A4C23">
        <w:rPr>
          <w:rFonts w:ascii="Tahoma" w:hAnsi="Tahoma"/>
          <w:caps/>
          <w:color w:val="F66400"/>
          <w:sz w:val="22"/>
          <w:vertAlign w:val="superscript"/>
          <w:lang w:val="pt-BR"/>
        </w:rPr>
        <w:t>35</w:t>
      </w:r>
      <w:r w:rsidRPr="003A4C23">
        <w:rPr>
          <w:rFonts w:ascii="Tahoma" w:hAnsi="Tahoma"/>
          <w:caps/>
          <w:color w:val="F66400"/>
          <w:sz w:val="22"/>
          <w:lang w:val="pt-BR"/>
        </w:rPr>
        <w:t xml:space="preserve"> </w:t>
      </w:r>
      <w:r w:rsidRPr="003A4C23">
        <w:rPr>
          <w:rFonts w:ascii="Tahoma" w:hAnsi="Tahoma"/>
          <w:color w:val="F66400"/>
          <w:sz w:val="22"/>
          <w:lang w:val="pt-BR"/>
        </w:rPr>
        <w:t>Business Intelligence Appliance 2012</w:t>
      </w:r>
      <w:bookmarkEnd w:id="1181"/>
      <w:bookmarkEnd w:id="1182"/>
      <w:r w:rsidRPr="003A4C23">
        <w:rPr>
          <w:rFonts w:ascii="Tahoma" w:hAnsi="Tahoma"/>
          <w:caps/>
          <w:color w:val="F66400"/>
          <w:sz w:val="22"/>
          <w:vertAlign w:val="superscript"/>
          <w:lang w:val="pt-BR"/>
        </w:rPr>
        <w:t xml:space="preserve"> </w:t>
      </w:r>
    </w:p>
    <w:bookmarkEnd w:id="1183"/>
    <w:p w:rsidR="007B48BC" w:rsidRPr="003A4C23" w:rsidRDefault="007B48BC" w:rsidP="007B48BC">
      <w:pPr>
        <w:rPr>
          <w:lang w:val="pt-BR"/>
        </w:rPr>
      </w:pPr>
    </w:p>
    <w:p w:rsidR="00E03856" w:rsidRPr="003A4C23" w:rsidRDefault="00E50460" w:rsidP="00A66BD2">
      <w:pPr>
        <w:ind w:left="720"/>
        <w:rPr>
          <w:lang w:val="pt-BR"/>
        </w:rPr>
      </w:pPr>
      <w:r w:rsidRPr="003A4C23">
        <w:rPr>
          <w:rFonts w:cs="Tahoma"/>
          <w:szCs w:val="18"/>
          <w:lang w:val="pt-BR"/>
        </w:rPr>
        <w:t>O software Business Intelligence Appliance 2012, que incorpora o SQL Server 2008 R2 e SharePoint Server</w:t>
      </w:r>
      <w:r w:rsidR="00ED5B61" w:rsidRPr="003A4C23">
        <w:rPr>
          <w:rFonts w:cs="Tahoma"/>
          <w:szCs w:val="18"/>
          <w:lang w:val="pt-BR"/>
        </w:rPr>
        <w:t> </w:t>
      </w:r>
      <w:r w:rsidRPr="003A4C23">
        <w:rPr>
          <w:rFonts w:cs="Tahoma"/>
          <w:szCs w:val="18"/>
          <w:lang w:val="pt-BR"/>
        </w:rPr>
        <w:t>2010, está disponível somente nas configurações de hardware e software aprovadas pela Microsoft.</w:t>
      </w:r>
      <w:r w:rsidR="005A52A2" w:rsidRPr="003A4C23">
        <w:rPr>
          <w:rFonts w:cs="Tahoma"/>
          <w:szCs w:val="18"/>
          <w:lang w:val="pt-BR"/>
        </w:rPr>
        <w:t xml:space="preserve"> </w:t>
      </w:r>
      <w:r w:rsidRPr="003A4C23">
        <w:rPr>
          <w:rFonts w:cs="Tahoma"/>
          <w:szCs w:val="18"/>
          <w:lang w:val="pt-BR"/>
        </w:rPr>
        <w:t>Não há suporte para o uso do software em outras configurações e, nesse caso, o desempenho poderá afetado.</w:t>
      </w:r>
      <w:r w:rsidR="005A52A2" w:rsidRPr="003A4C23">
        <w:rPr>
          <w:rFonts w:cs="Tahoma"/>
          <w:szCs w:val="18"/>
          <w:lang w:val="pt-BR"/>
        </w:rPr>
        <w:t xml:space="preserve"> </w:t>
      </w:r>
      <w:r w:rsidRPr="003A4C23">
        <w:rPr>
          <w:rFonts w:cs="Tahoma"/>
          <w:szCs w:val="18"/>
          <w:lang w:val="pt-BR"/>
        </w:rPr>
        <w:t>Para</w:t>
      </w:r>
      <w:r w:rsidR="002246E1" w:rsidRPr="003A4C23">
        <w:rPr>
          <w:rFonts w:cs="Tahoma"/>
          <w:szCs w:val="18"/>
          <w:lang w:val="pt-BR"/>
        </w:rPr>
        <w:t> </w:t>
      </w:r>
      <w:r w:rsidRPr="003A4C23">
        <w:rPr>
          <w:rFonts w:cs="Tahoma"/>
          <w:szCs w:val="18"/>
          <w:lang w:val="pt-BR"/>
        </w:rPr>
        <w:t>obter mais informações, visite o site</w:t>
      </w:r>
      <w:r w:rsidRPr="003A4C23">
        <w:rPr>
          <w:rFonts w:cs="Tahoma"/>
          <w:color w:val="1F497D"/>
          <w:szCs w:val="18"/>
          <w:lang w:val="pt-BR"/>
        </w:rPr>
        <w:t xml:space="preserve"> </w:t>
      </w:r>
      <w:hyperlink r:id="rId48" w:tooltip="http://www.microsoft.com/sqlserver/en/us/get-sql-server/how-to-buy.aspx" w:history="1">
        <w:r w:rsidRPr="003A4C23">
          <w:rPr>
            <w:rStyle w:val="Hyperlink"/>
            <w:rFonts w:cs="Tahoma"/>
            <w:szCs w:val="18"/>
            <w:lang w:val="pt-BR"/>
          </w:rPr>
          <w:t>http://www.microsoft.com/sqlserver/en/us/get-sql-server/how-to-buy.aspx</w:t>
        </w:r>
      </w:hyperlink>
      <w:r w:rsidRPr="003A4C23">
        <w:rPr>
          <w:rFonts w:cs="Tahoma"/>
          <w:szCs w:val="18"/>
          <w:lang w:val="pt-BR"/>
        </w:rPr>
        <w:t>.</w:t>
      </w:r>
      <w:r w:rsidR="005A52A2" w:rsidRPr="003A4C23">
        <w:rPr>
          <w:rFonts w:cs="Tahoma"/>
          <w:szCs w:val="18"/>
          <w:lang w:val="pt-BR"/>
        </w:rPr>
        <w:t xml:space="preserve"> </w:t>
      </w:r>
    </w:p>
    <w:p w:rsidR="002246E1" w:rsidRPr="003A4C23" w:rsidRDefault="002246E1" w:rsidP="00A66BD2">
      <w:pPr>
        <w:rPr>
          <w:lang w:val="pt-BR"/>
        </w:rPr>
      </w:pPr>
    </w:p>
    <w:p w:rsidR="00A66BD2" w:rsidRPr="003A4C23" w:rsidRDefault="00A66BD2" w:rsidP="00A66BD2">
      <w:pPr>
        <w:rPr>
          <w:lang w:val="pt-BR"/>
        </w:rPr>
      </w:pPr>
    </w:p>
    <w:p w:rsidR="00ED5B61" w:rsidRPr="003A4C23" w:rsidRDefault="00ED5B61" w:rsidP="00A66BD2">
      <w:pPr>
        <w:rPr>
          <w:lang w:val="pt-BR"/>
        </w:rPr>
      </w:pPr>
    </w:p>
    <w:p w:rsidR="006659B5" w:rsidRPr="003A4C23" w:rsidRDefault="006659B5" w:rsidP="00A66BD2">
      <w:pPr>
        <w:rPr>
          <w:lang w:val="pt-BR"/>
        </w:rPr>
      </w:pPr>
    </w:p>
    <w:p w:rsidR="003540FA" w:rsidRPr="003A4C23" w:rsidRDefault="004668D9" w:rsidP="00ED5B61">
      <w:pPr>
        <w:pStyle w:val="Heading3"/>
        <w:ind w:left="245" w:hanging="245"/>
        <w:rPr>
          <w:lang w:val="pt-BR"/>
        </w:rPr>
      </w:pPr>
      <w:bookmarkStart w:id="1185" w:name="_36_Bridge_do"/>
      <w:bookmarkStart w:id="1186" w:name="_Toc336338294"/>
      <w:bookmarkStart w:id="1187" w:name="_Toc353470942"/>
      <w:bookmarkEnd w:id="1185"/>
      <w:r w:rsidRPr="003A4C23">
        <w:rPr>
          <w:rFonts w:ascii="Tahoma" w:hAnsi="Tahoma"/>
          <w:caps/>
          <w:color w:val="F66400"/>
          <w:sz w:val="22"/>
          <w:vertAlign w:val="superscript"/>
          <w:lang w:val="pt-BR"/>
        </w:rPr>
        <w:lastRenderedPageBreak/>
        <w:t>36</w:t>
      </w:r>
      <w:r w:rsidRPr="003A4C23">
        <w:rPr>
          <w:rFonts w:ascii="Tahoma" w:hAnsi="Tahoma"/>
          <w:color w:val="F66400"/>
          <w:sz w:val="22"/>
          <w:lang w:val="pt-BR"/>
        </w:rPr>
        <w:t xml:space="preserve"> Bridge </w:t>
      </w:r>
      <w:r w:rsidRPr="003A4C23">
        <w:rPr>
          <w:rFonts w:ascii="Tahoma" w:hAnsi="Tahoma"/>
          <w:color w:val="FF6600"/>
          <w:sz w:val="22"/>
          <w:lang w:val="pt-BR"/>
        </w:rPr>
        <w:t>do Pacote de CALs Principais para Office 365, Bridge do Pacote de CALs Principais para Office 365 e Windows Intune e Bridge do Pacote de CALs Principais para Windows Intune</w:t>
      </w:r>
      <w:bookmarkEnd w:id="1186"/>
      <w:bookmarkEnd w:id="1187"/>
    </w:p>
    <w:bookmarkEnd w:id="1184"/>
    <w:p w:rsidR="003540FA" w:rsidRPr="003A4C23" w:rsidRDefault="003540FA" w:rsidP="00A66BD2">
      <w:pPr>
        <w:ind w:left="540"/>
        <w:rPr>
          <w:lang w:val="pt-BR"/>
        </w:rPr>
      </w:pPr>
    </w:p>
    <w:p w:rsidR="00A66BD2" w:rsidRPr="003A4C23" w:rsidRDefault="000773D2" w:rsidP="00A66BD2">
      <w:pPr>
        <w:spacing w:after="60"/>
        <w:ind w:left="720"/>
        <w:rPr>
          <w:lang w:val="pt-BR"/>
        </w:rPr>
      </w:pPr>
      <w:r w:rsidRPr="003A4C23">
        <w:rPr>
          <w:b/>
          <w:szCs w:val="18"/>
          <w:lang w:val="pt-BR"/>
        </w:rPr>
        <w:t>Definição</w:t>
      </w:r>
    </w:p>
    <w:p w:rsidR="000773D2" w:rsidRPr="003A4C23" w:rsidRDefault="00A66BD2" w:rsidP="00A66BD2">
      <w:pPr>
        <w:ind w:left="720"/>
        <w:rPr>
          <w:lang w:val="pt-BR"/>
        </w:rPr>
      </w:pPr>
      <w:r w:rsidRPr="003A4C23">
        <w:rPr>
          <w:b/>
          <w:szCs w:val="18"/>
          <w:lang w:val="pt-BR"/>
        </w:rPr>
        <w:t>“</w:t>
      </w:r>
      <w:r w:rsidRPr="003A4C23">
        <w:rPr>
          <w:szCs w:val="18"/>
          <w:lang w:val="pt-BR"/>
        </w:rPr>
        <w:t xml:space="preserve">Transição” significa a conversão de uma Licença </w:t>
      </w:r>
      <w:r w:rsidRPr="003A4C23">
        <w:rPr>
          <w:rFonts w:cs="Tahoma"/>
          <w:szCs w:val="18"/>
          <w:lang w:val="pt-BR"/>
        </w:rPr>
        <w:t>com o Software Assurance atual para ou de uma licença de assinatura.</w:t>
      </w:r>
      <w:r w:rsidR="005A52A2" w:rsidRPr="003A4C23">
        <w:rPr>
          <w:rFonts w:cs="Tahoma"/>
          <w:szCs w:val="18"/>
          <w:lang w:val="pt-BR"/>
        </w:rPr>
        <w:t xml:space="preserve"> </w:t>
      </w:r>
    </w:p>
    <w:p w:rsidR="00A66BD2" w:rsidRPr="003A4C23" w:rsidRDefault="00A66BD2" w:rsidP="00A66BD2">
      <w:pPr>
        <w:ind w:left="720"/>
        <w:rPr>
          <w:lang w:val="pt-BR"/>
        </w:rPr>
      </w:pPr>
    </w:p>
    <w:p w:rsidR="00A66BD2" w:rsidRPr="003A4C23" w:rsidRDefault="000773D2" w:rsidP="00A66BD2">
      <w:pPr>
        <w:spacing w:after="60"/>
        <w:ind w:left="720"/>
        <w:rPr>
          <w:lang w:val="pt-BR"/>
        </w:rPr>
      </w:pPr>
      <w:r w:rsidRPr="003A4C23">
        <w:rPr>
          <w:b/>
          <w:szCs w:val="18"/>
          <w:lang w:val="pt-BR"/>
        </w:rPr>
        <w:t xml:space="preserve">Direitos de Uso Aplicáveis </w:t>
      </w:r>
    </w:p>
    <w:p w:rsidR="000773D2" w:rsidRPr="003A4C23" w:rsidRDefault="000773D2" w:rsidP="00A66BD2">
      <w:pPr>
        <w:spacing w:line="276" w:lineRule="auto"/>
        <w:ind w:left="720"/>
        <w:rPr>
          <w:lang w:val="pt-BR"/>
        </w:rPr>
      </w:pPr>
      <w:r w:rsidRPr="003A4C23">
        <w:rPr>
          <w:rFonts w:eastAsia="Calibri" w:cs="Tahoma"/>
          <w:szCs w:val="18"/>
          <w:lang w:val="pt-BR"/>
        </w:rPr>
        <w:t>O Bridge do Pacote de CALs é independente da versão e os Direitos de Uso de Produto são determinados pelo status da cobertura do Software Assurance sobre ele.</w:t>
      </w:r>
      <w:r w:rsidR="005A52A2" w:rsidRPr="003A4C23">
        <w:rPr>
          <w:rFonts w:eastAsia="Calibri" w:cs="Tahoma"/>
          <w:szCs w:val="18"/>
          <w:lang w:val="pt-BR"/>
        </w:rPr>
        <w:t xml:space="preserve"> </w:t>
      </w:r>
      <w:r w:rsidRPr="003A4C23">
        <w:rPr>
          <w:rFonts w:eastAsia="Calibri" w:cs="Tahoma"/>
          <w:szCs w:val="18"/>
          <w:lang w:val="pt-BR"/>
        </w:rPr>
        <w:t>Se a cobertura for interrompida, os direitos de acesso sob as Licenças perpétuas serão determinados com base nos Direitos de Uso de Produto em vigor antes da interrupção.</w:t>
      </w:r>
      <w:r w:rsidR="005A52A2" w:rsidRPr="003A4C23">
        <w:rPr>
          <w:rFonts w:eastAsia="Calibri" w:cs="Tahoma"/>
          <w:szCs w:val="18"/>
          <w:lang w:val="pt-BR"/>
        </w:rPr>
        <w:t xml:space="preserve"> </w:t>
      </w:r>
      <w:r w:rsidRPr="003A4C23">
        <w:rPr>
          <w:rFonts w:eastAsia="Calibri" w:cs="Tahoma"/>
          <w:szCs w:val="18"/>
          <w:lang w:val="pt-BR"/>
        </w:rPr>
        <w:t>A Licença para um Bridge do Pacote de CALs é uma licença individual que deverá ser cedida a um único usuário ou dispositivo.</w:t>
      </w:r>
    </w:p>
    <w:p w:rsidR="00A66BD2" w:rsidRPr="003A4C23" w:rsidRDefault="00A66BD2" w:rsidP="00A66BD2">
      <w:pPr>
        <w:spacing w:line="276" w:lineRule="auto"/>
        <w:ind w:left="720"/>
        <w:rPr>
          <w:lang w:val="pt-BR"/>
        </w:rPr>
      </w:pPr>
    </w:p>
    <w:p w:rsidR="00A66BD2" w:rsidRPr="003A4C23" w:rsidRDefault="000773D2" w:rsidP="00A66BD2">
      <w:pPr>
        <w:spacing w:after="60"/>
        <w:ind w:left="720"/>
        <w:rPr>
          <w:lang w:val="pt-BR"/>
        </w:rPr>
      </w:pPr>
      <w:r w:rsidRPr="003A4C23">
        <w:rPr>
          <w:b/>
          <w:szCs w:val="18"/>
          <w:lang w:val="pt-BR"/>
        </w:rPr>
        <w:t>Exigências</w:t>
      </w:r>
    </w:p>
    <w:p w:rsidR="000773D2" w:rsidRPr="003A4C23" w:rsidRDefault="000773D2" w:rsidP="00A66BD2">
      <w:pPr>
        <w:spacing w:line="276" w:lineRule="auto"/>
        <w:ind w:left="720"/>
        <w:rPr>
          <w:lang w:val="pt-BR"/>
        </w:rPr>
      </w:pPr>
      <w:r w:rsidRPr="003A4C23">
        <w:rPr>
          <w:rFonts w:eastAsia="Calibri" w:cs="Tahoma"/>
          <w:szCs w:val="18"/>
          <w:lang w:val="pt-BR"/>
        </w:rPr>
        <w:t>Um Bridge do Pacote de CALs poderá ser solicitado durante a Transição de um Pacote de CALs para uma combinação de Produto e Serviço Online comparáveis.</w:t>
      </w:r>
      <w:r w:rsidR="005A52A2" w:rsidRPr="003A4C23">
        <w:rPr>
          <w:rFonts w:eastAsia="Calibri" w:cs="Tahoma"/>
          <w:szCs w:val="18"/>
          <w:lang w:val="pt-BR"/>
        </w:rPr>
        <w:t xml:space="preserve"> </w:t>
      </w:r>
      <w:r w:rsidRPr="003A4C23">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5A52A2" w:rsidRPr="003A4C23">
        <w:rPr>
          <w:rFonts w:eastAsia="Calibri" w:cs="Tahoma"/>
          <w:szCs w:val="18"/>
          <w:lang w:val="pt-BR"/>
        </w:rPr>
        <w:t xml:space="preserve"> </w:t>
      </w:r>
      <w:r w:rsidRPr="003A4C23">
        <w:rPr>
          <w:rFonts w:eastAsia="Calibri" w:cs="Tahoma"/>
          <w:szCs w:val="18"/>
          <w:lang w:val="pt-BR"/>
        </w:rPr>
        <w:t>Em vez disso, o Software Assurance poderá ser comprado para o Bridge do Pacote de CALs no aniversário do Registro em que a Transição entrar em vigor.</w:t>
      </w:r>
      <w:r w:rsidR="005A52A2" w:rsidRPr="003A4C23">
        <w:rPr>
          <w:rFonts w:eastAsia="Calibri" w:cs="Tahoma"/>
          <w:szCs w:val="18"/>
          <w:lang w:val="pt-BR"/>
        </w:rPr>
        <w:t xml:space="preserve"> </w:t>
      </w:r>
      <w:r w:rsidRPr="003A4C23">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5A52A2" w:rsidRPr="003A4C23">
        <w:rPr>
          <w:rFonts w:eastAsia="Calibri" w:cs="Tahoma"/>
          <w:szCs w:val="18"/>
          <w:lang w:val="pt-BR"/>
        </w:rPr>
        <w:t xml:space="preserve"> </w:t>
      </w:r>
    </w:p>
    <w:p w:rsidR="00A66BD2" w:rsidRPr="003A4C23" w:rsidRDefault="00A66BD2" w:rsidP="00A66BD2">
      <w:pPr>
        <w:spacing w:line="276" w:lineRule="auto"/>
        <w:ind w:left="720"/>
        <w:rPr>
          <w:lang w:val="pt-BR"/>
        </w:rPr>
      </w:pPr>
    </w:p>
    <w:p w:rsidR="000773D2" w:rsidRPr="003A4C23" w:rsidRDefault="000773D2" w:rsidP="00A66BD2">
      <w:pPr>
        <w:spacing w:line="276" w:lineRule="auto"/>
        <w:ind w:left="720"/>
        <w:rPr>
          <w:lang w:val="pt-BR"/>
        </w:rPr>
      </w:pPr>
      <w:r w:rsidRPr="003A4C23">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rsidR="002A6416" w:rsidRPr="003A4C23" w:rsidRDefault="002A6416" w:rsidP="002A6416">
      <w:pPr>
        <w:spacing w:line="276" w:lineRule="auto"/>
        <w:ind w:left="720"/>
        <w:rPr>
          <w:lang w:val="pt-BR"/>
        </w:rPr>
      </w:pPr>
    </w:p>
    <w:tbl>
      <w:tblPr>
        <w:tblW w:w="4366" w:type="pct"/>
        <w:tblInd w:w="730" w:type="dxa"/>
        <w:tblCellMar>
          <w:left w:w="0" w:type="dxa"/>
          <w:right w:w="0" w:type="dxa"/>
        </w:tblCellMar>
        <w:tblLook w:val="04A0" w:firstRow="1" w:lastRow="0" w:firstColumn="1" w:lastColumn="0" w:noHBand="0" w:noVBand="1"/>
      </w:tblPr>
      <w:tblGrid>
        <w:gridCol w:w="2600"/>
        <w:gridCol w:w="2150"/>
        <w:gridCol w:w="3406"/>
      </w:tblGrid>
      <w:tr w:rsidR="005A36EF" w:rsidRPr="00653421" w:rsidTr="002246E1">
        <w:trPr>
          <w:tblHeader/>
        </w:trPr>
        <w:tc>
          <w:tcPr>
            <w:tcW w:w="159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3A4C23" w:rsidRDefault="000773D2" w:rsidP="000773D2">
            <w:pPr>
              <w:spacing w:before="80" w:after="200" w:line="276" w:lineRule="auto"/>
              <w:jc w:val="center"/>
              <w:rPr>
                <w:rFonts w:eastAsia="Calibri" w:cs="Tahoma"/>
                <w:b/>
                <w:bCs/>
                <w:color w:val="000000"/>
                <w:szCs w:val="18"/>
                <w:lang w:val="pt-BR" w:eastAsia="ja-JP"/>
              </w:rPr>
            </w:pPr>
            <w:r w:rsidRPr="003A4C23">
              <w:rPr>
                <w:rFonts w:eastAsia="Calibri" w:cs="Tahoma"/>
                <w:b/>
                <w:bCs/>
                <w:szCs w:val="18"/>
                <w:lang w:val="pt-BR"/>
              </w:rPr>
              <w:t>Bridge do Pacote de CALs</w:t>
            </w:r>
          </w:p>
        </w:tc>
        <w:tc>
          <w:tcPr>
            <w:tcW w:w="1318" w:type="pct"/>
            <w:tcBorders>
              <w:top w:val="single" w:sz="8" w:space="0" w:color="auto"/>
              <w:left w:val="nil"/>
              <w:bottom w:val="single" w:sz="8" w:space="0" w:color="auto"/>
              <w:right w:val="single" w:sz="8" w:space="0" w:color="auto"/>
            </w:tcBorders>
            <w:shd w:val="clear" w:color="auto" w:fill="FABF8F"/>
            <w:vAlign w:val="center"/>
            <w:hideMark/>
          </w:tcPr>
          <w:p w:rsidR="000773D2" w:rsidRPr="00653421" w:rsidRDefault="000773D2" w:rsidP="000773D2">
            <w:pPr>
              <w:spacing w:before="80" w:after="200" w:line="276" w:lineRule="auto"/>
              <w:jc w:val="center"/>
              <w:rPr>
                <w:rFonts w:eastAsia="Calibri" w:cs="Tahoma"/>
                <w:b/>
                <w:bCs/>
                <w:color w:val="000000"/>
                <w:szCs w:val="18"/>
                <w:lang w:eastAsia="ja-JP"/>
              </w:rPr>
            </w:pPr>
            <w:r w:rsidRPr="00653421">
              <w:rPr>
                <w:rFonts w:eastAsia="Calibri" w:cs="Tahoma"/>
                <w:b/>
                <w:bCs/>
                <w:szCs w:val="18"/>
              </w:rPr>
              <w:t>Pacote de CALs Pai</w:t>
            </w:r>
          </w:p>
        </w:tc>
        <w:tc>
          <w:tcPr>
            <w:tcW w:w="2088" w:type="pct"/>
            <w:tcBorders>
              <w:top w:val="single" w:sz="8" w:space="0" w:color="auto"/>
              <w:left w:val="nil"/>
              <w:bottom w:val="single" w:sz="8" w:space="0" w:color="auto"/>
              <w:right w:val="single" w:sz="8" w:space="0" w:color="auto"/>
            </w:tcBorders>
            <w:shd w:val="clear" w:color="auto" w:fill="FABF8F"/>
            <w:hideMark/>
          </w:tcPr>
          <w:p w:rsidR="000773D2" w:rsidRPr="00653421" w:rsidRDefault="000773D2" w:rsidP="005A36EF">
            <w:pPr>
              <w:spacing w:before="80" w:after="200" w:line="276" w:lineRule="auto"/>
              <w:ind w:left="180" w:right="180"/>
              <w:jc w:val="center"/>
              <w:rPr>
                <w:rFonts w:eastAsia="Calibri" w:cs="Tahoma"/>
                <w:b/>
                <w:bCs/>
                <w:color w:val="000000"/>
                <w:szCs w:val="18"/>
                <w:lang w:eastAsia="ja-JP"/>
              </w:rPr>
            </w:pPr>
            <w:r w:rsidRPr="00653421">
              <w:rPr>
                <w:rFonts w:eastAsia="Calibri" w:cs="Tahoma"/>
                <w:b/>
                <w:bCs/>
                <w:szCs w:val="18"/>
              </w:rPr>
              <w:t>Serviços Online Qualificados</w:t>
            </w:r>
          </w:p>
        </w:tc>
      </w:tr>
      <w:tr w:rsidR="005A36EF" w:rsidRPr="00653421" w:rsidTr="002246E1">
        <w:trPr>
          <w:trHeight w:val="576"/>
        </w:trPr>
        <w:tc>
          <w:tcPr>
            <w:tcW w:w="1594" w:type="pct"/>
            <w:tcBorders>
              <w:top w:val="nil"/>
              <w:left w:val="single" w:sz="8" w:space="0" w:color="auto"/>
              <w:bottom w:val="single" w:sz="8" w:space="0" w:color="auto"/>
              <w:right w:val="single" w:sz="8" w:space="0" w:color="auto"/>
            </w:tcBorders>
          </w:tcPr>
          <w:p w:rsidR="000773D2" w:rsidRPr="003A4C23" w:rsidRDefault="000773D2" w:rsidP="002C1048">
            <w:pPr>
              <w:numPr>
                <w:ilvl w:val="0"/>
                <w:numId w:val="52"/>
              </w:numPr>
              <w:spacing w:before="120" w:after="200" w:line="276" w:lineRule="auto"/>
              <w:ind w:left="679" w:right="181" w:hanging="450"/>
              <w:rPr>
                <w:rFonts w:eastAsia="Calibri" w:cs="Tahoma"/>
                <w:color w:val="000000"/>
                <w:szCs w:val="18"/>
                <w:lang w:val="pt-BR"/>
              </w:rPr>
            </w:pPr>
            <w:r w:rsidRPr="003A4C23">
              <w:rPr>
                <w:rFonts w:eastAsia="Calibri" w:cs="Tahoma"/>
                <w:color w:val="000000"/>
                <w:szCs w:val="18"/>
                <w:lang w:val="pt-BR"/>
              </w:rPr>
              <w:t>Bridge do Pacote de CALs Principais para Office 365</w:t>
            </w:r>
          </w:p>
        </w:tc>
        <w:tc>
          <w:tcPr>
            <w:tcW w:w="1318" w:type="pct"/>
            <w:tcBorders>
              <w:top w:val="nil"/>
              <w:left w:val="nil"/>
              <w:bottom w:val="single" w:sz="8" w:space="0" w:color="auto"/>
              <w:right w:val="single" w:sz="8" w:space="0" w:color="auto"/>
            </w:tcBorders>
          </w:tcPr>
          <w:p w:rsidR="000773D2" w:rsidRPr="00653421" w:rsidRDefault="000773D2" w:rsidP="002C1048">
            <w:pPr>
              <w:numPr>
                <w:ilvl w:val="0"/>
                <w:numId w:val="53"/>
              </w:numPr>
              <w:spacing w:before="120" w:after="200" w:line="276" w:lineRule="auto"/>
              <w:ind w:left="682" w:hanging="450"/>
              <w:rPr>
                <w:rFonts w:eastAsia="Calibri" w:cs="Tahoma"/>
                <w:color w:val="000000"/>
                <w:szCs w:val="18"/>
              </w:rPr>
            </w:pPr>
            <w:r w:rsidRPr="00653421">
              <w:rPr>
                <w:rFonts w:eastAsia="Calibri" w:cs="Tahoma"/>
                <w:color w:val="000000"/>
                <w:szCs w:val="18"/>
              </w:rPr>
              <w:t>Core CAL Suite</w:t>
            </w:r>
          </w:p>
        </w:tc>
        <w:tc>
          <w:tcPr>
            <w:tcW w:w="2088" w:type="pct"/>
            <w:tcBorders>
              <w:top w:val="nil"/>
              <w:left w:val="nil"/>
              <w:bottom w:val="single" w:sz="8" w:space="0" w:color="auto"/>
              <w:right w:val="single" w:sz="8" w:space="0" w:color="auto"/>
            </w:tcBorders>
          </w:tcPr>
          <w:p w:rsidR="000773D2" w:rsidRPr="00653421" w:rsidRDefault="000773D2" w:rsidP="002C1048">
            <w:pPr>
              <w:numPr>
                <w:ilvl w:val="0"/>
                <w:numId w:val="54"/>
              </w:numPr>
              <w:spacing w:before="120" w:after="200" w:line="276" w:lineRule="auto"/>
              <w:ind w:left="684" w:right="181" w:hanging="450"/>
            </w:pPr>
            <w:r w:rsidRPr="00653421">
              <w:rPr>
                <w:rFonts w:eastAsia="Calibri" w:cs="Tahoma"/>
                <w:color w:val="000000"/>
                <w:szCs w:val="18"/>
              </w:rPr>
              <w:t>Office 365 Enterprise E1 ou</w:t>
            </w:r>
          </w:p>
          <w:p w:rsidR="000773D2" w:rsidRPr="00653421" w:rsidRDefault="000773D2" w:rsidP="002C1048">
            <w:pPr>
              <w:numPr>
                <w:ilvl w:val="0"/>
                <w:numId w:val="54"/>
              </w:numPr>
              <w:spacing w:before="120" w:after="200" w:line="276" w:lineRule="auto"/>
              <w:ind w:left="684" w:right="181" w:hanging="450"/>
            </w:pPr>
            <w:r w:rsidRPr="00653421">
              <w:rPr>
                <w:rFonts w:eastAsia="Calibri" w:cs="Tahoma"/>
                <w:color w:val="000000"/>
                <w:szCs w:val="18"/>
              </w:rPr>
              <w:t>Office 365 Enterprise E2 ou</w:t>
            </w:r>
          </w:p>
          <w:p w:rsidR="000773D2" w:rsidRPr="00653421" w:rsidRDefault="000773D2" w:rsidP="002C1048">
            <w:pPr>
              <w:numPr>
                <w:ilvl w:val="0"/>
                <w:numId w:val="54"/>
              </w:numPr>
              <w:spacing w:before="120" w:after="200" w:line="276" w:lineRule="auto"/>
              <w:ind w:left="684" w:right="181" w:hanging="450"/>
            </w:pPr>
            <w:r w:rsidRPr="00653421">
              <w:rPr>
                <w:rFonts w:eastAsia="Calibri" w:cs="Tahoma"/>
                <w:color w:val="000000"/>
                <w:szCs w:val="18"/>
              </w:rPr>
              <w:t>Office 365 Enterprise E3 ou</w:t>
            </w:r>
          </w:p>
          <w:p w:rsidR="000773D2" w:rsidRPr="00653421" w:rsidRDefault="000773D2" w:rsidP="009B3FA2">
            <w:pPr>
              <w:numPr>
                <w:ilvl w:val="0"/>
                <w:numId w:val="54"/>
              </w:numPr>
              <w:spacing w:before="120" w:after="200" w:line="276" w:lineRule="auto"/>
              <w:ind w:left="684" w:right="181" w:hanging="450"/>
              <w:rPr>
                <w:rFonts w:eastAsia="Calibri" w:cs="Tahoma"/>
                <w:color w:val="000000"/>
                <w:szCs w:val="18"/>
              </w:rPr>
            </w:pPr>
            <w:r w:rsidRPr="00653421">
              <w:rPr>
                <w:rFonts w:eastAsia="Calibri" w:cs="Tahoma"/>
                <w:color w:val="000000"/>
                <w:szCs w:val="18"/>
              </w:rPr>
              <w:t>Office 365 Enterprise E4</w:t>
            </w:r>
          </w:p>
        </w:tc>
      </w:tr>
      <w:tr w:rsidR="005A36EF" w:rsidRPr="00653421" w:rsidTr="002246E1">
        <w:trPr>
          <w:trHeight w:val="576"/>
        </w:trPr>
        <w:tc>
          <w:tcPr>
            <w:tcW w:w="1594" w:type="pct"/>
            <w:tcBorders>
              <w:top w:val="nil"/>
              <w:left w:val="single" w:sz="8" w:space="0" w:color="auto"/>
              <w:bottom w:val="single" w:sz="8" w:space="0" w:color="auto"/>
              <w:right w:val="single" w:sz="8" w:space="0" w:color="auto"/>
            </w:tcBorders>
          </w:tcPr>
          <w:p w:rsidR="000773D2" w:rsidRPr="003A4C23" w:rsidRDefault="000773D2" w:rsidP="002C1048">
            <w:pPr>
              <w:numPr>
                <w:ilvl w:val="0"/>
                <w:numId w:val="52"/>
              </w:numPr>
              <w:spacing w:before="120" w:after="200" w:line="276" w:lineRule="auto"/>
              <w:ind w:left="679" w:right="181" w:hanging="450"/>
              <w:rPr>
                <w:rFonts w:eastAsia="Calibri" w:cs="Tahoma"/>
                <w:color w:val="000000"/>
                <w:szCs w:val="18"/>
                <w:lang w:val="pt-BR"/>
              </w:rPr>
            </w:pPr>
            <w:r w:rsidRPr="003A4C23">
              <w:rPr>
                <w:rFonts w:eastAsia="Calibri" w:cs="Tahoma"/>
                <w:color w:val="000000"/>
                <w:szCs w:val="18"/>
                <w:lang w:val="pt-BR"/>
              </w:rPr>
              <w:t>Bridge do Pacote de CALs Principais para Office 365 e Windows Intune</w:t>
            </w:r>
          </w:p>
        </w:tc>
        <w:tc>
          <w:tcPr>
            <w:tcW w:w="1318" w:type="pct"/>
            <w:tcBorders>
              <w:top w:val="nil"/>
              <w:left w:val="nil"/>
              <w:bottom w:val="single" w:sz="8" w:space="0" w:color="auto"/>
              <w:right w:val="single" w:sz="8" w:space="0" w:color="auto"/>
            </w:tcBorders>
          </w:tcPr>
          <w:p w:rsidR="000773D2" w:rsidRPr="00653421" w:rsidRDefault="000773D2" w:rsidP="002C1048">
            <w:pPr>
              <w:numPr>
                <w:ilvl w:val="0"/>
                <w:numId w:val="53"/>
              </w:numPr>
              <w:spacing w:before="120" w:after="200" w:line="276" w:lineRule="auto"/>
              <w:ind w:left="682" w:hanging="450"/>
              <w:rPr>
                <w:rFonts w:eastAsia="Calibri" w:cs="Tahoma"/>
                <w:color w:val="000000"/>
                <w:szCs w:val="18"/>
              </w:rPr>
            </w:pPr>
            <w:r w:rsidRPr="00653421">
              <w:rPr>
                <w:rFonts w:eastAsia="Calibri" w:cs="Tahoma"/>
                <w:color w:val="000000"/>
                <w:szCs w:val="18"/>
              </w:rPr>
              <w:t>Core CAL Suite</w:t>
            </w:r>
          </w:p>
        </w:tc>
        <w:tc>
          <w:tcPr>
            <w:tcW w:w="2088" w:type="pct"/>
            <w:tcBorders>
              <w:top w:val="nil"/>
              <w:left w:val="nil"/>
              <w:bottom w:val="single" w:sz="8" w:space="0" w:color="auto"/>
              <w:right w:val="single" w:sz="8" w:space="0" w:color="auto"/>
            </w:tcBorders>
          </w:tcPr>
          <w:p w:rsidR="000773D2" w:rsidRPr="00653421" w:rsidRDefault="000773D2" w:rsidP="002246E1">
            <w:pPr>
              <w:numPr>
                <w:ilvl w:val="0"/>
                <w:numId w:val="54"/>
              </w:numPr>
              <w:spacing w:before="120" w:after="200" w:line="276" w:lineRule="auto"/>
              <w:ind w:left="684" w:right="1" w:hanging="450"/>
            </w:pPr>
            <w:r w:rsidRPr="00653421">
              <w:rPr>
                <w:rFonts w:eastAsia="Calibri" w:cs="Tahoma"/>
                <w:color w:val="000000"/>
                <w:szCs w:val="18"/>
              </w:rPr>
              <w:t>Office 365 Enterprise E1 e</w:t>
            </w:r>
            <w:r w:rsidR="002246E1" w:rsidRPr="00653421">
              <w:rPr>
                <w:rFonts w:eastAsia="Calibri" w:cs="Tahoma"/>
                <w:color w:val="000000"/>
                <w:szCs w:val="18"/>
              </w:rPr>
              <w:t> </w:t>
            </w:r>
            <w:r w:rsidRPr="00653421">
              <w:rPr>
                <w:rFonts w:eastAsia="Calibri" w:cs="Tahoma"/>
                <w:color w:val="000000"/>
                <w:szCs w:val="18"/>
              </w:rPr>
              <w:t>Windows Intune ou</w:t>
            </w:r>
          </w:p>
          <w:p w:rsidR="000773D2" w:rsidRPr="00653421" w:rsidRDefault="000773D2" w:rsidP="002C1048">
            <w:pPr>
              <w:numPr>
                <w:ilvl w:val="0"/>
                <w:numId w:val="54"/>
              </w:numPr>
              <w:spacing w:before="120" w:after="200" w:line="276" w:lineRule="auto"/>
              <w:ind w:left="684" w:right="181" w:hanging="450"/>
            </w:pPr>
            <w:r w:rsidRPr="00653421">
              <w:rPr>
                <w:rFonts w:eastAsia="Calibri" w:cs="Tahoma"/>
                <w:color w:val="000000"/>
                <w:szCs w:val="18"/>
              </w:rPr>
              <w:t>Office 365 Enterprise E2 e</w:t>
            </w:r>
            <w:r w:rsidR="002246E1" w:rsidRPr="00653421">
              <w:rPr>
                <w:rFonts w:eastAsia="Calibri" w:cs="Tahoma"/>
                <w:color w:val="000000"/>
                <w:szCs w:val="18"/>
              </w:rPr>
              <w:t> </w:t>
            </w:r>
            <w:r w:rsidRPr="00653421">
              <w:rPr>
                <w:rFonts w:eastAsia="Calibri" w:cs="Tahoma"/>
                <w:color w:val="000000"/>
                <w:szCs w:val="18"/>
              </w:rPr>
              <w:t>Windows Intune ou</w:t>
            </w:r>
          </w:p>
          <w:p w:rsidR="000773D2" w:rsidRPr="00653421" w:rsidRDefault="000773D2" w:rsidP="002C1048">
            <w:pPr>
              <w:numPr>
                <w:ilvl w:val="0"/>
                <w:numId w:val="54"/>
              </w:numPr>
              <w:spacing w:before="120" w:after="200" w:line="276" w:lineRule="auto"/>
              <w:ind w:left="684" w:right="181" w:hanging="450"/>
            </w:pPr>
            <w:r w:rsidRPr="00653421">
              <w:rPr>
                <w:rFonts w:eastAsia="Calibri" w:cs="Tahoma"/>
                <w:color w:val="000000"/>
                <w:szCs w:val="18"/>
              </w:rPr>
              <w:t>Office 365 Enterprise E3 e</w:t>
            </w:r>
            <w:r w:rsidR="002246E1" w:rsidRPr="00653421">
              <w:rPr>
                <w:rFonts w:eastAsia="Calibri" w:cs="Tahoma"/>
                <w:color w:val="000000"/>
                <w:szCs w:val="18"/>
              </w:rPr>
              <w:t> </w:t>
            </w:r>
            <w:r w:rsidRPr="00653421">
              <w:rPr>
                <w:rFonts w:eastAsia="Calibri" w:cs="Tahoma"/>
                <w:color w:val="000000"/>
                <w:szCs w:val="18"/>
              </w:rPr>
              <w:t>Windows Intune ou</w:t>
            </w:r>
          </w:p>
          <w:p w:rsidR="000773D2" w:rsidRPr="00653421" w:rsidRDefault="000773D2" w:rsidP="002246E1">
            <w:pPr>
              <w:numPr>
                <w:ilvl w:val="0"/>
                <w:numId w:val="54"/>
              </w:numPr>
              <w:spacing w:before="120" w:after="200" w:line="276" w:lineRule="auto"/>
              <w:ind w:left="684" w:right="181" w:hanging="450"/>
              <w:rPr>
                <w:rFonts w:eastAsia="Calibri" w:cs="Tahoma"/>
                <w:color w:val="000000"/>
                <w:szCs w:val="18"/>
              </w:rPr>
            </w:pPr>
            <w:r w:rsidRPr="00653421">
              <w:rPr>
                <w:rFonts w:eastAsia="Calibri" w:cs="Tahoma"/>
                <w:color w:val="000000"/>
                <w:szCs w:val="18"/>
              </w:rPr>
              <w:t>Office 365 Enterprise E4 e</w:t>
            </w:r>
            <w:r w:rsidR="002246E1" w:rsidRPr="00653421">
              <w:rPr>
                <w:rFonts w:eastAsia="Calibri" w:cs="Tahoma"/>
                <w:color w:val="000000"/>
                <w:szCs w:val="18"/>
              </w:rPr>
              <w:t> </w:t>
            </w:r>
            <w:r w:rsidRPr="00653421">
              <w:rPr>
                <w:rFonts w:eastAsia="Calibri" w:cs="Tahoma"/>
                <w:color w:val="000000"/>
                <w:szCs w:val="18"/>
              </w:rPr>
              <w:t>Windows Intune</w:t>
            </w:r>
          </w:p>
        </w:tc>
      </w:tr>
      <w:tr w:rsidR="00A2083B" w:rsidRPr="00653421" w:rsidTr="002246E1">
        <w:trPr>
          <w:trHeight w:val="576"/>
        </w:trPr>
        <w:tc>
          <w:tcPr>
            <w:tcW w:w="1594" w:type="pct"/>
            <w:tcBorders>
              <w:top w:val="single" w:sz="8" w:space="0" w:color="auto"/>
              <w:left w:val="single" w:sz="8" w:space="0" w:color="auto"/>
              <w:bottom w:val="single" w:sz="8" w:space="0" w:color="auto"/>
              <w:right w:val="single" w:sz="8" w:space="0" w:color="auto"/>
            </w:tcBorders>
          </w:tcPr>
          <w:p w:rsidR="00A2083B" w:rsidRPr="003A4C23" w:rsidRDefault="00A2083B" w:rsidP="002C1048">
            <w:pPr>
              <w:numPr>
                <w:ilvl w:val="0"/>
                <w:numId w:val="52"/>
              </w:numPr>
              <w:spacing w:before="120" w:after="200" w:line="276" w:lineRule="auto"/>
              <w:ind w:left="679" w:right="181" w:hanging="450"/>
              <w:rPr>
                <w:rFonts w:eastAsia="Calibri" w:cs="Tahoma"/>
                <w:color w:val="000000"/>
                <w:szCs w:val="18"/>
                <w:lang w:val="pt-BR"/>
              </w:rPr>
            </w:pPr>
            <w:r w:rsidRPr="003A4C23">
              <w:rPr>
                <w:rFonts w:cs="Tahoma"/>
                <w:color w:val="000000"/>
                <w:szCs w:val="18"/>
                <w:lang w:val="pt-BR"/>
              </w:rPr>
              <w:lastRenderedPageBreak/>
              <w:t>Bridge do Pacote de CALs Principais para Windows Intune</w:t>
            </w:r>
          </w:p>
        </w:tc>
        <w:tc>
          <w:tcPr>
            <w:tcW w:w="1318" w:type="pct"/>
            <w:tcBorders>
              <w:top w:val="single" w:sz="8" w:space="0" w:color="auto"/>
              <w:left w:val="nil"/>
              <w:bottom w:val="single" w:sz="8" w:space="0" w:color="auto"/>
              <w:right w:val="single" w:sz="8" w:space="0" w:color="auto"/>
            </w:tcBorders>
          </w:tcPr>
          <w:p w:rsidR="00A2083B" w:rsidRPr="00653421" w:rsidRDefault="00A2083B" w:rsidP="002C1048">
            <w:pPr>
              <w:numPr>
                <w:ilvl w:val="0"/>
                <w:numId w:val="53"/>
              </w:numPr>
              <w:spacing w:before="120" w:after="200" w:line="276" w:lineRule="auto"/>
              <w:ind w:left="682" w:hanging="450"/>
              <w:rPr>
                <w:rFonts w:eastAsia="Calibri" w:cs="Tahoma"/>
                <w:color w:val="000000"/>
                <w:szCs w:val="18"/>
              </w:rPr>
            </w:pPr>
            <w:r w:rsidRPr="00653421">
              <w:rPr>
                <w:rFonts w:cs="Tahoma"/>
                <w:color w:val="000000"/>
                <w:szCs w:val="18"/>
              </w:rPr>
              <w:t>Core CAL Suite</w:t>
            </w:r>
          </w:p>
        </w:tc>
        <w:tc>
          <w:tcPr>
            <w:tcW w:w="2088" w:type="pct"/>
            <w:tcBorders>
              <w:top w:val="single" w:sz="8" w:space="0" w:color="auto"/>
              <w:left w:val="nil"/>
              <w:bottom w:val="single" w:sz="8" w:space="0" w:color="auto"/>
              <w:right w:val="single" w:sz="8" w:space="0" w:color="auto"/>
            </w:tcBorders>
          </w:tcPr>
          <w:p w:rsidR="00A2083B" w:rsidRPr="00653421" w:rsidRDefault="00A2083B" w:rsidP="002C1048">
            <w:pPr>
              <w:numPr>
                <w:ilvl w:val="0"/>
                <w:numId w:val="54"/>
              </w:numPr>
              <w:spacing w:before="120" w:after="200" w:line="276" w:lineRule="auto"/>
              <w:ind w:left="684" w:right="181" w:hanging="450"/>
              <w:rPr>
                <w:rFonts w:eastAsia="Calibri" w:cs="Tahoma"/>
                <w:color w:val="000000"/>
                <w:szCs w:val="18"/>
              </w:rPr>
            </w:pPr>
            <w:r w:rsidRPr="00653421">
              <w:rPr>
                <w:rFonts w:cs="Tahoma"/>
                <w:color w:val="000000"/>
                <w:szCs w:val="18"/>
              </w:rPr>
              <w:t>Windows</w:t>
            </w:r>
            <w:r w:rsidRPr="00653421">
              <w:rPr>
                <w:rFonts w:cs="Tahoma"/>
                <w:color w:val="000000"/>
                <w:szCs w:val="18"/>
                <w:vertAlign w:val="superscript"/>
              </w:rPr>
              <w:t xml:space="preserve"> </w:t>
            </w:r>
            <w:r w:rsidRPr="00653421">
              <w:rPr>
                <w:rFonts w:cs="Tahoma"/>
                <w:color w:val="000000"/>
                <w:szCs w:val="18"/>
              </w:rPr>
              <w:t>Intune</w:t>
            </w:r>
          </w:p>
        </w:tc>
      </w:tr>
    </w:tbl>
    <w:p w:rsidR="00141883" w:rsidRPr="00653421" w:rsidRDefault="00141883" w:rsidP="00141883">
      <w:bookmarkStart w:id="1188" w:name="_Toc336338295"/>
      <w:bookmarkStart w:id="1189" w:name="Srv_34CoreCALSuite"/>
      <w:bookmarkStart w:id="1190" w:name="Srv_31CoreCALSuite"/>
    </w:p>
    <w:p w:rsidR="00141883" w:rsidRPr="00653421" w:rsidRDefault="00141883" w:rsidP="00141883"/>
    <w:p w:rsidR="00023FE7" w:rsidRPr="00653421" w:rsidRDefault="004668D9">
      <w:pPr>
        <w:pStyle w:val="Heading3"/>
      </w:pPr>
      <w:bookmarkStart w:id="1191" w:name="_37_Pacote_de"/>
      <w:bookmarkStart w:id="1192" w:name="_Toc353470943"/>
      <w:bookmarkEnd w:id="1191"/>
      <w:r w:rsidRPr="00653421">
        <w:rPr>
          <w:rFonts w:ascii="Tahoma" w:hAnsi="Tahoma"/>
          <w:caps/>
          <w:color w:val="F66400"/>
          <w:sz w:val="22"/>
          <w:vertAlign w:val="superscript"/>
        </w:rPr>
        <w:t>37</w:t>
      </w:r>
      <w:r w:rsidRPr="00653421">
        <w:rPr>
          <w:rFonts w:ascii="Tahoma" w:hAnsi="Tahoma"/>
          <w:color w:val="F66400"/>
          <w:sz w:val="22"/>
        </w:rPr>
        <w:t xml:space="preserve"> Pacote de CALs Principais</w:t>
      </w:r>
      <w:bookmarkEnd w:id="1188"/>
      <w:bookmarkEnd w:id="1192"/>
    </w:p>
    <w:bookmarkEnd w:id="1189"/>
    <w:bookmarkEnd w:id="1190"/>
    <w:p w:rsidR="00023FE7" w:rsidRPr="00653421" w:rsidRDefault="00023FE7">
      <w:pPr>
        <w:ind w:firstLine="540"/>
        <w:rPr>
          <w:sz w:val="16"/>
          <w:szCs w:val="16"/>
        </w:rPr>
      </w:pPr>
    </w:p>
    <w:p w:rsidR="000D76F0" w:rsidRPr="003A4C23" w:rsidRDefault="000D76F0" w:rsidP="001154B5">
      <w:pPr>
        <w:ind w:left="720"/>
        <w:rPr>
          <w:lang w:val="pt-BR"/>
        </w:rPr>
      </w:pPr>
      <w:r w:rsidRPr="003A4C23">
        <w:rPr>
          <w:rFonts w:cs="Tahoma"/>
          <w:szCs w:val="20"/>
          <w:lang w:val="pt-BR"/>
        </w:rPr>
        <w:t>O Core CAL Suite é independente da versão e os direitos de uso de produto são determinados pelo status da cobertura do Software Assurance para o Core CAL Suite.</w:t>
      </w:r>
      <w:r w:rsidR="005A52A2" w:rsidRPr="003A4C23">
        <w:rPr>
          <w:rFonts w:cs="Tahoma"/>
          <w:szCs w:val="20"/>
          <w:lang w:val="pt-BR"/>
        </w:rPr>
        <w:t xml:space="preserve"> </w:t>
      </w:r>
      <w:r w:rsidRPr="003A4C23">
        <w:rPr>
          <w:rFonts w:cs="Tahoma"/>
          <w:szCs w:val="20"/>
          <w:lang w:val="pt-BR"/>
        </w:rPr>
        <w:t>Se a cobertura for interrompida, os direitos de acesso sob as licenças perpétuas serão determinados com base nos direitos de uso de produto em vigor antes da interrupção.</w:t>
      </w:r>
      <w:r w:rsidR="005A52A2" w:rsidRPr="003A4C23">
        <w:rPr>
          <w:rFonts w:cs="Tahoma"/>
          <w:szCs w:val="20"/>
          <w:lang w:val="pt-BR"/>
        </w:rPr>
        <w:t xml:space="preserve"> </w:t>
      </w:r>
      <w:r w:rsidRPr="003A4C23">
        <w:rPr>
          <w:rFonts w:cs="Tahoma"/>
          <w:szCs w:val="20"/>
          <w:lang w:val="pt-BR"/>
        </w:rPr>
        <w:t xml:space="preserve">A partir de 1° de dezembro de 2012, uma licença para o Pacote de CALs Principais </w:t>
      </w:r>
      <w:r w:rsidRPr="003A4C23">
        <w:rPr>
          <w:rFonts w:cs="Tahoma"/>
          <w:color w:val="000000"/>
          <w:szCs w:val="20"/>
          <w:lang w:val="pt-BR"/>
        </w:rPr>
        <w:t>com cobertura do Software Assurance ativa concede direitos equivalentes aos segu</w:t>
      </w:r>
      <w:r w:rsidR="00392523" w:rsidRPr="003A4C23">
        <w:rPr>
          <w:rFonts w:cs="Tahoma"/>
          <w:color w:val="000000"/>
          <w:szCs w:val="20"/>
          <w:lang w:val="pt-BR"/>
        </w:rPr>
        <w:t>intes: CAL do Windows Server 20</w:t>
      </w:r>
      <w:r w:rsidRPr="003A4C23">
        <w:rPr>
          <w:rFonts w:cs="Tahoma"/>
          <w:color w:val="000000"/>
          <w:szCs w:val="20"/>
          <w:lang w:val="pt-BR"/>
        </w:rPr>
        <w:t xml:space="preserve">12, CAL Padrão do Exchange Server 2013, </w:t>
      </w:r>
      <w:r w:rsidRPr="003A4C23">
        <w:rPr>
          <w:color w:val="000000"/>
          <w:lang w:val="pt-BR"/>
        </w:rPr>
        <w:t xml:space="preserve">CAL Padrão do Lync Server 2013, </w:t>
      </w:r>
      <w:r w:rsidRPr="003A4C23">
        <w:rPr>
          <w:rFonts w:cs="Tahoma"/>
          <w:color w:val="000000"/>
          <w:szCs w:val="20"/>
          <w:lang w:val="pt-BR"/>
        </w:rPr>
        <w:t xml:space="preserve">CAL Padrão do SharePoint </w:t>
      </w:r>
      <w:r w:rsidRPr="003A4C23">
        <w:rPr>
          <w:rFonts w:cs="Tahoma"/>
          <w:szCs w:val="20"/>
          <w:lang w:val="pt-BR"/>
        </w:rPr>
        <w:t>Server 2013, Licença de Gerenciamento de Cliente do System Center 2012 Configuration Manager e System Center 2012 Endpoint Protection</w:t>
      </w:r>
      <w:r w:rsidRPr="003A4C23">
        <w:rPr>
          <w:rFonts w:cs="Tahoma"/>
          <w:color w:val="000000"/>
          <w:szCs w:val="20"/>
          <w:lang w:val="pt-BR"/>
        </w:rPr>
        <w:t>.</w:t>
      </w:r>
      <w:r w:rsidR="005A52A2" w:rsidRPr="003A4C23">
        <w:rPr>
          <w:rFonts w:cs="Tahoma"/>
          <w:color w:val="000000"/>
          <w:szCs w:val="20"/>
          <w:lang w:val="pt-BR"/>
        </w:rPr>
        <w:t xml:space="preserve"> </w:t>
      </w:r>
      <w:r w:rsidRPr="003A4C23">
        <w:rPr>
          <w:rFonts w:cs="Tahoma"/>
          <w:color w:val="000000"/>
          <w:szCs w:val="18"/>
          <w:lang w:val="pt-BR"/>
        </w:rPr>
        <w:t>Uma licença para o Core CAL Suite é uma licença individual que deverá ser cedida a um único usuário ou dispositivo.</w:t>
      </w:r>
      <w:r w:rsidR="005A52A2" w:rsidRPr="003A4C23">
        <w:rPr>
          <w:rFonts w:cs="Tahoma"/>
          <w:color w:val="000000"/>
          <w:szCs w:val="18"/>
          <w:lang w:val="pt-BR"/>
        </w:rPr>
        <w:t xml:space="preserve"> </w:t>
      </w:r>
      <w:r w:rsidRPr="003A4C23">
        <w:rPr>
          <w:rFonts w:cs="Tahoma"/>
          <w:color w:val="000000"/>
          <w:szCs w:val="18"/>
          <w:lang w:val="pt-BR"/>
        </w:rPr>
        <w:t>Conforme disposto no contrato da licença por volume, os clientes não poderão separar os direitos sob o Core CAL Suite para permitir que dois</w:t>
      </w:r>
      <w:r w:rsidR="002246E1" w:rsidRPr="003A4C23">
        <w:rPr>
          <w:rFonts w:cs="Tahoma"/>
          <w:color w:val="000000"/>
          <w:szCs w:val="18"/>
          <w:lang w:val="pt-BR"/>
        </w:rPr>
        <w:t> </w:t>
      </w:r>
      <w:r w:rsidRPr="003A4C23">
        <w:rPr>
          <w:rFonts w:cs="Tahoma"/>
          <w:color w:val="000000"/>
          <w:szCs w:val="18"/>
          <w:lang w:val="pt-BR"/>
        </w:rPr>
        <w:t xml:space="preserve">ou mais usuários ou dispositivos acessem seus diversos componentes ao mesmo tempo. </w:t>
      </w:r>
    </w:p>
    <w:p w:rsidR="00023FE7" w:rsidRPr="003A4C23" w:rsidRDefault="00023FE7" w:rsidP="001154B5">
      <w:pPr>
        <w:ind w:left="720"/>
        <w:rPr>
          <w:sz w:val="16"/>
          <w:szCs w:val="16"/>
          <w:lang w:val="pt-BR"/>
        </w:rPr>
      </w:pPr>
    </w:p>
    <w:p w:rsidR="00023FE7" w:rsidRPr="003A4C23" w:rsidRDefault="00023FE7" w:rsidP="00A66BD2">
      <w:pPr>
        <w:spacing w:after="60"/>
        <w:ind w:left="720"/>
        <w:rPr>
          <w:lang w:val="pt-BR"/>
        </w:rPr>
      </w:pPr>
      <w:r w:rsidRPr="003A4C23">
        <w:rPr>
          <w:rFonts w:cs="Tahoma"/>
          <w:b/>
          <w:bCs/>
          <w:color w:val="000000"/>
          <w:szCs w:val="20"/>
          <w:lang w:val="pt-BR"/>
        </w:rPr>
        <w:t>CALs Somente para Aluno (Licença Academic Open e Academic Select)</w:t>
      </w:r>
    </w:p>
    <w:p w:rsidR="00023FE7" w:rsidRPr="003A4C23" w:rsidRDefault="00023FE7" w:rsidP="001154B5">
      <w:pPr>
        <w:ind w:left="720"/>
        <w:rPr>
          <w:lang w:val="pt-BR"/>
        </w:rPr>
      </w:pPr>
      <w:r w:rsidRPr="003A4C23">
        <w:rPr>
          <w:rFonts w:cs="Tahoma"/>
          <w:szCs w:val="20"/>
          <w:lang w:val="pt-BR"/>
        </w:rPr>
        <w:t>As CALs Somente para Aluno estão restritas a PCs de propriedade de um aluno ou de uma instituição licenciados dedicados a um aluno individual e NÃO se destinam ao uso em laboratórios ou salas de aula.</w:t>
      </w:r>
    </w:p>
    <w:p w:rsidR="0036063B" w:rsidRPr="003A4C23" w:rsidRDefault="0036063B" w:rsidP="00AF3B19">
      <w:pPr>
        <w:rPr>
          <w:lang w:val="pt-BR"/>
        </w:rPr>
      </w:pPr>
    </w:p>
    <w:p w:rsidR="00285E3D" w:rsidRPr="003A4C23" w:rsidRDefault="00285E3D" w:rsidP="00AF3B19">
      <w:pPr>
        <w:rPr>
          <w:lang w:val="pt-BR"/>
        </w:rPr>
      </w:pPr>
    </w:p>
    <w:p w:rsidR="00B947E4" w:rsidRPr="003A4C23" w:rsidRDefault="004668D9" w:rsidP="00416294">
      <w:pPr>
        <w:pStyle w:val="Heading3"/>
        <w:rPr>
          <w:lang w:val="pt-BR"/>
        </w:rPr>
      </w:pPr>
      <w:bookmarkStart w:id="1193" w:name="_38_Core_Infrastructure_1"/>
      <w:bookmarkStart w:id="1194" w:name="_Toc336338296"/>
      <w:bookmarkStart w:id="1195" w:name="_Toc353470944"/>
      <w:bookmarkStart w:id="1196" w:name="Srv_35CoreInfraServerSuiteStd"/>
      <w:bookmarkStart w:id="1197" w:name="Srv_32CoreInfraServerSuiteStd"/>
      <w:bookmarkStart w:id="1198" w:name="Srv_35DynCRMWorkProEnt"/>
      <w:bookmarkEnd w:id="1193"/>
      <w:r w:rsidRPr="003A4C23">
        <w:rPr>
          <w:rFonts w:ascii="Tahoma" w:hAnsi="Tahoma"/>
          <w:caps/>
          <w:color w:val="F66400"/>
          <w:sz w:val="22"/>
          <w:vertAlign w:val="superscript"/>
          <w:lang w:val="pt-BR"/>
        </w:rPr>
        <w:t>38</w:t>
      </w:r>
      <w:r w:rsidRPr="003A4C23">
        <w:rPr>
          <w:rFonts w:ascii="Tahoma" w:hAnsi="Tahoma"/>
          <w:color w:val="F66400"/>
          <w:sz w:val="22"/>
          <w:lang w:val="pt-BR"/>
        </w:rPr>
        <w:t xml:space="preserve"> Core Infrastructure Server Suite Standard</w:t>
      </w:r>
      <w:bookmarkEnd w:id="1194"/>
      <w:bookmarkEnd w:id="1195"/>
    </w:p>
    <w:bookmarkEnd w:id="1196"/>
    <w:bookmarkEnd w:id="1197"/>
    <w:p w:rsidR="004D776B" w:rsidRPr="003A4C23" w:rsidRDefault="004D776B" w:rsidP="00416294">
      <w:pPr>
        <w:rPr>
          <w:sz w:val="16"/>
          <w:szCs w:val="16"/>
          <w:lang w:val="pt-BR"/>
        </w:rPr>
      </w:pPr>
    </w:p>
    <w:p w:rsidR="004D776B" w:rsidRPr="003A4C23" w:rsidRDefault="00A66BD2" w:rsidP="00A66BD2">
      <w:pPr>
        <w:spacing w:after="60"/>
        <w:ind w:left="720"/>
        <w:rPr>
          <w:lang w:val="pt-BR"/>
        </w:rPr>
      </w:pPr>
      <w:r w:rsidRPr="003A4C23">
        <w:rPr>
          <w:rFonts w:eastAsia="Calibri" w:cs="Tahoma"/>
          <w:b/>
          <w:szCs w:val="18"/>
          <w:lang w:val="pt-BR"/>
        </w:rPr>
        <w:t>Migração para Novo Modelo de Licenciamento</w:t>
      </w:r>
    </w:p>
    <w:p w:rsidR="004D776B" w:rsidRPr="003A4C23" w:rsidRDefault="004D776B" w:rsidP="00A66BD2">
      <w:pPr>
        <w:ind w:left="720"/>
        <w:rPr>
          <w:lang w:val="pt-BR"/>
        </w:rPr>
      </w:pPr>
      <w:r w:rsidRPr="003A4C23">
        <w:rPr>
          <w:rFonts w:eastAsia="Calibri" w:cs="Tahoma"/>
          <w:szCs w:val="18"/>
          <w:lang w:val="pt-BR"/>
        </w:rPr>
        <w:t>A partir de 1</w:t>
      </w:r>
      <w:r w:rsidRPr="003A4C23">
        <w:rPr>
          <w:rFonts w:eastAsia="Calibri" w:cs="Tahoma"/>
          <w:szCs w:val="18"/>
          <w:vertAlign w:val="superscript"/>
          <w:lang w:val="pt-BR"/>
        </w:rPr>
        <w:t>º</w:t>
      </w:r>
      <w:r w:rsidRPr="003A4C23">
        <w:rPr>
          <w:rFonts w:eastAsia="Calibri" w:cs="Tahoma"/>
          <w:szCs w:val="18"/>
          <w:lang w:val="pt-BR"/>
        </w:rPr>
        <w:t xml:space="preserve"> de abril de 2012, o modelo de licenciamento foi alterado. As licenças adquiridas sob novos registros em vigor a partir de 1</w:t>
      </w:r>
      <w:r w:rsidRPr="003A4C23">
        <w:rPr>
          <w:rFonts w:eastAsia="Calibri" w:cs="Tahoma"/>
          <w:szCs w:val="18"/>
          <w:vertAlign w:val="superscript"/>
          <w:lang w:val="pt-BR"/>
        </w:rPr>
        <w:t>º</w:t>
      </w:r>
      <w:r w:rsidRPr="003A4C23">
        <w:rPr>
          <w:rFonts w:eastAsia="Calibri" w:cs="Tahoma"/>
          <w:szCs w:val="18"/>
          <w:lang w:val="pt-BR"/>
        </w:rPr>
        <w:t xml:space="preserve"> de abril de 2012 podem licenciar até dois processadores físicos.</w:t>
      </w:r>
    </w:p>
    <w:p w:rsidR="00A66BD2" w:rsidRPr="003A4C23" w:rsidRDefault="00A66BD2" w:rsidP="00A66BD2">
      <w:pPr>
        <w:ind w:left="720"/>
        <w:rPr>
          <w:sz w:val="16"/>
          <w:szCs w:val="16"/>
          <w:lang w:val="pt-BR"/>
        </w:rPr>
      </w:pPr>
    </w:p>
    <w:p w:rsidR="004D776B" w:rsidRPr="003A4C23" w:rsidRDefault="004D776B" w:rsidP="00A66BD2">
      <w:pPr>
        <w:ind w:left="720"/>
        <w:rPr>
          <w:lang w:val="pt-BR"/>
        </w:rPr>
      </w:pPr>
      <w:r w:rsidRPr="003A4C23">
        <w:rPr>
          <w:rFonts w:eastAsia="Calibri" w:cs="Tahoma"/>
          <w:szCs w:val="18"/>
          <w:lang w:val="pt-BR"/>
        </w:rPr>
        <w:t>Os clientes sob registros existentes a partir de 1</w:t>
      </w:r>
      <w:r w:rsidRPr="003A4C23">
        <w:rPr>
          <w:rFonts w:eastAsia="Calibri" w:cs="Tahoma"/>
          <w:szCs w:val="18"/>
          <w:vertAlign w:val="superscript"/>
          <w:lang w:val="pt-BR"/>
        </w:rPr>
        <w:t>º</w:t>
      </w:r>
      <w:r w:rsidRPr="003A4C23">
        <w:rPr>
          <w:rFonts w:eastAsia="Calibri" w:cs="Tahoma"/>
          <w:szCs w:val="18"/>
          <w:lang w:val="pt-BR"/>
        </w:rPr>
        <w:t xml:space="preserve"> de abril de 2012 (em vigor ou antes de 1</w:t>
      </w:r>
      <w:r w:rsidRPr="003A4C23">
        <w:rPr>
          <w:rFonts w:eastAsia="Calibri" w:cs="Tahoma"/>
          <w:szCs w:val="18"/>
          <w:vertAlign w:val="superscript"/>
          <w:lang w:val="pt-BR"/>
        </w:rPr>
        <w:t>º</w:t>
      </w:r>
      <w:r w:rsidRPr="003A4C23">
        <w:rPr>
          <w:rFonts w:eastAsia="Calibri" w:cs="Tahoma"/>
          <w:szCs w:val="18"/>
          <w:lang w:val="pt-BR"/>
        </w:rPr>
        <w:t xml:space="preserve"> de abril de</w:t>
      </w:r>
      <w:r w:rsidR="00392523" w:rsidRPr="003A4C23">
        <w:rPr>
          <w:rFonts w:eastAsia="Calibri" w:cs="Tahoma"/>
          <w:szCs w:val="18"/>
          <w:lang w:val="pt-BR"/>
        </w:rPr>
        <w:t> </w:t>
      </w:r>
      <w:r w:rsidRPr="003A4C23">
        <w:rPr>
          <w:rFonts w:eastAsia="Calibri" w:cs="Tahoma"/>
          <w:szCs w:val="18"/>
          <w:lang w:val="pt-BR"/>
        </w:rPr>
        <w:t>2012) podem continuar a fazer adequações (“true-up”) de licenças sob o modelo antigo sob o qual cada</w:t>
      </w:r>
      <w:r w:rsidR="00392523" w:rsidRPr="003A4C23">
        <w:rPr>
          <w:rFonts w:eastAsia="Calibri" w:cs="Tahoma"/>
          <w:szCs w:val="18"/>
          <w:lang w:val="pt-BR"/>
        </w:rPr>
        <w:t> </w:t>
      </w:r>
      <w:r w:rsidRPr="003A4C23">
        <w:rPr>
          <w:rFonts w:eastAsia="Calibri" w:cs="Tahoma"/>
          <w:szCs w:val="18"/>
          <w:lang w:val="pt-BR"/>
        </w:rPr>
        <w:t>licença pode licenciar apenas um processador. Os direitos de migração a seguir se aplicam a licenças para esses clientes:</w:t>
      </w:r>
    </w:p>
    <w:p w:rsidR="004D776B" w:rsidRPr="003A4C23" w:rsidRDefault="004D776B" w:rsidP="00A66BD2">
      <w:pPr>
        <w:pStyle w:val="ListParagraph"/>
        <w:contextualSpacing w:val="0"/>
        <w:rPr>
          <w:lang w:val="pt-BR"/>
        </w:rPr>
      </w:pPr>
      <w:r w:rsidRPr="003A4C23">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1:1. Na renovação, os clientes podem renovar o Software Assurance em licenças sob o novo modelo.</w:t>
      </w:r>
    </w:p>
    <w:p w:rsidR="00973A93" w:rsidRPr="003A4C23" w:rsidRDefault="00973A93">
      <w:pPr>
        <w:rPr>
          <w:sz w:val="16"/>
          <w:szCs w:val="16"/>
          <w:lang w:val="pt-BR"/>
        </w:rPr>
      </w:pPr>
    </w:p>
    <w:p w:rsidR="004D776B" w:rsidRPr="003A4C23" w:rsidRDefault="004D776B" w:rsidP="00A66BD2">
      <w:pPr>
        <w:spacing w:after="60"/>
        <w:ind w:left="720"/>
        <w:rPr>
          <w:lang w:val="pt-BR"/>
        </w:rPr>
      </w:pPr>
      <w:r w:rsidRPr="003A4C23">
        <w:rPr>
          <w:rFonts w:eastAsia="Calibri" w:cs="Tahoma"/>
          <w:b/>
          <w:szCs w:val="18"/>
          <w:lang w:val="pt-BR"/>
        </w:rPr>
        <w:t>Liberação da Nova Versão do Windows Server</w:t>
      </w:r>
    </w:p>
    <w:p w:rsidR="004D776B" w:rsidRPr="003A4C23" w:rsidRDefault="004D776B" w:rsidP="00A66BD2">
      <w:pPr>
        <w:ind w:left="720"/>
        <w:rPr>
          <w:lang w:val="pt-BR"/>
        </w:rPr>
      </w:pPr>
      <w:r w:rsidRPr="003A4C23">
        <w:rPr>
          <w:rFonts w:eastAsia="Calibri" w:cs="Tahoma"/>
          <w:szCs w:val="18"/>
          <w:lang w:val="pt-BR"/>
        </w:rPr>
        <w:t>Os clientes licenciados para o Core Infrastructure Server Suite Standard com Software Assurance ativo a</w:t>
      </w:r>
      <w:r w:rsidR="002246E1" w:rsidRPr="003A4C23">
        <w:rPr>
          <w:rFonts w:eastAsia="Calibri" w:cs="Tahoma"/>
          <w:szCs w:val="18"/>
          <w:lang w:val="pt-BR"/>
        </w:rPr>
        <w:t> </w:t>
      </w:r>
      <w:r w:rsidRPr="003A4C23">
        <w:rPr>
          <w:rFonts w:eastAsia="Calibri" w:cs="Tahoma"/>
          <w:szCs w:val="18"/>
          <w:lang w:val="pt-BR"/>
        </w:rPr>
        <w:t>partir de 1</w:t>
      </w:r>
      <w:r w:rsidRPr="003A4C23">
        <w:rPr>
          <w:rFonts w:eastAsia="Calibri" w:cs="Tahoma"/>
          <w:szCs w:val="18"/>
          <w:vertAlign w:val="superscript"/>
          <w:lang w:val="pt-BR"/>
        </w:rPr>
        <w:t>º</w:t>
      </w:r>
      <w:r w:rsidRPr="003A4C23">
        <w:rPr>
          <w:rFonts w:eastAsia="Calibri" w:cs="Tahoma"/>
          <w:szCs w:val="18"/>
          <w:lang w:val="pt-BR"/>
        </w:rPr>
        <w:t xml:space="preserve"> de setembro de 2012 têm os direitos de uso dos seguintes produtos sujeitos aos direitos de</w:t>
      </w:r>
      <w:r w:rsidR="002246E1" w:rsidRPr="003A4C23">
        <w:rPr>
          <w:rFonts w:eastAsia="Calibri" w:cs="Tahoma"/>
          <w:szCs w:val="18"/>
          <w:lang w:val="pt-BR"/>
        </w:rPr>
        <w:t> </w:t>
      </w:r>
      <w:r w:rsidRPr="003A4C23">
        <w:rPr>
          <w:rFonts w:eastAsia="Calibri" w:cs="Tahoma"/>
          <w:szCs w:val="18"/>
          <w:lang w:val="pt-BR"/>
        </w:rPr>
        <w:t>uso de produto desses produtos e do Core Infrastructure Server Suite Standard:</w:t>
      </w:r>
    </w:p>
    <w:p w:rsidR="00A66BD2" w:rsidRPr="003A4C23" w:rsidRDefault="00A66BD2" w:rsidP="00A66BD2">
      <w:pPr>
        <w:ind w:left="720"/>
        <w:rPr>
          <w:sz w:val="16"/>
          <w:szCs w:val="16"/>
          <w:lang w:val="pt-BR"/>
        </w:rPr>
      </w:pPr>
    </w:p>
    <w:p w:rsidR="004D776B" w:rsidRPr="00653421" w:rsidRDefault="004D776B" w:rsidP="00A66BD2">
      <w:pPr>
        <w:numPr>
          <w:ilvl w:val="0"/>
          <w:numId w:val="25"/>
        </w:numPr>
        <w:tabs>
          <w:tab w:val="left" w:pos="1440"/>
          <w:tab w:val="left" w:pos="3510"/>
        </w:tabs>
        <w:spacing w:after="60"/>
      </w:pPr>
      <w:r w:rsidRPr="00653421">
        <w:rPr>
          <w:rFonts w:eastAsia="Calibri" w:cs="Tahoma"/>
          <w:szCs w:val="18"/>
        </w:rPr>
        <w:t>Windows Server 2012 Standard</w:t>
      </w:r>
    </w:p>
    <w:p w:rsidR="004D776B" w:rsidRPr="00653421" w:rsidRDefault="004D776B" w:rsidP="00A66BD2">
      <w:pPr>
        <w:numPr>
          <w:ilvl w:val="0"/>
          <w:numId w:val="25"/>
        </w:numPr>
        <w:tabs>
          <w:tab w:val="left" w:pos="1440"/>
          <w:tab w:val="left" w:pos="3510"/>
        </w:tabs>
        <w:spacing w:after="60"/>
      </w:pPr>
      <w:r w:rsidRPr="00653421">
        <w:rPr>
          <w:rFonts w:eastAsia="Calibri" w:cs="Tahoma"/>
          <w:szCs w:val="18"/>
        </w:rPr>
        <w:t>System Center 2012 Standard</w:t>
      </w:r>
    </w:p>
    <w:p w:rsidR="00A66BD2" w:rsidRPr="00653421" w:rsidRDefault="00A66BD2" w:rsidP="00A66BD2">
      <w:pPr>
        <w:tabs>
          <w:tab w:val="left" w:pos="1440"/>
          <w:tab w:val="left" w:pos="3510"/>
        </w:tabs>
        <w:rPr>
          <w:sz w:val="16"/>
          <w:szCs w:val="16"/>
        </w:rPr>
      </w:pPr>
    </w:p>
    <w:p w:rsidR="004D776B" w:rsidRPr="003A4C23" w:rsidRDefault="004D776B" w:rsidP="00A66BD2">
      <w:pPr>
        <w:ind w:left="720"/>
        <w:rPr>
          <w:lang w:val="pt-BR"/>
        </w:rPr>
      </w:pPr>
      <w:r w:rsidRPr="003A4C23">
        <w:rPr>
          <w:rFonts w:eastAsia="Calibri" w:cs="Tahoma"/>
          <w:szCs w:val="18"/>
          <w:lang w:val="pt-BR"/>
        </w:rPr>
        <w:t>Para qualquer servidor que esteja devidamente licenciado para Core Infrastructure Server Suite Standard, os clientes podem executar uma instância do Windows Server 2008 R2 Enterprise em vez do Windows Server Standard.</w:t>
      </w:r>
    </w:p>
    <w:p w:rsidR="002246E1" w:rsidRPr="003A4C23" w:rsidRDefault="002246E1" w:rsidP="00A66BD2">
      <w:pPr>
        <w:ind w:left="720"/>
        <w:rPr>
          <w:sz w:val="16"/>
          <w:szCs w:val="16"/>
          <w:lang w:val="pt-BR"/>
        </w:rPr>
      </w:pPr>
    </w:p>
    <w:p w:rsidR="006659B5" w:rsidRPr="003A4C23" w:rsidRDefault="006659B5" w:rsidP="00A66BD2">
      <w:pPr>
        <w:ind w:left="720"/>
        <w:rPr>
          <w:sz w:val="16"/>
          <w:szCs w:val="16"/>
          <w:lang w:val="pt-BR"/>
        </w:rPr>
      </w:pPr>
    </w:p>
    <w:p w:rsidR="006659B5" w:rsidRPr="003A4C23" w:rsidRDefault="006659B5" w:rsidP="00A66BD2">
      <w:pPr>
        <w:ind w:left="720"/>
        <w:rPr>
          <w:sz w:val="16"/>
          <w:szCs w:val="16"/>
          <w:lang w:val="pt-BR"/>
        </w:rPr>
      </w:pPr>
    </w:p>
    <w:p w:rsidR="006659B5" w:rsidRPr="003A4C23" w:rsidRDefault="006659B5" w:rsidP="00A66BD2">
      <w:pPr>
        <w:ind w:left="720"/>
        <w:rPr>
          <w:sz w:val="16"/>
          <w:szCs w:val="16"/>
          <w:lang w:val="pt-BR"/>
        </w:rPr>
      </w:pPr>
    </w:p>
    <w:p w:rsidR="004D776B" w:rsidRPr="003A4C23" w:rsidRDefault="004D776B" w:rsidP="00A66BD2">
      <w:pPr>
        <w:spacing w:after="60"/>
        <w:ind w:left="720"/>
        <w:rPr>
          <w:lang w:val="pt-BR"/>
        </w:rPr>
      </w:pPr>
      <w:r w:rsidRPr="003A4C23">
        <w:rPr>
          <w:rFonts w:eastAsia="Calibri" w:cs="Tahoma"/>
          <w:b/>
          <w:szCs w:val="18"/>
          <w:lang w:val="pt-BR"/>
        </w:rPr>
        <w:lastRenderedPageBreak/>
        <w:t>Oferta de Renovação de Software Assurance para Clientes do Windows Server Standard e System Center Standard e Clientes do Windows Server Enterprise e System Center Standard</w:t>
      </w:r>
    </w:p>
    <w:p w:rsidR="004D776B" w:rsidRPr="003A4C23" w:rsidRDefault="004D776B" w:rsidP="00A66BD2">
      <w:pPr>
        <w:ind w:left="720"/>
        <w:rPr>
          <w:lang w:val="pt-BR"/>
        </w:rPr>
      </w:pPr>
      <w:r w:rsidRPr="003A4C23">
        <w:rPr>
          <w:rFonts w:eastAsia="Calibri" w:cs="Tahoma"/>
          <w:szCs w:val="18"/>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rsidR="00A66BD2" w:rsidRPr="003A4C23" w:rsidRDefault="00A66BD2" w:rsidP="006F3CE8">
      <w:pPr>
        <w:spacing w:line="160" w:lineRule="exact"/>
        <w:ind w:left="720"/>
        <w:rPr>
          <w:sz w:val="16"/>
          <w:szCs w:val="16"/>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653421" w:rsidTr="006F3CE8">
        <w:trPr>
          <w:trHeight w:val="395"/>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653421" w:rsidRDefault="004D776B" w:rsidP="007E466C">
            <w:pPr>
              <w:spacing w:before="120" w:after="120" w:line="276" w:lineRule="auto"/>
              <w:ind w:left="-404"/>
              <w:jc w:val="center"/>
              <w:rPr>
                <w:rFonts w:eastAsia="Calibri" w:cs="Tahoma"/>
                <w:b/>
                <w:szCs w:val="18"/>
              </w:rPr>
            </w:pPr>
            <w:r w:rsidRPr="00653421">
              <w:rPr>
                <w:rFonts w:eastAsia="Calibri" w:cs="Tahoma"/>
                <w:b/>
                <w:szCs w:val="18"/>
              </w:rPr>
              <w:t>Tabela A</w:t>
            </w:r>
          </w:p>
        </w:tc>
      </w:tr>
      <w:tr w:rsidR="004D776B" w:rsidRPr="00653421" w:rsidTr="006F3CE8">
        <w:trPr>
          <w:trHeight w:val="422"/>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653421" w:rsidRDefault="004D776B" w:rsidP="007E466C">
            <w:pPr>
              <w:spacing w:before="120" w:after="120" w:line="276" w:lineRule="auto"/>
              <w:ind w:left="-404"/>
              <w:jc w:val="center"/>
              <w:rPr>
                <w:rFonts w:eastAsia="Calibri" w:cs="Tahoma"/>
                <w:szCs w:val="18"/>
              </w:rPr>
            </w:pPr>
            <w:r w:rsidRPr="00653421">
              <w:rPr>
                <w:rFonts w:eastAsia="Calibri" w:cs="Tahoma"/>
                <w:szCs w:val="18"/>
              </w:rPr>
              <w:t>Windows Server Standard</w:t>
            </w:r>
          </w:p>
        </w:tc>
      </w:tr>
      <w:tr w:rsidR="004D776B" w:rsidRPr="00653421"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653421" w:rsidRDefault="004D776B" w:rsidP="007E466C">
            <w:pPr>
              <w:spacing w:before="120" w:after="120" w:line="276" w:lineRule="auto"/>
              <w:ind w:left="-404"/>
              <w:jc w:val="center"/>
              <w:rPr>
                <w:rFonts w:eastAsia="Calibri" w:cs="Tahoma"/>
                <w:szCs w:val="18"/>
              </w:rPr>
            </w:pPr>
            <w:r w:rsidRPr="00653421">
              <w:rPr>
                <w:rFonts w:eastAsia="Calibri" w:cs="Tahoma"/>
                <w:szCs w:val="18"/>
              </w:rPr>
              <w:t>System Center Standard</w:t>
            </w:r>
          </w:p>
        </w:tc>
      </w:tr>
    </w:tbl>
    <w:p w:rsidR="006659B5" w:rsidRDefault="006659B5" w:rsidP="00A66BD2">
      <w:pPr>
        <w:ind w:left="720"/>
        <w:rPr>
          <w:rFonts w:eastAsia="Calibri" w:cs="Tahoma"/>
          <w:szCs w:val="18"/>
        </w:rPr>
      </w:pPr>
    </w:p>
    <w:p w:rsidR="004D776B" w:rsidRPr="003A4C23" w:rsidRDefault="004D776B" w:rsidP="00A66BD2">
      <w:pPr>
        <w:ind w:left="720"/>
        <w:rPr>
          <w:lang w:val="pt-BR"/>
        </w:rPr>
      </w:pPr>
      <w:r w:rsidRPr="003A4C23">
        <w:rPr>
          <w:rFonts w:eastAsia="Calibri" w:cs="Tahoma"/>
          <w:szCs w:val="18"/>
          <w:lang w:val="pt-BR"/>
        </w:rPr>
        <w:t xml:space="preserve">Para cada conjunto composto de uma de cada das licenças qualificadas na Tabela A acima, os clientes poderão adquirir o Software Assurance para uma licença do Core Infrastructure Server Suite Standard. </w:t>
      </w:r>
    </w:p>
    <w:p w:rsidR="00A66BD2" w:rsidRPr="003A4C23" w:rsidRDefault="00A66BD2" w:rsidP="006F3CE8">
      <w:pPr>
        <w:spacing w:line="160" w:lineRule="exact"/>
        <w:ind w:left="720"/>
        <w:rPr>
          <w:lang w:val="pt-BR"/>
        </w:rPr>
      </w:pPr>
    </w:p>
    <w:p w:rsidR="004D776B" w:rsidRPr="003A4C23" w:rsidRDefault="004D776B" w:rsidP="00A66BD2">
      <w:pPr>
        <w:ind w:left="720"/>
        <w:rPr>
          <w:lang w:val="pt-BR"/>
        </w:rPr>
      </w:pPr>
      <w:r w:rsidRPr="003A4C23">
        <w:rPr>
          <w:rFonts w:eastAsia="Calibri" w:cs="Tahoma"/>
          <w:szCs w:val="18"/>
          <w:lang w:val="pt-BR"/>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rsidR="00A66BD2" w:rsidRPr="003A4C23" w:rsidRDefault="00A66BD2" w:rsidP="006F3CE8">
      <w:pPr>
        <w:spacing w:line="160" w:lineRule="exact"/>
        <w:ind w:left="720"/>
        <w:rPr>
          <w:lang w:val="pt-BR"/>
        </w:rPr>
      </w:pPr>
    </w:p>
    <w:p w:rsidR="00A66BD2" w:rsidRPr="003A4C23" w:rsidRDefault="004D776B" w:rsidP="00A66BD2">
      <w:pPr>
        <w:spacing w:after="60"/>
        <w:ind w:left="720"/>
        <w:rPr>
          <w:lang w:val="pt-BR"/>
        </w:rPr>
      </w:pPr>
      <w:r w:rsidRPr="003A4C23">
        <w:rPr>
          <w:rFonts w:eastAsia="Calibri" w:cs="Tahoma"/>
          <w:b/>
          <w:szCs w:val="18"/>
          <w:lang w:val="pt-BR"/>
        </w:rPr>
        <w:t>Step-up do Windows Server Standard ou System Center Standard para Core Infrastructure Server Suite Standard</w:t>
      </w:r>
    </w:p>
    <w:p w:rsidR="004D776B" w:rsidRPr="003A4C23" w:rsidRDefault="004D776B" w:rsidP="00A66BD2">
      <w:pPr>
        <w:ind w:left="720"/>
        <w:rPr>
          <w:lang w:val="pt-BR"/>
        </w:rPr>
      </w:pPr>
      <w:r w:rsidRPr="003A4C23">
        <w:rPr>
          <w:rFonts w:eastAsia="Calibri" w:cs="Tahoma"/>
          <w:szCs w:val="18"/>
          <w:lang w:val="pt-BR"/>
        </w:rPr>
        <w:t>Os clientes podem fazer step-up do Windows Server Standard ou System Center Standard para o Core Infrastructure Server Suite Standard pela aquisição da licença de Step-up apropriada do Core Infrastructure Server Suite Standard.</w:t>
      </w:r>
      <w:r w:rsidR="005A52A2" w:rsidRPr="003A4C23">
        <w:rPr>
          <w:rFonts w:eastAsia="Calibri" w:cs="Tahoma"/>
          <w:szCs w:val="18"/>
          <w:lang w:val="pt-BR"/>
        </w:rPr>
        <w:t xml:space="preserve"> </w:t>
      </w:r>
      <w:r w:rsidRPr="003A4C23">
        <w:rPr>
          <w:rFonts w:eastAsia="Calibri" w:cs="Tahoma"/>
          <w:szCs w:val="18"/>
          <w:lang w:val="pt-BR"/>
        </w:rPr>
        <w:t>Os clientes devem ter o Software Assurance ativo para a licença do Windows Server Standard ou System Center Standard para adquirir essa licença de Step-up.</w:t>
      </w:r>
      <w:r w:rsidR="005A52A2" w:rsidRPr="003A4C23">
        <w:rPr>
          <w:rFonts w:eastAsia="Calibri" w:cs="Tahoma"/>
          <w:szCs w:val="18"/>
          <w:lang w:val="pt-BR"/>
        </w:rPr>
        <w:t xml:space="preserve"> </w:t>
      </w:r>
    </w:p>
    <w:p w:rsidR="00A66BD2" w:rsidRPr="003A4C23" w:rsidRDefault="00A66BD2" w:rsidP="006F3CE8">
      <w:pPr>
        <w:spacing w:line="160" w:lineRule="exact"/>
        <w:ind w:left="720"/>
        <w:rPr>
          <w:lang w:val="pt-BR"/>
        </w:rPr>
      </w:pPr>
    </w:p>
    <w:p w:rsidR="004D776B" w:rsidRPr="003A4C23" w:rsidRDefault="004D776B" w:rsidP="00A66BD2">
      <w:pPr>
        <w:ind w:left="720"/>
        <w:rPr>
          <w:lang w:val="pt-BR"/>
        </w:rPr>
      </w:pPr>
      <w:r w:rsidRPr="003A4C23">
        <w:rPr>
          <w:rFonts w:eastAsia="Calibri" w:cs="Tahoma"/>
          <w:szCs w:val="18"/>
          <w:lang w:val="pt-BR"/>
        </w:rPr>
        <w:t>Para cada licença qualificada do Windows Server Standard que o cliente tiver, ele poderá adquirir uma licença de Step-up do Core Infrastructure Server Suite Standard.</w:t>
      </w:r>
    </w:p>
    <w:p w:rsidR="00A66BD2" w:rsidRPr="003A4C23" w:rsidRDefault="00A66BD2" w:rsidP="006F3CE8">
      <w:pPr>
        <w:spacing w:line="160" w:lineRule="exact"/>
        <w:ind w:left="720"/>
        <w:rPr>
          <w:lang w:val="pt-BR"/>
        </w:rPr>
      </w:pPr>
    </w:p>
    <w:p w:rsidR="004D776B" w:rsidRPr="003A4C23" w:rsidRDefault="004D776B" w:rsidP="00A66BD2">
      <w:pPr>
        <w:ind w:left="720"/>
        <w:rPr>
          <w:lang w:val="pt-BR"/>
        </w:rPr>
      </w:pPr>
      <w:r w:rsidRPr="003A4C23">
        <w:rPr>
          <w:rFonts w:eastAsia="Calibri" w:cs="Tahoma"/>
          <w:szCs w:val="18"/>
          <w:lang w:val="pt-BR"/>
        </w:rPr>
        <w:t>Para cada licença qualificada do System Center Standard que o cliente tiver, ele poderá adquirir uma licença de Step-up do Core Infrastructure Server Suite Standard.</w:t>
      </w:r>
    </w:p>
    <w:p w:rsidR="00A66BD2" w:rsidRPr="003A4C23" w:rsidRDefault="00A66BD2" w:rsidP="006F3CE8">
      <w:pPr>
        <w:spacing w:line="160" w:lineRule="exact"/>
        <w:ind w:left="720"/>
        <w:rPr>
          <w:lang w:val="pt-BR"/>
        </w:rPr>
      </w:pPr>
    </w:p>
    <w:p w:rsidR="004D776B" w:rsidRPr="003A4C23" w:rsidRDefault="004D776B" w:rsidP="00A66BD2">
      <w:pPr>
        <w:ind w:left="720"/>
        <w:rPr>
          <w:lang w:val="pt-BR"/>
        </w:rPr>
      </w:pPr>
      <w:r w:rsidRPr="003A4C23">
        <w:rPr>
          <w:rFonts w:eastAsia="Calibri" w:cs="Tahoma"/>
          <w:szCs w:val="18"/>
          <w:lang w:val="pt-BR"/>
        </w:rPr>
        <w:t>O direito de uso do software pelos clientes sob a licença do Core Infrastructure Server Suite Standard está condicionado ao cumprimento pelos clientes de qualquer obrigação de pagamento remanescente da licença do produto qualificado.</w:t>
      </w:r>
      <w:r w:rsidR="005A52A2" w:rsidRPr="003A4C23">
        <w:rPr>
          <w:rFonts w:eastAsia="Calibri" w:cs="Tahoma"/>
          <w:szCs w:val="18"/>
          <w:lang w:val="pt-BR"/>
        </w:rPr>
        <w:t xml:space="preserve"> </w:t>
      </w:r>
      <w:r w:rsidRPr="003A4C23">
        <w:rPr>
          <w:rFonts w:eastAsia="Calibri" w:cs="Tahoma"/>
          <w:szCs w:val="18"/>
          <w:lang w:val="pt-BR"/>
        </w:rPr>
        <w:t>A licença do Core Infrastructure Server Suite Standard dos clientes suplanta e substitui a licença básica do produto qualificado.</w:t>
      </w:r>
    </w:p>
    <w:p w:rsidR="00A66BD2" w:rsidRPr="003A4C23" w:rsidRDefault="00A66BD2" w:rsidP="006F3CE8">
      <w:pPr>
        <w:spacing w:line="160" w:lineRule="exact"/>
        <w:ind w:left="720"/>
        <w:rPr>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653421" w:rsidTr="006F3CE8">
        <w:trPr>
          <w:trHeight w:val="373"/>
          <w:tblHeader/>
        </w:trPr>
        <w:tc>
          <w:tcPr>
            <w:tcW w:w="4140" w:type="dxa"/>
            <w:shd w:val="clear" w:color="auto" w:fill="FABF8F"/>
            <w:tcMar>
              <w:top w:w="0" w:type="dxa"/>
              <w:left w:w="108" w:type="dxa"/>
              <w:bottom w:w="0" w:type="dxa"/>
              <w:right w:w="108" w:type="dxa"/>
            </w:tcMar>
            <w:hideMark/>
          </w:tcPr>
          <w:p w:rsidR="004D776B" w:rsidRPr="00653421" w:rsidRDefault="004D776B" w:rsidP="007E466C">
            <w:pPr>
              <w:spacing w:before="120" w:after="120" w:line="276" w:lineRule="auto"/>
              <w:jc w:val="center"/>
              <w:rPr>
                <w:rFonts w:eastAsia="Calibri" w:cs="Tahoma"/>
                <w:b/>
                <w:szCs w:val="18"/>
              </w:rPr>
            </w:pPr>
            <w:r w:rsidRPr="00653421">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rsidR="004D776B" w:rsidRPr="00653421" w:rsidRDefault="004D776B" w:rsidP="007E466C">
            <w:pPr>
              <w:spacing w:before="120" w:after="120" w:line="276" w:lineRule="auto"/>
              <w:jc w:val="center"/>
              <w:rPr>
                <w:rFonts w:eastAsia="Calibri" w:cs="Tahoma"/>
                <w:b/>
                <w:szCs w:val="18"/>
              </w:rPr>
            </w:pPr>
            <w:r w:rsidRPr="00653421">
              <w:rPr>
                <w:rFonts w:eastAsia="Calibri" w:cs="Tahoma"/>
                <w:b/>
                <w:szCs w:val="18"/>
              </w:rPr>
              <w:t>Step-up para</w:t>
            </w:r>
          </w:p>
        </w:tc>
      </w:tr>
      <w:tr w:rsidR="004D776B" w:rsidRPr="003A4C23" w:rsidTr="006F3CE8">
        <w:trPr>
          <w:trHeight w:val="418"/>
        </w:trPr>
        <w:tc>
          <w:tcPr>
            <w:tcW w:w="4140" w:type="dxa"/>
            <w:tcMar>
              <w:top w:w="0" w:type="dxa"/>
              <w:left w:w="108" w:type="dxa"/>
              <w:bottom w:w="0" w:type="dxa"/>
              <w:right w:w="108" w:type="dxa"/>
            </w:tcMar>
            <w:hideMark/>
          </w:tcPr>
          <w:p w:rsidR="004D776B" w:rsidRPr="00653421" w:rsidRDefault="004D776B" w:rsidP="007E466C">
            <w:pPr>
              <w:spacing w:before="120" w:after="120" w:line="276" w:lineRule="auto"/>
              <w:rPr>
                <w:rFonts w:eastAsia="Calibri" w:cs="Tahoma"/>
                <w:szCs w:val="18"/>
              </w:rPr>
            </w:pPr>
            <w:r w:rsidRPr="00653421">
              <w:rPr>
                <w:rFonts w:eastAsia="Calibri" w:cs="Tahoma"/>
                <w:szCs w:val="18"/>
              </w:rPr>
              <w:t>Windows Server Standard</w:t>
            </w:r>
          </w:p>
        </w:tc>
        <w:tc>
          <w:tcPr>
            <w:tcW w:w="4050" w:type="dxa"/>
            <w:tcMar>
              <w:top w:w="0" w:type="dxa"/>
              <w:left w:w="108" w:type="dxa"/>
              <w:bottom w:w="0" w:type="dxa"/>
              <w:right w:w="108" w:type="dxa"/>
            </w:tcMar>
            <w:hideMark/>
          </w:tcPr>
          <w:p w:rsidR="004D776B" w:rsidRPr="00653421" w:rsidRDefault="004D776B" w:rsidP="007E466C">
            <w:pPr>
              <w:spacing w:before="120" w:after="120" w:line="276" w:lineRule="auto"/>
              <w:rPr>
                <w:rFonts w:eastAsia="Calibri" w:cs="Tahoma"/>
                <w:szCs w:val="18"/>
                <w:lang w:val="fr-FR"/>
              </w:rPr>
            </w:pPr>
            <w:r w:rsidRPr="003A4C23">
              <w:rPr>
                <w:rFonts w:eastAsia="Calibri" w:cs="Tahoma"/>
                <w:szCs w:val="18"/>
                <w:lang w:val="fr-FR"/>
              </w:rPr>
              <w:t>Core Infrastructure Server Suite Standard</w:t>
            </w:r>
          </w:p>
        </w:tc>
      </w:tr>
      <w:tr w:rsidR="004D776B" w:rsidRPr="003A4C23" w:rsidTr="001051D1">
        <w:tc>
          <w:tcPr>
            <w:tcW w:w="4140" w:type="dxa"/>
            <w:tcMar>
              <w:top w:w="0" w:type="dxa"/>
              <w:left w:w="108" w:type="dxa"/>
              <w:bottom w:w="0" w:type="dxa"/>
              <w:right w:w="108" w:type="dxa"/>
            </w:tcMar>
          </w:tcPr>
          <w:p w:rsidR="004D776B" w:rsidRPr="00653421" w:rsidRDefault="004D776B" w:rsidP="00026546">
            <w:pPr>
              <w:spacing w:before="120" w:after="120" w:line="276" w:lineRule="auto"/>
              <w:rPr>
                <w:rFonts w:eastAsia="Calibri" w:cs="Tahoma"/>
                <w:szCs w:val="18"/>
              </w:rPr>
            </w:pPr>
            <w:r w:rsidRPr="00653421">
              <w:rPr>
                <w:rFonts w:eastAsia="Calibri" w:cs="Tahoma"/>
                <w:szCs w:val="18"/>
              </w:rPr>
              <w:t>System Center Standard</w:t>
            </w:r>
          </w:p>
        </w:tc>
        <w:tc>
          <w:tcPr>
            <w:tcW w:w="4050" w:type="dxa"/>
            <w:tcMar>
              <w:top w:w="0" w:type="dxa"/>
              <w:left w:w="108" w:type="dxa"/>
              <w:bottom w:w="0" w:type="dxa"/>
              <w:right w:w="108" w:type="dxa"/>
            </w:tcMar>
          </w:tcPr>
          <w:p w:rsidR="004D776B" w:rsidRPr="00653421" w:rsidRDefault="004D776B" w:rsidP="00026546">
            <w:pPr>
              <w:spacing w:before="120" w:after="120" w:line="276" w:lineRule="auto"/>
              <w:rPr>
                <w:rFonts w:eastAsia="Calibri" w:cs="Tahoma"/>
                <w:szCs w:val="18"/>
                <w:lang w:val="fr-FR"/>
              </w:rPr>
            </w:pPr>
            <w:r w:rsidRPr="003A4C23">
              <w:rPr>
                <w:rFonts w:eastAsia="Calibri" w:cs="Tahoma"/>
                <w:szCs w:val="18"/>
                <w:lang w:val="fr-FR"/>
              </w:rPr>
              <w:t>Core Infrastructure Server Suite Standard</w:t>
            </w:r>
          </w:p>
        </w:tc>
      </w:tr>
    </w:tbl>
    <w:p w:rsidR="004D776B" w:rsidRPr="003A4C23" w:rsidRDefault="004D776B" w:rsidP="006F3CE8">
      <w:pPr>
        <w:spacing w:line="160" w:lineRule="exact"/>
        <w:ind w:left="720"/>
        <w:rPr>
          <w:lang w:val="fr-FR"/>
        </w:rPr>
      </w:pPr>
    </w:p>
    <w:p w:rsidR="00BF1889" w:rsidRPr="003A4C23" w:rsidRDefault="00BF1889" w:rsidP="006F3CE8">
      <w:pPr>
        <w:spacing w:line="160" w:lineRule="exact"/>
        <w:ind w:left="720"/>
        <w:rPr>
          <w:lang w:val="fr-FR"/>
        </w:rPr>
      </w:pPr>
    </w:p>
    <w:p w:rsidR="00B947E4" w:rsidRPr="003A4C23" w:rsidRDefault="004668D9" w:rsidP="00B947E4">
      <w:pPr>
        <w:pStyle w:val="Heading3"/>
        <w:rPr>
          <w:lang w:val="pt-BR"/>
        </w:rPr>
      </w:pPr>
      <w:bookmarkStart w:id="1199" w:name="_38_Core_Infrastructure"/>
      <w:bookmarkStart w:id="1200" w:name="_Toc336338297"/>
      <w:bookmarkStart w:id="1201" w:name="_Toc353470945"/>
      <w:bookmarkStart w:id="1202" w:name="Srv_36CoreInfraServerSuiteEnt"/>
      <w:bookmarkStart w:id="1203" w:name="Srv_33CoreInfrastructureSvrSuiteEnt"/>
      <w:bookmarkEnd w:id="1199"/>
      <w:r w:rsidRPr="003A4C23">
        <w:rPr>
          <w:rFonts w:ascii="Tahoma" w:hAnsi="Tahoma"/>
          <w:caps/>
          <w:color w:val="F66400"/>
          <w:sz w:val="22"/>
          <w:vertAlign w:val="superscript"/>
          <w:lang w:val="pt-BR"/>
        </w:rPr>
        <w:t>39</w:t>
      </w:r>
      <w:r w:rsidRPr="003A4C23">
        <w:rPr>
          <w:rFonts w:ascii="Tahoma" w:hAnsi="Tahoma"/>
          <w:color w:val="F66400"/>
          <w:sz w:val="22"/>
          <w:lang w:val="pt-BR"/>
        </w:rPr>
        <w:t xml:space="preserve"> Core Infrastructure Server Suite Enterprise</w:t>
      </w:r>
      <w:bookmarkEnd w:id="1200"/>
      <w:bookmarkEnd w:id="1201"/>
    </w:p>
    <w:p w:rsidR="000A297A" w:rsidRPr="003A4C23" w:rsidRDefault="000A297A" w:rsidP="006F3CE8">
      <w:pPr>
        <w:spacing w:line="160" w:lineRule="exact"/>
        <w:ind w:left="720"/>
        <w:rPr>
          <w:lang w:val="pt-BR"/>
        </w:rPr>
      </w:pPr>
    </w:p>
    <w:bookmarkEnd w:id="1202"/>
    <w:bookmarkEnd w:id="1203"/>
    <w:p w:rsidR="00B947E4" w:rsidRPr="003A4C23" w:rsidRDefault="001E68E2" w:rsidP="00A66BD2">
      <w:pPr>
        <w:ind w:left="720"/>
        <w:rPr>
          <w:rFonts w:eastAsia="Calibri" w:cs="Tahoma"/>
          <w:szCs w:val="18"/>
          <w:lang w:val="pt-BR"/>
        </w:rPr>
      </w:pPr>
      <w:r w:rsidRPr="003A4C23">
        <w:rPr>
          <w:rFonts w:eastAsia="Calibri" w:cs="Tahoma"/>
          <w:szCs w:val="18"/>
          <w:lang w:val="pt-BR"/>
        </w:rPr>
        <w:t>Em 1º de abril de 2012, a Microsoft descontinuará o Core Infrastructure Server Suite Enterprise. Os clientes do Core Infrastructure Server Suite Enterprise com Software Assurance a partir de 1</w:t>
      </w:r>
      <w:r w:rsidRPr="003A4C23">
        <w:rPr>
          <w:rFonts w:eastAsia="Calibri" w:cs="Tahoma"/>
          <w:szCs w:val="18"/>
          <w:vertAlign w:val="superscript"/>
          <w:lang w:val="pt-BR"/>
        </w:rPr>
        <w:t>o</w:t>
      </w:r>
      <w:r w:rsidRPr="003A4C23">
        <w:rPr>
          <w:rFonts w:eastAsia="Calibri" w:cs="Tahoma"/>
          <w:szCs w:val="18"/>
          <w:lang w:val="pt-BR"/>
        </w:rPr>
        <w:t xml:space="preserve"> de abril de 2012 estarão qualificados para uma licença para Core Infrastructure Server Standard para cada licença para Core</w:t>
      </w:r>
      <w:r w:rsidR="006F3CE8" w:rsidRPr="003A4C23">
        <w:rPr>
          <w:rFonts w:eastAsia="Calibri" w:cs="Tahoma"/>
          <w:szCs w:val="18"/>
          <w:lang w:val="pt-BR"/>
        </w:rPr>
        <w:t> </w:t>
      </w:r>
      <w:r w:rsidRPr="003A4C23">
        <w:rPr>
          <w:rFonts w:eastAsia="Calibri" w:cs="Tahoma"/>
          <w:szCs w:val="18"/>
          <w:lang w:val="pt-BR"/>
        </w:rPr>
        <w:t>Infrastructure Server Suite Enterprise com Software Assurance que eles possuem a partir desta data.</w:t>
      </w:r>
      <w:r w:rsidR="005A52A2" w:rsidRPr="003A4C23">
        <w:rPr>
          <w:rFonts w:eastAsia="Calibri" w:cs="Tahoma"/>
          <w:szCs w:val="18"/>
          <w:lang w:val="pt-BR"/>
        </w:rPr>
        <w:t xml:space="preserve"> </w:t>
      </w:r>
      <w:r w:rsidRPr="003A4C23">
        <w:rPr>
          <w:rFonts w:eastAsia="Calibri" w:cs="Tahoma"/>
          <w:szCs w:val="18"/>
          <w:lang w:val="pt-BR"/>
        </w:rPr>
        <w:t>As licenças para Core Infrastructure Server Suite Standard concedidas por esta oferta incluirão cobertura de</w:t>
      </w:r>
      <w:r w:rsidR="006F3CE8" w:rsidRPr="003A4C23">
        <w:rPr>
          <w:rFonts w:eastAsia="Calibri" w:cs="Tahoma"/>
          <w:szCs w:val="18"/>
          <w:lang w:val="pt-BR"/>
        </w:rPr>
        <w:t> </w:t>
      </w:r>
      <w:r w:rsidRPr="003A4C23">
        <w:rPr>
          <w:rFonts w:eastAsia="Calibri" w:cs="Tahoma"/>
          <w:szCs w:val="18"/>
          <w:lang w:val="pt-BR"/>
        </w:rPr>
        <w:t>Software Assurance que expira no término da cobertura das suas licenças qualificadas do Core Infrastructure Server Suite Enterprise. Os clientes que usam o Core Infrastructure Server Suite Standard sob</w:t>
      </w:r>
      <w:r w:rsidR="006F3CE8" w:rsidRPr="003A4C23">
        <w:rPr>
          <w:rFonts w:eastAsia="Calibri" w:cs="Tahoma"/>
          <w:szCs w:val="18"/>
          <w:lang w:val="pt-BR"/>
        </w:rPr>
        <w:t> </w:t>
      </w:r>
      <w:r w:rsidRPr="003A4C23">
        <w:rPr>
          <w:rFonts w:eastAsia="Calibri" w:cs="Tahoma"/>
          <w:szCs w:val="18"/>
          <w:lang w:val="pt-BR"/>
        </w:rPr>
        <w:t>esta oferta não poderão mais usar o software sob as licenças qualificadas.</w:t>
      </w:r>
      <w:r w:rsidR="005A52A2" w:rsidRPr="003A4C23">
        <w:rPr>
          <w:rFonts w:eastAsia="Calibri" w:cs="Tahoma"/>
          <w:szCs w:val="18"/>
          <w:lang w:val="pt-BR"/>
        </w:rPr>
        <w:t xml:space="preserve"> </w:t>
      </w:r>
      <w:r w:rsidRPr="003A4C23">
        <w:rPr>
          <w:rFonts w:eastAsia="Calibri" w:cs="Tahoma"/>
          <w:szCs w:val="18"/>
          <w:lang w:val="pt-BR"/>
        </w:rPr>
        <w:t>Esta nota do produto e documentação das licenças qualificadas do cliente são a evidência do seu direito de usar o Core Infrastructure Server Suite Standard sob esta oferta.</w:t>
      </w:r>
      <w:r w:rsidR="005A52A2" w:rsidRPr="003A4C23">
        <w:rPr>
          <w:rFonts w:eastAsia="Calibri" w:cs="Tahoma"/>
          <w:szCs w:val="18"/>
          <w:lang w:val="pt-BR"/>
        </w:rPr>
        <w:t xml:space="preserve"> </w:t>
      </w:r>
      <w:r w:rsidRPr="003A4C23">
        <w:rPr>
          <w:rFonts w:eastAsia="Calibri" w:cs="Tahoma"/>
          <w:szCs w:val="18"/>
          <w:lang w:val="pt-BR"/>
        </w:rPr>
        <w:t>Esse direito expirar</w:t>
      </w:r>
      <w:bookmarkStart w:id="1204" w:name="Srv_34CoreInfraSvrSuiteDatacenter"/>
      <w:r w:rsidRPr="003A4C23">
        <w:rPr>
          <w:rFonts w:eastAsia="Calibri" w:cs="Tahoma"/>
          <w:szCs w:val="18"/>
          <w:lang w:val="pt-BR"/>
        </w:rPr>
        <w:t>á em caso de término ou das licenças qualificadas.</w:t>
      </w:r>
    </w:p>
    <w:p w:rsidR="00B947E4" w:rsidRPr="003A4C23" w:rsidRDefault="004668D9" w:rsidP="00B947E4">
      <w:pPr>
        <w:pStyle w:val="Heading3"/>
        <w:rPr>
          <w:lang w:val="pt-BR"/>
        </w:rPr>
      </w:pPr>
      <w:bookmarkStart w:id="1205" w:name="_39_Core_Infrastructure"/>
      <w:bookmarkStart w:id="1206" w:name="_40_Core_Infrastructure"/>
      <w:bookmarkStart w:id="1207" w:name="_Toc336338298"/>
      <w:bookmarkStart w:id="1208" w:name="_Toc353470946"/>
      <w:bookmarkStart w:id="1209" w:name="Srv_37CoreInfraServerSuiteData"/>
      <w:bookmarkEnd w:id="1205"/>
      <w:bookmarkEnd w:id="1206"/>
      <w:r w:rsidRPr="003A4C23">
        <w:rPr>
          <w:rFonts w:ascii="Tahoma" w:hAnsi="Tahoma"/>
          <w:caps/>
          <w:color w:val="F66400"/>
          <w:sz w:val="22"/>
          <w:vertAlign w:val="superscript"/>
          <w:lang w:val="pt-BR"/>
        </w:rPr>
        <w:lastRenderedPageBreak/>
        <w:t>40</w:t>
      </w:r>
      <w:r w:rsidRPr="003A4C23">
        <w:rPr>
          <w:rFonts w:ascii="Tahoma" w:hAnsi="Tahoma"/>
          <w:color w:val="F66400"/>
          <w:sz w:val="22"/>
          <w:lang w:val="pt-BR"/>
        </w:rPr>
        <w:t xml:space="preserve"> Core Infrastructure Server Suite Datacenter</w:t>
      </w:r>
      <w:bookmarkEnd w:id="1204"/>
      <w:bookmarkEnd w:id="1207"/>
      <w:bookmarkEnd w:id="1208"/>
    </w:p>
    <w:bookmarkEnd w:id="1209"/>
    <w:p w:rsidR="00B947E4" w:rsidRPr="003A4C23" w:rsidRDefault="00B947E4" w:rsidP="00B947E4">
      <w:pPr>
        <w:rPr>
          <w:lang w:val="pt-BR"/>
        </w:rPr>
      </w:pPr>
    </w:p>
    <w:p w:rsidR="004D776B" w:rsidRPr="003A4C23" w:rsidRDefault="004D776B" w:rsidP="00A66BD2">
      <w:pPr>
        <w:spacing w:after="60"/>
        <w:ind w:left="720"/>
        <w:rPr>
          <w:lang w:val="pt-BR"/>
        </w:rPr>
      </w:pPr>
      <w:r w:rsidRPr="003A4C23">
        <w:rPr>
          <w:rFonts w:eastAsia="Calibri" w:cs="Tahoma"/>
          <w:b/>
          <w:szCs w:val="18"/>
          <w:lang w:val="pt-BR"/>
        </w:rPr>
        <w:t>Migração para Nova Metodologia de Licenciamento</w:t>
      </w:r>
    </w:p>
    <w:p w:rsidR="004D776B" w:rsidRPr="003A4C23" w:rsidRDefault="004D776B" w:rsidP="00A66BD2">
      <w:pPr>
        <w:ind w:left="720"/>
        <w:rPr>
          <w:lang w:val="pt-BR"/>
        </w:rPr>
      </w:pPr>
      <w:r w:rsidRPr="003A4C23">
        <w:rPr>
          <w:rFonts w:eastAsia="Calibri" w:cs="Tahoma"/>
          <w:szCs w:val="18"/>
          <w:lang w:val="pt-BR"/>
        </w:rPr>
        <w:t>A partir de 1</w:t>
      </w:r>
      <w:r w:rsidRPr="003A4C23">
        <w:rPr>
          <w:rFonts w:eastAsia="Calibri" w:cs="Tahoma"/>
          <w:szCs w:val="18"/>
          <w:vertAlign w:val="superscript"/>
          <w:lang w:val="pt-BR"/>
        </w:rPr>
        <w:t>º</w:t>
      </w:r>
      <w:r w:rsidRPr="003A4C23">
        <w:rPr>
          <w:rFonts w:eastAsia="Calibri" w:cs="Tahoma"/>
          <w:szCs w:val="18"/>
          <w:lang w:val="pt-BR"/>
        </w:rPr>
        <w:t xml:space="preserve"> de abril de 2012, o modelo de licenciamento foi alterado. As licenças adquiridas sob novos registros em vigor a partir de 1</w:t>
      </w:r>
      <w:r w:rsidRPr="003A4C23">
        <w:rPr>
          <w:rFonts w:eastAsia="Calibri" w:cs="Tahoma"/>
          <w:szCs w:val="18"/>
          <w:vertAlign w:val="superscript"/>
          <w:lang w:val="pt-BR"/>
        </w:rPr>
        <w:t>º</w:t>
      </w:r>
      <w:r w:rsidRPr="003A4C23">
        <w:rPr>
          <w:rFonts w:eastAsia="Calibri" w:cs="Tahoma"/>
          <w:szCs w:val="18"/>
          <w:lang w:val="pt-BR"/>
        </w:rPr>
        <w:t xml:space="preserve"> de abril de 2012 podem licenciar até dois processadores físicos.</w:t>
      </w:r>
    </w:p>
    <w:p w:rsidR="00A66BD2" w:rsidRPr="003A4C23" w:rsidRDefault="00A66BD2" w:rsidP="00A66BD2">
      <w:pPr>
        <w:ind w:left="720"/>
        <w:rPr>
          <w:lang w:val="pt-BR"/>
        </w:rPr>
      </w:pPr>
    </w:p>
    <w:p w:rsidR="004D776B" w:rsidRPr="003A4C23" w:rsidRDefault="004D776B" w:rsidP="00A66BD2">
      <w:pPr>
        <w:ind w:left="720"/>
        <w:rPr>
          <w:lang w:val="pt-BR"/>
        </w:rPr>
      </w:pPr>
      <w:r w:rsidRPr="003A4C23">
        <w:rPr>
          <w:rFonts w:eastAsia="Calibri" w:cs="Tahoma"/>
          <w:szCs w:val="18"/>
          <w:lang w:val="pt-BR"/>
        </w:rPr>
        <w:t>Os clientes sob registros existentes a partir de 1</w:t>
      </w:r>
      <w:r w:rsidRPr="003A4C23">
        <w:rPr>
          <w:rFonts w:eastAsia="Calibri" w:cs="Tahoma"/>
          <w:szCs w:val="18"/>
          <w:vertAlign w:val="superscript"/>
          <w:lang w:val="pt-BR"/>
        </w:rPr>
        <w:t>º</w:t>
      </w:r>
      <w:r w:rsidRPr="003A4C23">
        <w:rPr>
          <w:rFonts w:eastAsia="Calibri" w:cs="Tahoma"/>
          <w:szCs w:val="18"/>
          <w:lang w:val="pt-BR"/>
        </w:rPr>
        <w:t xml:space="preserve"> de abril de 2012 (em vigor ou antes de 1</w:t>
      </w:r>
      <w:r w:rsidRPr="003A4C23">
        <w:rPr>
          <w:rFonts w:eastAsia="Calibri" w:cs="Tahoma"/>
          <w:szCs w:val="18"/>
          <w:vertAlign w:val="superscript"/>
          <w:lang w:val="pt-BR"/>
        </w:rPr>
        <w:t>º</w:t>
      </w:r>
      <w:r w:rsidR="00427775" w:rsidRPr="003A4C23">
        <w:rPr>
          <w:rFonts w:eastAsia="Calibri" w:cs="Tahoma"/>
          <w:szCs w:val="18"/>
          <w:lang w:val="pt-BR"/>
        </w:rPr>
        <w:t> </w:t>
      </w:r>
      <w:r w:rsidRPr="003A4C23">
        <w:rPr>
          <w:rFonts w:eastAsia="Calibri" w:cs="Tahoma"/>
          <w:szCs w:val="18"/>
          <w:lang w:val="pt-BR"/>
        </w:rPr>
        <w:t>de</w:t>
      </w:r>
      <w:r w:rsidR="00427775" w:rsidRPr="003A4C23">
        <w:rPr>
          <w:rFonts w:eastAsia="Calibri" w:cs="Tahoma"/>
          <w:szCs w:val="18"/>
          <w:lang w:val="pt-BR"/>
        </w:rPr>
        <w:t> </w:t>
      </w:r>
      <w:r w:rsidRPr="003A4C23">
        <w:rPr>
          <w:rFonts w:eastAsia="Calibri" w:cs="Tahoma"/>
          <w:szCs w:val="18"/>
          <w:lang w:val="pt-BR"/>
        </w:rPr>
        <w:t>abril</w:t>
      </w:r>
      <w:r w:rsidR="00427775" w:rsidRPr="003A4C23">
        <w:rPr>
          <w:rFonts w:eastAsia="Calibri" w:cs="Tahoma"/>
          <w:szCs w:val="18"/>
          <w:lang w:val="pt-BR"/>
        </w:rPr>
        <w:t> </w:t>
      </w:r>
      <w:r w:rsidRPr="003A4C23">
        <w:rPr>
          <w:rFonts w:eastAsia="Calibri" w:cs="Tahoma"/>
          <w:szCs w:val="18"/>
          <w:lang w:val="pt-BR"/>
        </w:rPr>
        <w:t>de</w:t>
      </w:r>
      <w:r w:rsidR="00427775" w:rsidRPr="003A4C23">
        <w:rPr>
          <w:rFonts w:eastAsia="Calibri" w:cs="Tahoma"/>
          <w:szCs w:val="18"/>
          <w:lang w:val="pt-BR"/>
        </w:rPr>
        <w:t> </w:t>
      </w:r>
      <w:r w:rsidRPr="003A4C23">
        <w:rPr>
          <w:rFonts w:eastAsia="Calibri" w:cs="Tahoma"/>
          <w:szCs w:val="18"/>
          <w:lang w:val="pt-BR"/>
        </w:rPr>
        <w:t>2012) podem continuar a fazer adequações (“true-up”) de licenças sob o modelo antigo</w:t>
      </w:r>
      <w:r w:rsidR="00427775" w:rsidRPr="003A4C23">
        <w:rPr>
          <w:rFonts w:eastAsia="Calibri" w:cs="Tahoma"/>
          <w:szCs w:val="18"/>
          <w:lang w:val="pt-BR"/>
        </w:rPr>
        <w:t> </w:t>
      </w:r>
      <w:r w:rsidRPr="003A4C23">
        <w:rPr>
          <w:rFonts w:eastAsia="Calibri" w:cs="Tahoma"/>
          <w:szCs w:val="18"/>
          <w:lang w:val="pt-BR"/>
        </w:rPr>
        <w:t>sob</w:t>
      </w:r>
      <w:r w:rsidR="00427775" w:rsidRPr="003A4C23">
        <w:rPr>
          <w:rFonts w:eastAsia="Calibri" w:cs="Tahoma"/>
          <w:szCs w:val="18"/>
          <w:lang w:val="pt-BR"/>
        </w:rPr>
        <w:t> </w:t>
      </w:r>
      <w:r w:rsidRPr="003A4C23">
        <w:rPr>
          <w:rFonts w:eastAsia="Calibri" w:cs="Tahoma"/>
          <w:szCs w:val="18"/>
          <w:lang w:val="pt-BR"/>
        </w:rPr>
        <w:t>o</w:t>
      </w:r>
      <w:r w:rsidR="00427775" w:rsidRPr="003A4C23">
        <w:rPr>
          <w:rFonts w:eastAsia="Calibri" w:cs="Tahoma"/>
          <w:szCs w:val="18"/>
          <w:lang w:val="pt-BR"/>
        </w:rPr>
        <w:t> </w:t>
      </w:r>
      <w:r w:rsidRPr="003A4C23">
        <w:rPr>
          <w:rFonts w:eastAsia="Calibri" w:cs="Tahoma"/>
          <w:szCs w:val="18"/>
          <w:lang w:val="pt-BR"/>
        </w:rPr>
        <w:t>qual cada licença pode licenciar apenas um processador. Os direitos de migração a</w:t>
      </w:r>
      <w:r w:rsidR="00427775" w:rsidRPr="003A4C23">
        <w:rPr>
          <w:rFonts w:eastAsia="Calibri" w:cs="Tahoma"/>
          <w:szCs w:val="18"/>
          <w:lang w:val="pt-BR"/>
        </w:rPr>
        <w:t> </w:t>
      </w:r>
      <w:r w:rsidRPr="003A4C23">
        <w:rPr>
          <w:rFonts w:eastAsia="Calibri" w:cs="Tahoma"/>
          <w:szCs w:val="18"/>
          <w:lang w:val="pt-BR"/>
        </w:rPr>
        <w:t>seguir</w:t>
      </w:r>
      <w:r w:rsidR="00427775" w:rsidRPr="003A4C23">
        <w:rPr>
          <w:rFonts w:eastAsia="Calibri" w:cs="Tahoma"/>
          <w:szCs w:val="18"/>
          <w:lang w:val="pt-BR"/>
        </w:rPr>
        <w:t> </w:t>
      </w:r>
      <w:r w:rsidRPr="003A4C23">
        <w:rPr>
          <w:rFonts w:eastAsia="Calibri" w:cs="Tahoma"/>
          <w:szCs w:val="18"/>
          <w:lang w:val="pt-BR"/>
        </w:rPr>
        <w:t>se</w:t>
      </w:r>
      <w:r w:rsidR="00427775" w:rsidRPr="003A4C23">
        <w:rPr>
          <w:rFonts w:eastAsia="Calibri" w:cs="Tahoma"/>
          <w:szCs w:val="18"/>
          <w:lang w:val="pt-BR"/>
        </w:rPr>
        <w:t> </w:t>
      </w:r>
      <w:r w:rsidRPr="003A4C23">
        <w:rPr>
          <w:rFonts w:eastAsia="Calibri" w:cs="Tahoma"/>
          <w:szCs w:val="18"/>
          <w:lang w:val="pt-BR"/>
        </w:rPr>
        <w:t>aplicam a licenças para esses clientes:</w:t>
      </w:r>
    </w:p>
    <w:p w:rsidR="00A66BD2" w:rsidRPr="003A4C23" w:rsidRDefault="00A66BD2" w:rsidP="00A66BD2">
      <w:pPr>
        <w:ind w:left="720"/>
        <w:rPr>
          <w:lang w:val="pt-BR"/>
        </w:rPr>
      </w:pPr>
    </w:p>
    <w:p w:rsidR="004D776B" w:rsidRPr="003A4C23" w:rsidRDefault="004D776B" w:rsidP="00A66BD2">
      <w:pPr>
        <w:pStyle w:val="ListParagraph"/>
        <w:contextualSpacing w:val="0"/>
        <w:rPr>
          <w:lang w:val="pt-BR"/>
        </w:rPr>
      </w:pPr>
      <w:r w:rsidRPr="003A4C23">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rsidR="00857EF7" w:rsidRPr="003A4C23" w:rsidRDefault="00857EF7" w:rsidP="00A66BD2">
      <w:pPr>
        <w:ind w:left="720"/>
        <w:rPr>
          <w:lang w:val="pt-BR"/>
        </w:rPr>
      </w:pPr>
    </w:p>
    <w:p w:rsidR="004D776B" w:rsidRPr="003A4C23" w:rsidRDefault="004D776B" w:rsidP="00857EF7">
      <w:pPr>
        <w:spacing w:after="60"/>
        <w:ind w:left="720"/>
        <w:rPr>
          <w:lang w:val="pt-BR"/>
        </w:rPr>
      </w:pPr>
      <w:r w:rsidRPr="003A4C23">
        <w:rPr>
          <w:rFonts w:eastAsia="Calibri" w:cs="Tahoma"/>
          <w:b/>
          <w:szCs w:val="18"/>
          <w:lang w:val="pt-BR"/>
        </w:rPr>
        <w:t>Liberação da Nova Versão do Windows Server</w:t>
      </w:r>
    </w:p>
    <w:p w:rsidR="004D776B" w:rsidRPr="003A4C23" w:rsidRDefault="004D776B" w:rsidP="00A66BD2">
      <w:pPr>
        <w:ind w:left="720"/>
        <w:rPr>
          <w:lang w:val="pt-BR"/>
        </w:rPr>
      </w:pPr>
      <w:r w:rsidRPr="003A4C23">
        <w:rPr>
          <w:rFonts w:eastAsia="Calibri" w:cs="Tahoma"/>
          <w:szCs w:val="18"/>
          <w:lang w:val="pt-BR"/>
        </w:rPr>
        <w:t>Os clientes licenciados para o Core Infrastructure Server Suite Datacenter com Software Assurance ativo a</w:t>
      </w:r>
      <w:r w:rsidR="008B0218" w:rsidRPr="003A4C23">
        <w:rPr>
          <w:rFonts w:eastAsia="Calibri" w:cs="Tahoma"/>
          <w:szCs w:val="18"/>
          <w:lang w:val="pt-BR"/>
        </w:rPr>
        <w:t> </w:t>
      </w:r>
      <w:r w:rsidRPr="003A4C23">
        <w:rPr>
          <w:rFonts w:eastAsia="Calibri" w:cs="Tahoma"/>
          <w:szCs w:val="18"/>
          <w:lang w:val="pt-BR"/>
        </w:rPr>
        <w:t>partir de 1</w:t>
      </w:r>
      <w:r w:rsidRPr="003A4C23">
        <w:rPr>
          <w:rFonts w:eastAsia="Calibri" w:cs="Tahoma"/>
          <w:szCs w:val="18"/>
          <w:vertAlign w:val="superscript"/>
          <w:lang w:val="pt-BR"/>
        </w:rPr>
        <w:t>º</w:t>
      </w:r>
      <w:r w:rsidRPr="003A4C23">
        <w:rPr>
          <w:rFonts w:eastAsia="Calibri" w:cs="Tahoma"/>
          <w:szCs w:val="18"/>
          <w:lang w:val="pt-BR"/>
        </w:rPr>
        <w:t xml:space="preserve"> de setembro de 2012 têm os direitos de uso dos seguintes produtos sujeitos aos direitos de</w:t>
      </w:r>
      <w:r w:rsidR="00427775" w:rsidRPr="003A4C23">
        <w:rPr>
          <w:rFonts w:eastAsia="Calibri" w:cs="Tahoma"/>
          <w:szCs w:val="18"/>
          <w:lang w:val="pt-BR"/>
        </w:rPr>
        <w:t> </w:t>
      </w:r>
      <w:r w:rsidRPr="003A4C23">
        <w:rPr>
          <w:rFonts w:eastAsia="Calibri" w:cs="Tahoma"/>
          <w:szCs w:val="18"/>
          <w:lang w:val="pt-BR"/>
        </w:rPr>
        <w:t>uso de produto desses produtos e do Core Infrastructure Server Suite Datacenter:</w:t>
      </w:r>
    </w:p>
    <w:p w:rsidR="00857EF7" w:rsidRPr="003A4C23" w:rsidRDefault="00857EF7" w:rsidP="00A66BD2">
      <w:pPr>
        <w:ind w:left="720"/>
        <w:rPr>
          <w:lang w:val="pt-BR"/>
        </w:rPr>
      </w:pPr>
    </w:p>
    <w:p w:rsidR="004D776B" w:rsidRPr="00653421" w:rsidRDefault="004D776B" w:rsidP="00857EF7">
      <w:pPr>
        <w:numPr>
          <w:ilvl w:val="0"/>
          <w:numId w:val="141"/>
        </w:numPr>
        <w:spacing w:after="60"/>
        <w:ind w:left="1440"/>
      </w:pPr>
      <w:r w:rsidRPr="00653421">
        <w:rPr>
          <w:rFonts w:eastAsia="Calibri" w:cs="Tahoma"/>
          <w:szCs w:val="18"/>
        </w:rPr>
        <w:t>Windows Server 2012 Datacenter</w:t>
      </w:r>
    </w:p>
    <w:p w:rsidR="004D776B" w:rsidRPr="00653421" w:rsidRDefault="004D776B" w:rsidP="00857EF7">
      <w:pPr>
        <w:numPr>
          <w:ilvl w:val="0"/>
          <w:numId w:val="141"/>
        </w:numPr>
        <w:spacing w:after="60"/>
        <w:ind w:left="1440"/>
      </w:pPr>
      <w:r w:rsidRPr="00653421">
        <w:rPr>
          <w:rFonts w:eastAsia="Calibri" w:cs="Tahoma"/>
          <w:szCs w:val="18"/>
        </w:rPr>
        <w:t>System Center 2012 Datacenter</w:t>
      </w:r>
    </w:p>
    <w:p w:rsidR="00857EF7" w:rsidRPr="00653421" w:rsidRDefault="00857EF7" w:rsidP="00857EF7"/>
    <w:p w:rsidR="004D776B" w:rsidRPr="003A4C23" w:rsidRDefault="004D776B" w:rsidP="00857EF7">
      <w:pPr>
        <w:spacing w:after="60"/>
        <w:ind w:left="720"/>
        <w:rPr>
          <w:lang w:val="pt-BR"/>
        </w:rPr>
      </w:pPr>
      <w:r w:rsidRPr="003A4C23">
        <w:rPr>
          <w:rFonts w:eastAsia="Calibri" w:cs="Tahoma"/>
          <w:b/>
          <w:szCs w:val="18"/>
          <w:lang w:val="pt-BR"/>
        </w:rPr>
        <w:t>Oferta de Renovação de Software Assurance para Clientes do Windows Server Datacenter e</w:t>
      </w:r>
      <w:r w:rsidR="008B0218" w:rsidRPr="003A4C23">
        <w:rPr>
          <w:rFonts w:eastAsia="Calibri" w:cs="Tahoma"/>
          <w:b/>
          <w:szCs w:val="18"/>
          <w:lang w:val="pt-BR"/>
        </w:rPr>
        <w:t> </w:t>
      </w:r>
      <w:r w:rsidRPr="003A4C23">
        <w:rPr>
          <w:rFonts w:eastAsia="Calibri" w:cs="Tahoma"/>
          <w:b/>
          <w:szCs w:val="18"/>
          <w:lang w:val="pt-BR"/>
        </w:rPr>
        <w:t>System Center Datacenter</w:t>
      </w:r>
    </w:p>
    <w:p w:rsidR="004D776B" w:rsidRPr="003A4C23" w:rsidRDefault="004D776B" w:rsidP="00A66BD2">
      <w:pPr>
        <w:ind w:left="720"/>
        <w:rPr>
          <w:lang w:val="pt-BR"/>
        </w:rPr>
      </w:pPr>
      <w:r w:rsidRPr="003A4C23">
        <w:rPr>
          <w:rFonts w:eastAsia="Calibri" w:cs="Tahoma"/>
          <w:szCs w:val="18"/>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rsidR="00857EF7" w:rsidRPr="003A4C23" w:rsidRDefault="00857EF7" w:rsidP="00A66BD2">
      <w:pPr>
        <w:ind w:left="720"/>
        <w:rPr>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653421"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653421" w:rsidRDefault="004D776B" w:rsidP="00026546">
            <w:pPr>
              <w:keepNext/>
              <w:tabs>
                <w:tab w:val="left" w:pos="3120"/>
                <w:tab w:val="center" w:pos="3591"/>
              </w:tabs>
              <w:spacing w:before="120" w:after="120" w:line="276" w:lineRule="auto"/>
              <w:jc w:val="center"/>
              <w:rPr>
                <w:rFonts w:eastAsia="Calibri" w:cs="Tahoma"/>
                <w:b/>
                <w:szCs w:val="18"/>
              </w:rPr>
            </w:pPr>
            <w:r w:rsidRPr="00653421">
              <w:rPr>
                <w:rFonts w:eastAsia="Calibri" w:cs="Tahoma"/>
                <w:b/>
                <w:szCs w:val="18"/>
              </w:rPr>
              <w:t>Tabela C</w:t>
            </w:r>
          </w:p>
        </w:tc>
      </w:tr>
      <w:tr w:rsidR="004D776B" w:rsidRPr="00653421"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653421" w:rsidRDefault="004D776B" w:rsidP="00026546">
            <w:pPr>
              <w:keepNext/>
              <w:tabs>
                <w:tab w:val="left" w:pos="3120"/>
                <w:tab w:val="center" w:pos="3591"/>
              </w:tabs>
              <w:spacing w:before="120" w:after="120" w:line="276" w:lineRule="auto"/>
              <w:jc w:val="center"/>
              <w:rPr>
                <w:rFonts w:eastAsia="Calibri" w:cs="Tahoma"/>
                <w:b/>
                <w:szCs w:val="18"/>
              </w:rPr>
            </w:pPr>
            <w:r w:rsidRPr="00653421">
              <w:rPr>
                <w:rFonts w:eastAsia="Calibri" w:cs="Tahoma"/>
                <w:b/>
                <w:szCs w:val="18"/>
              </w:rPr>
              <w:t>Windows Server Datacenter</w:t>
            </w:r>
          </w:p>
        </w:tc>
      </w:tr>
      <w:tr w:rsidR="004D776B" w:rsidRPr="00653421"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653421" w:rsidRDefault="004D776B" w:rsidP="00026546">
            <w:pPr>
              <w:keepNext/>
              <w:tabs>
                <w:tab w:val="left" w:pos="3120"/>
                <w:tab w:val="center" w:pos="3591"/>
              </w:tabs>
              <w:spacing w:before="120" w:after="120" w:line="276" w:lineRule="auto"/>
              <w:jc w:val="center"/>
              <w:rPr>
                <w:rFonts w:eastAsia="Calibri" w:cs="Tahoma"/>
                <w:b/>
                <w:szCs w:val="18"/>
              </w:rPr>
            </w:pPr>
            <w:r w:rsidRPr="00653421">
              <w:rPr>
                <w:rFonts w:eastAsia="Calibri" w:cs="Tahoma"/>
                <w:b/>
                <w:szCs w:val="18"/>
              </w:rPr>
              <w:t>System Center Datacenter</w:t>
            </w:r>
          </w:p>
        </w:tc>
      </w:tr>
    </w:tbl>
    <w:p w:rsidR="00416294" w:rsidRPr="00653421" w:rsidRDefault="00416294" w:rsidP="00416294">
      <w:pPr>
        <w:ind w:left="547"/>
      </w:pPr>
    </w:p>
    <w:p w:rsidR="004D776B" w:rsidRPr="003A4C23" w:rsidRDefault="004D776B" w:rsidP="001154B5">
      <w:pPr>
        <w:ind w:left="720"/>
        <w:rPr>
          <w:lang w:val="pt-BR"/>
        </w:rPr>
      </w:pPr>
      <w:r w:rsidRPr="003A4C23">
        <w:rPr>
          <w:rFonts w:eastAsia="Calibri" w:cs="Tahoma"/>
          <w:color w:val="000000"/>
          <w:szCs w:val="18"/>
          <w:lang w:val="pt-BR"/>
        </w:rPr>
        <w:t>Para cada conjunto composto de uma licença qualificada do Windows Server Datacenter e uma licença qualificada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rsidR="00973A93" w:rsidRPr="003A4C23" w:rsidRDefault="00973A93" w:rsidP="0050116B">
      <w:pPr>
        <w:ind w:left="540"/>
        <w:rPr>
          <w:lang w:val="pt-BR"/>
        </w:rPr>
      </w:pPr>
    </w:p>
    <w:p w:rsidR="004D776B" w:rsidRPr="003A4C23" w:rsidRDefault="004D776B" w:rsidP="00857EF7">
      <w:pPr>
        <w:spacing w:after="60"/>
        <w:ind w:left="720"/>
        <w:rPr>
          <w:lang w:val="pt-BR"/>
        </w:rPr>
      </w:pPr>
      <w:r w:rsidRPr="003A4C23">
        <w:rPr>
          <w:rFonts w:eastAsia="Calibri" w:cs="Tahoma"/>
          <w:b/>
          <w:szCs w:val="18"/>
          <w:lang w:val="pt-BR"/>
        </w:rPr>
        <w:t>Step-up do Windows Server Datacenter ou System Center Datacenter para o Core Infrastructure Server Suite Datacenter</w:t>
      </w:r>
    </w:p>
    <w:p w:rsidR="004D776B" w:rsidRPr="003A4C23" w:rsidRDefault="004D776B" w:rsidP="00857EF7">
      <w:pPr>
        <w:ind w:left="720"/>
        <w:rPr>
          <w:lang w:val="pt-BR"/>
        </w:rPr>
      </w:pPr>
      <w:r w:rsidRPr="003A4C23">
        <w:rPr>
          <w:rFonts w:eastAsia="Calibri" w:cs="Tahoma"/>
          <w:szCs w:val="18"/>
          <w:lang w:val="pt-BR"/>
        </w:rPr>
        <w:t>Os clientes podem fazer step-up do Windows Server Datacenter ou System Center Datacenter para o Core</w:t>
      </w:r>
      <w:r w:rsidR="008B0218" w:rsidRPr="003A4C23">
        <w:rPr>
          <w:rFonts w:eastAsia="Calibri" w:cs="Tahoma"/>
          <w:szCs w:val="18"/>
          <w:lang w:val="pt-BR"/>
        </w:rPr>
        <w:t> </w:t>
      </w:r>
      <w:r w:rsidRPr="003A4C23">
        <w:rPr>
          <w:rFonts w:eastAsia="Calibri" w:cs="Tahoma"/>
          <w:szCs w:val="18"/>
          <w:lang w:val="pt-BR"/>
        </w:rPr>
        <w:t>Infrastructure Server Suite Datacenter pela aquisição da licença de Step-up adequada do Core Infrastructure Server Suite Datacenter.</w:t>
      </w:r>
      <w:r w:rsidR="005A52A2" w:rsidRPr="003A4C23">
        <w:rPr>
          <w:rFonts w:eastAsia="Calibri" w:cs="Tahoma"/>
          <w:szCs w:val="18"/>
          <w:lang w:val="pt-BR"/>
        </w:rPr>
        <w:t xml:space="preserve"> </w:t>
      </w:r>
      <w:r w:rsidRPr="003A4C23">
        <w:rPr>
          <w:rFonts w:eastAsia="Calibri" w:cs="Tahoma"/>
          <w:szCs w:val="18"/>
          <w:lang w:val="pt-BR"/>
        </w:rPr>
        <w:t>Os clientes devem ter o Software Assurance ativo para a licença do</w:t>
      </w:r>
      <w:r w:rsidR="008B0218" w:rsidRPr="003A4C23">
        <w:rPr>
          <w:rFonts w:eastAsia="Calibri" w:cs="Tahoma"/>
          <w:szCs w:val="18"/>
          <w:lang w:val="pt-BR"/>
        </w:rPr>
        <w:t> </w:t>
      </w:r>
      <w:r w:rsidRPr="003A4C23">
        <w:rPr>
          <w:rFonts w:eastAsia="Calibri" w:cs="Tahoma"/>
          <w:szCs w:val="18"/>
          <w:lang w:val="pt-BR"/>
        </w:rPr>
        <w:t xml:space="preserve">Windows Server Datacenter ou System Center Datacenter para adquirir essa licença de Step-up. </w:t>
      </w:r>
    </w:p>
    <w:p w:rsidR="00857EF7" w:rsidRPr="003A4C23" w:rsidRDefault="00857EF7" w:rsidP="00857EF7">
      <w:pPr>
        <w:ind w:left="720"/>
        <w:rPr>
          <w:lang w:val="pt-BR"/>
        </w:rPr>
      </w:pPr>
    </w:p>
    <w:p w:rsidR="004D776B" w:rsidRPr="003A4C23" w:rsidRDefault="004D776B" w:rsidP="00857EF7">
      <w:pPr>
        <w:ind w:left="720"/>
        <w:rPr>
          <w:lang w:val="pt-BR"/>
        </w:rPr>
      </w:pPr>
      <w:r w:rsidRPr="003A4C23">
        <w:rPr>
          <w:rFonts w:eastAsia="Calibri" w:cs="Tahoma"/>
          <w:szCs w:val="18"/>
          <w:lang w:val="pt-BR"/>
        </w:rPr>
        <w:t>Para cada licença qualificada do Windows Server Datacenter que o cliente tiver, ele poderá adquirir uma licença de Step-up do Core Infrastructure Server Suite Datacenter.</w:t>
      </w:r>
      <w:r w:rsidR="005A52A2" w:rsidRPr="003A4C23">
        <w:rPr>
          <w:rFonts w:eastAsia="Calibri" w:cs="Tahoma"/>
          <w:szCs w:val="18"/>
          <w:lang w:val="pt-BR"/>
        </w:rPr>
        <w:t xml:space="preserve"> </w:t>
      </w:r>
    </w:p>
    <w:p w:rsidR="00857EF7" w:rsidRPr="003A4C23" w:rsidRDefault="00857EF7" w:rsidP="00857EF7">
      <w:pPr>
        <w:ind w:left="720"/>
        <w:rPr>
          <w:lang w:val="pt-BR"/>
        </w:rPr>
      </w:pPr>
    </w:p>
    <w:p w:rsidR="006659B5" w:rsidRPr="003A4C23" w:rsidRDefault="006659B5" w:rsidP="00857EF7">
      <w:pPr>
        <w:ind w:left="720"/>
        <w:rPr>
          <w:lang w:val="pt-BR"/>
        </w:rPr>
      </w:pPr>
    </w:p>
    <w:p w:rsidR="004D776B" w:rsidRPr="003A4C23" w:rsidRDefault="004D776B" w:rsidP="00857EF7">
      <w:pPr>
        <w:ind w:left="720"/>
        <w:rPr>
          <w:lang w:val="pt-BR"/>
        </w:rPr>
      </w:pPr>
      <w:r w:rsidRPr="003A4C23">
        <w:rPr>
          <w:rFonts w:eastAsia="Calibri" w:cs="Tahoma"/>
          <w:szCs w:val="18"/>
          <w:lang w:val="pt-BR"/>
        </w:rPr>
        <w:lastRenderedPageBreak/>
        <w:t>Para cada licença qualificada do Systems Center Datacenter que o cliente tiver, ele poderá adquirir uma licença de Step-up do Core Infrastructure Server Suite Datacenter.</w:t>
      </w:r>
      <w:r w:rsidR="005A52A2" w:rsidRPr="003A4C23">
        <w:rPr>
          <w:rFonts w:eastAsia="Calibri" w:cs="Tahoma"/>
          <w:szCs w:val="18"/>
          <w:lang w:val="pt-BR"/>
        </w:rPr>
        <w:t xml:space="preserve"> </w:t>
      </w:r>
    </w:p>
    <w:p w:rsidR="006659B5" w:rsidRPr="003A4C23" w:rsidRDefault="006659B5" w:rsidP="00857EF7">
      <w:pPr>
        <w:ind w:left="720"/>
        <w:rPr>
          <w:rFonts w:eastAsia="Calibri" w:cs="Tahoma"/>
          <w:szCs w:val="18"/>
          <w:lang w:val="pt-BR"/>
        </w:rPr>
      </w:pPr>
    </w:p>
    <w:p w:rsidR="004D776B" w:rsidRPr="003A4C23" w:rsidRDefault="004D776B" w:rsidP="00857EF7">
      <w:pPr>
        <w:ind w:left="720"/>
        <w:rPr>
          <w:lang w:val="pt-BR"/>
        </w:rPr>
      </w:pPr>
      <w:r w:rsidRPr="003A4C23">
        <w:rPr>
          <w:rFonts w:eastAsia="Calibri" w:cs="Tahoma"/>
          <w:szCs w:val="18"/>
          <w:lang w:val="pt-BR"/>
        </w:rPr>
        <w:t>O direito de uso do software pelos clientes sob a licença do Core Infrastructure Server Suite Datacenter está condicionado ao cumprimento pelos clientes de qualquer obrigação de pagamento remanescente da licença do produto qualificado.</w:t>
      </w:r>
      <w:r w:rsidR="005A52A2" w:rsidRPr="003A4C23">
        <w:rPr>
          <w:rFonts w:eastAsia="Calibri" w:cs="Tahoma"/>
          <w:szCs w:val="18"/>
          <w:lang w:val="pt-BR"/>
        </w:rPr>
        <w:t xml:space="preserve"> </w:t>
      </w:r>
      <w:r w:rsidRPr="003A4C23">
        <w:rPr>
          <w:rFonts w:eastAsia="Calibri" w:cs="Tahoma"/>
          <w:szCs w:val="18"/>
          <w:lang w:val="pt-BR"/>
        </w:rPr>
        <w:t>A licença do Core Infrastructure Server Suite Datacenter dos clientes suplanta e substitui a licença básica do produto qualificado.</w:t>
      </w:r>
    </w:p>
    <w:p w:rsidR="00857EF7" w:rsidRPr="003A4C23" w:rsidRDefault="00857EF7" w:rsidP="00C8658B">
      <w:pPr>
        <w:spacing w:line="160" w:lineRule="exact"/>
        <w:ind w:left="720"/>
        <w:rPr>
          <w:sz w:val="16"/>
          <w:szCs w:val="16"/>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653421" w:rsidTr="00C8658B">
        <w:trPr>
          <w:trHeight w:val="400"/>
          <w:tblHeader/>
        </w:trPr>
        <w:tc>
          <w:tcPr>
            <w:tcW w:w="3870" w:type="dxa"/>
            <w:shd w:val="clear" w:color="auto" w:fill="FABF8F"/>
            <w:tcMar>
              <w:top w:w="0" w:type="dxa"/>
              <w:left w:w="108" w:type="dxa"/>
              <w:bottom w:w="0" w:type="dxa"/>
              <w:right w:w="108" w:type="dxa"/>
            </w:tcMar>
            <w:vAlign w:val="center"/>
            <w:hideMark/>
          </w:tcPr>
          <w:p w:rsidR="004D776B" w:rsidRPr="00653421" w:rsidRDefault="004D776B" w:rsidP="007E466C">
            <w:pPr>
              <w:spacing w:before="120" w:after="120" w:line="276" w:lineRule="auto"/>
              <w:jc w:val="center"/>
              <w:rPr>
                <w:rFonts w:eastAsia="Calibri" w:cs="Tahoma"/>
                <w:b/>
                <w:szCs w:val="18"/>
              </w:rPr>
            </w:pPr>
            <w:r w:rsidRPr="00653421">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rsidR="004D776B" w:rsidRPr="00653421" w:rsidRDefault="004D776B" w:rsidP="007E466C">
            <w:pPr>
              <w:spacing w:before="120" w:after="120" w:line="276" w:lineRule="auto"/>
              <w:jc w:val="center"/>
              <w:rPr>
                <w:rFonts w:eastAsia="Calibri" w:cs="Tahoma"/>
                <w:b/>
                <w:szCs w:val="18"/>
              </w:rPr>
            </w:pPr>
            <w:r w:rsidRPr="00653421">
              <w:rPr>
                <w:rFonts w:eastAsia="Calibri" w:cs="Tahoma"/>
                <w:b/>
                <w:szCs w:val="18"/>
              </w:rPr>
              <w:t>Step-up para</w:t>
            </w:r>
          </w:p>
        </w:tc>
      </w:tr>
      <w:tr w:rsidR="004D776B" w:rsidRPr="00C71DAC" w:rsidTr="00C8658B">
        <w:trPr>
          <w:trHeight w:val="355"/>
        </w:trPr>
        <w:tc>
          <w:tcPr>
            <w:tcW w:w="3870" w:type="dxa"/>
            <w:tcMar>
              <w:top w:w="0" w:type="dxa"/>
              <w:left w:w="108" w:type="dxa"/>
              <w:bottom w:w="0" w:type="dxa"/>
              <w:right w:w="108" w:type="dxa"/>
            </w:tcMar>
            <w:hideMark/>
          </w:tcPr>
          <w:p w:rsidR="004D776B" w:rsidRPr="00653421" w:rsidRDefault="004D776B" w:rsidP="007E466C">
            <w:pPr>
              <w:spacing w:before="120" w:after="120" w:line="276" w:lineRule="auto"/>
              <w:rPr>
                <w:rFonts w:eastAsia="Calibri" w:cs="Tahoma"/>
                <w:szCs w:val="18"/>
              </w:rPr>
            </w:pPr>
            <w:r w:rsidRPr="00653421">
              <w:rPr>
                <w:rFonts w:eastAsia="Calibri" w:cs="Tahoma"/>
                <w:szCs w:val="18"/>
              </w:rPr>
              <w:t>Windows Server Datacenter</w:t>
            </w:r>
          </w:p>
        </w:tc>
        <w:tc>
          <w:tcPr>
            <w:tcW w:w="3870" w:type="dxa"/>
            <w:tcMar>
              <w:top w:w="0" w:type="dxa"/>
              <w:left w:w="108" w:type="dxa"/>
              <w:bottom w:w="0" w:type="dxa"/>
              <w:right w:w="108" w:type="dxa"/>
            </w:tcMar>
            <w:hideMark/>
          </w:tcPr>
          <w:p w:rsidR="004D776B" w:rsidRPr="00653421" w:rsidRDefault="004D776B" w:rsidP="007E466C">
            <w:pPr>
              <w:spacing w:before="120" w:after="120" w:line="276" w:lineRule="auto"/>
              <w:rPr>
                <w:rFonts w:eastAsia="Calibri" w:cs="Tahoma"/>
                <w:szCs w:val="18"/>
                <w:lang w:val="fr-FR"/>
              </w:rPr>
            </w:pPr>
            <w:r w:rsidRPr="00C71DAC">
              <w:rPr>
                <w:rFonts w:eastAsia="Calibri" w:cs="Tahoma"/>
                <w:szCs w:val="18"/>
                <w:lang w:val="fr-FR"/>
              </w:rPr>
              <w:t>Core Infrastructure Server Suite Datacenter</w:t>
            </w:r>
          </w:p>
        </w:tc>
      </w:tr>
      <w:tr w:rsidR="004D776B" w:rsidRPr="00C71DAC" w:rsidTr="001051D1">
        <w:tc>
          <w:tcPr>
            <w:tcW w:w="3870" w:type="dxa"/>
            <w:tcMar>
              <w:top w:w="0" w:type="dxa"/>
              <w:left w:w="108" w:type="dxa"/>
              <w:bottom w:w="0" w:type="dxa"/>
              <w:right w:w="108" w:type="dxa"/>
            </w:tcMar>
          </w:tcPr>
          <w:p w:rsidR="004D776B" w:rsidRPr="00653421" w:rsidRDefault="004D776B" w:rsidP="007E466C">
            <w:pPr>
              <w:spacing w:before="120" w:after="120" w:line="276" w:lineRule="auto"/>
              <w:rPr>
                <w:rFonts w:eastAsia="Calibri" w:cs="Tahoma"/>
                <w:szCs w:val="18"/>
              </w:rPr>
            </w:pPr>
            <w:r w:rsidRPr="00653421">
              <w:rPr>
                <w:rFonts w:eastAsia="Calibri" w:cs="Tahoma"/>
                <w:szCs w:val="18"/>
              </w:rPr>
              <w:t>System Center Datacenter</w:t>
            </w:r>
          </w:p>
        </w:tc>
        <w:tc>
          <w:tcPr>
            <w:tcW w:w="3870" w:type="dxa"/>
            <w:tcMar>
              <w:top w:w="0" w:type="dxa"/>
              <w:left w:w="108" w:type="dxa"/>
              <w:bottom w:w="0" w:type="dxa"/>
              <w:right w:w="108" w:type="dxa"/>
            </w:tcMar>
          </w:tcPr>
          <w:p w:rsidR="004D776B" w:rsidRPr="00653421" w:rsidRDefault="004D776B" w:rsidP="007E466C">
            <w:pPr>
              <w:spacing w:before="120" w:after="120" w:line="276" w:lineRule="auto"/>
              <w:rPr>
                <w:rFonts w:eastAsia="Calibri" w:cs="Tahoma"/>
                <w:szCs w:val="18"/>
                <w:lang w:val="fr-FR"/>
              </w:rPr>
            </w:pPr>
            <w:r w:rsidRPr="00C71DAC">
              <w:rPr>
                <w:rFonts w:eastAsia="Calibri" w:cs="Tahoma"/>
                <w:szCs w:val="18"/>
                <w:lang w:val="fr-FR"/>
              </w:rPr>
              <w:t>Core Infrastructure Server Suite Datacenter</w:t>
            </w:r>
          </w:p>
        </w:tc>
      </w:tr>
    </w:tbl>
    <w:p w:rsidR="00BC62D4" w:rsidRPr="00C71DAC" w:rsidRDefault="00BC62D4" w:rsidP="00ED5B61">
      <w:pPr>
        <w:ind w:left="720"/>
        <w:rPr>
          <w:lang w:val="fr-FR"/>
        </w:rPr>
      </w:pPr>
      <w:bookmarkStart w:id="1210" w:name="Srv_38DynCRMWorkProEnt"/>
    </w:p>
    <w:p w:rsidR="00E03856" w:rsidRPr="00C71DAC" w:rsidRDefault="00E03856" w:rsidP="00ED5B61">
      <w:pPr>
        <w:ind w:left="720"/>
        <w:rPr>
          <w:lang w:val="fr-FR"/>
        </w:rPr>
      </w:pPr>
    </w:p>
    <w:p w:rsidR="00F66FB0" w:rsidRPr="00C71DAC" w:rsidRDefault="00F66FB0" w:rsidP="00F66FB0">
      <w:pPr>
        <w:pStyle w:val="Heading2"/>
        <w:ind w:left="0"/>
        <w:rPr>
          <w:lang w:val="pt-BR"/>
        </w:rPr>
      </w:pPr>
      <w:bookmarkStart w:id="1211" w:name="_41_Duet_Enterprise_1"/>
      <w:bookmarkStart w:id="1212" w:name="_Toc353470947"/>
      <w:bookmarkStart w:id="1213" w:name="Srv_38DynamicsCRMOnline"/>
      <w:bookmarkStart w:id="1214" w:name="Srv_37DynamicsCRMOnline"/>
      <w:bookmarkStart w:id="1215" w:name="Srv_37EntCALSuite"/>
      <w:bookmarkEnd w:id="1198"/>
      <w:bookmarkEnd w:id="1210"/>
      <w:bookmarkEnd w:id="1211"/>
      <w:r w:rsidRPr="00C71DAC">
        <w:rPr>
          <w:rFonts w:ascii="Tahoma" w:eastAsia="Times New Roman" w:hAnsi="Tahoma" w:cs="Tahoma"/>
          <w:caps/>
          <w:color w:val="FA6500"/>
          <w:sz w:val="22"/>
          <w:szCs w:val="22"/>
          <w:vertAlign w:val="superscript"/>
          <w:lang w:val="pt-BR"/>
        </w:rPr>
        <w:t>41</w:t>
      </w:r>
      <w:r w:rsidRPr="00C71DAC">
        <w:rPr>
          <w:rFonts w:ascii="Tahoma" w:eastAsia="Times New Roman" w:hAnsi="Tahoma" w:cs="Tahoma"/>
          <w:caps/>
          <w:color w:val="FA6500"/>
          <w:sz w:val="22"/>
          <w:szCs w:val="22"/>
          <w:lang w:val="pt-BR"/>
        </w:rPr>
        <w:t xml:space="preserve"> </w:t>
      </w:r>
      <w:r w:rsidRPr="00C71DAC">
        <w:rPr>
          <w:rFonts w:ascii="Tahoma" w:eastAsia="Times New Roman" w:hAnsi="Tahoma" w:cs="Tahoma"/>
          <w:color w:val="FA6500"/>
          <w:sz w:val="22"/>
          <w:szCs w:val="22"/>
          <w:lang w:val="pt-BR"/>
        </w:rPr>
        <w:t>Duet Enterprise 2.0</w:t>
      </w:r>
      <w:bookmarkEnd w:id="1212"/>
    </w:p>
    <w:p w:rsidR="00F66FB0" w:rsidRPr="00C71DAC" w:rsidRDefault="00F66FB0" w:rsidP="00ED5B61">
      <w:pPr>
        <w:ind w:left="720"/>
        <w:rPr>
          <w:lang w:val="pt-BR"/>
        </w:rPr>
      </w:pPr>
    </w:p>
    <w:p w:rsidR="00F66FB0" w:rsidRPr="00C71DAC" w:rsidRDefault="00F66FB0" w:rsidP="00F66FB0">
      <w:pPr>
        <w:ind w:left="720"/>
        <w:rPr>
          <w:lang w:val="pt-BR"/>
        </w:rPr>
      </w:pPr>
      <w:r w:rsidRPr="00C71DAC">
        <w:rPr>
          <w:color w:val="000000"/>
          <w:lang w:val="pt-BR"/>
        </w:rPr>
        <w:t xml:space="preserve">O Duet Enterprise 2.0 é a última versão do Duet Enterprise para Microsoft SharePoint e SAP 1.0. </w:t>
      </w:r>
      <w:r w:rsidR="00ED5B61" w:rsidRPr="00C71DAC">
        <w:rPr>
          <w:color w:val="000000"/>
          <w:lang w:val="pt-BR"/>
        </w:rPr>
        <w:br/>
      </w:r>
      <w:r w:rsidRPr="00C71DAC">
        <w:rPr>
          <w:color w:val="000000"/>
          <w:lang w:val="pt-BR"/>
        </w:rPr>
        <w:t xml:space="preserve">Os clientes com Software Assurance ativo para Duet Enterprise para Microsoft SharePoint e SAP </w:t>
      </w:r>
      <w:r w:rsidR="00ED5B61" w:rsidRPr="00C71DAC">
        <w:rPr>
          <w:color w:val="000000"/>
          <w:lang w:val="pt-BR"/>
        </w:rPr>
        <w:br/>
      </w:r>
      <w:r w:rsidRPr="00C71DAC">
        <w:rPr>
          <w:color w:val="000000"/>
          <w:lang w:val="pt-BR"/>
        </w:rPr>
        <w:t xml:space="preserve">1.0 em 30 de novembro de 2012 poderão atualizar para e usar o Duet Enterprise 2.0 em vez </w:t>
      </w:r>
      <w:r w:rsidR="00ED5B61" w:rsidRPr="00C71DAC">
        <w:rPr>
          <w:color w:val="000000"/>
          <w:lang w:val="pt-BR"/>
        </w:rPr>
        <w:br/>
      </w:r>
      <w:r w:rsidRPr="00C71DAC">
        <w:rPr>
          <w:color w:val="000000"/>
          <w:lang w:val="pt-BR"/>
        </w:rPr>
        <w:t>de suas cópias licenciadas correspondentes do Duet Enterprise para SharePoint e SAP 1.0.</w:t>
      </w:r>
    </w:p>
    <w:p w:rsidR="00F66FB0" w:rsidRPr="00C71DAC" w:rsidRDefault="00F66FB0" w:rsidP="00ED5B61">
      <w:pPr>
        <w:ind w:left="720"/>
        <w:rPr>
          <w:lang w:val="pt-BR"/>
        </w:rPr>
      </w:pPr>
    </w:p>
    <w:p w:rsidR="00F66FB0" w:rsidRPr="00C71DAC" w:rsidRDefault="00F66FB0" w:rsidP="00F66FB0">
      <w:pPr>
        <w:ind w:left="720"/>
        <w:rPr>
          <w:lang w:val="pt-BR"/>
        </w:rPr>
      </w:pPr>
      <w:r w:rsidRPr="00C71DAC">
        <w:rPr>
          <w:color w:val="000000"/>
          <w:u w:val="single"/>
          <w:lang w:val="pt-BR"/>
        </w:rPr>
        <w:t>Obtendo o Duet Enterprise 2.0</w:t>
      </w:r>
    </w:p>
    <w:p w:rsidR="00F66FB0" w:rsidRPr="00C71DAC" w:rsidRDefault="00F66FB0" w:rsidP="00F66FB0">
      <w:pPr>
        <w:ind w:left="720"/>
        <w:rPr>
          <w:lang w:val="pt-BR"/>
        </w:rPr>
      </w:pPr>
      <w:r w:rsidRPr="00C71DAC">
        <w:rPr>
          <w:color w:val="000000"/>
          <w:lang w:val="pt-BR"/>
        </w:rPr>
        <w:t>O Duet Enterprise 2.0 não estará disponível no Volume Licensing Service Center (Centro de Atendimento de</w:t>
      </w:r>
      <w:r w:rsidR="008B0218" w:rsidRPr="00C71DAC">
        <w:rPr>
          <w:color w:val="000000"/>
          <w:lang w:val="pt-BR"/>
        </w:rPr>
        <w:t> </w:t>
      </w:r>
      <w:r w:rsidRPr="00C71DAC">
        <w:rPr>
          <w:color w:val="000000"/>
          <w:lang w:val="pt-BR"/>
        </w:rPr>
        <w:t>Licenciamento por Volume). Clientes existentes qualificados para o Duet Enterprise 2.0 receberão notificações separadas que destacam como obter o software a partir do Microsoft Connect.</w:t>
      </w:r>
    </w:p>
    <w:p w:rsidR="00857EF7" w:rsidRPr="00C71DAC" w:rsidRDefault="00857EF7" w:rsidP="00ED5B61">
      <w:pPr>
        <w:ind w:left="720"/>
        <w:rPr>
          <w:lang w:val="pt-BR"/>
        </w:rPr>
      </w:pPr>
    </w:p>
    <w:p w:rsidR="00857EF7" w:rsidRPr="00C71DAC" w:rsidRDefault="00857EF7" w:rsidP="00ED5B61">
      <w:pPr>
        <w:ind w:left="720"/>
        <w:rPr>
          <w:lang w:val="pt-BR"/>
        </w:rPr>
      </w:pPr>
    </w:p>
    <w:p w:rsidR="00652B0A" w:rsidRPr="00C71DAC" w:rsidRDefault="004668D9" w:rsidP="00652B0A">
      <w:pPr>
        <w:pStyle w:val="Heading3"/>
        <w:rPr>
          <w:lang w:val="pt-BR"/>
        </w:rPr>
      </w:pPr>
      <w:bookmarkStart w:id="1216" w:name="_40_Dynamics_CRM"/>
      <w:bookmarkStart w:id="1217" w:name="_40_39_Dynamics"/>
      <w:bookmarkStart w:id="1218" w:name="_4240_Dynamics_CRM"/>
      <w:bookmarkStart w:id="1219" w:name="_42_Dynamics_CRM"/>
      <w:bookmarkStart w:id="1220" w:name="_Toc336338300"/>
      <w:bookmarkStart w:id="1221" w:name="_Toc353470948"/>
      <w:bookmarkEnd w:id="1216"/>
      <w:bookmarkEnd w:id="1217"/>
      <w:bookmarkEnd w:id="1218"/>
      <w:bookmarkEnd w:id="1219"/>
      <w:r w:rsidRPr="00C71DAC">
        <w:rPr>
          <w:rFonts w:ascii="Tahoma" w:hAnsi="Tahoma"/>
          <w:caps/>
          <w:color w:val="F66400"/>
          <w:sz w:val="22"/>
          <w:vertAlign w:val="superscript"/>
          <w:lang w:val="pt-BR"/>
        </w:rPr>
        <w:t>42</w:t>
      </w:r>
      <w:r w:rsidRPr="00C71DAC">
        <w:rPr>
          <w:rFonts w:ascii="Tahoma" w:hAnsi="Tahoma"/>
          <w:color w:val="F66400"/>
          <w:sz w:val="22"/>
          <w:lang w:val="pt-BR"/>
        </w:rPr>
        <w:t xml:space="preserve"> Dynamics CRM Online</w:t>
      </w:r>
      <w:bookmarkEnd w:id="1220"/>
      <w:bookmarkEnd w:id="1221"/>
    </w:p>
    <w:bookmarkEnd w:id="1213"/>
    <w:bookmarkEnd w:id="1214"/>
    <w:p w:rsidR="00652B0A" w:rsidRPr="00C71DAC" w:rsidRDefault="00652B0A" w:rsidP="00ED5B61">
      <w:pPr>
        <w:pStyle w:val="Heading3"/>
        <w:ind w:left="720"/>
        <w:rPr>
          <w:lang w:val="pt-BR"/>
        </w:rPr>
      </w:pPr>
    </w:p>
    <w:p w:rsidR="0040633A" w:rsidRPr="00C71DAC" w:rsidRDefault="00857EF7" w:rsidP="001154B5">
      <w:pPr>
        <w:ind w:left="720"/>
        <w:rPr>
          <w:lang w:val="pt-BR"/>
        </w:rPr>
      </w:pPr>
      <w:r w:rsidRPr="00C71DAC">
        <w:rPr>
          <w:rFonts w:cs="Tahoma"/>
          <w:b/>
          <w:color w:val="000000"/>
          <w:szCs w:val="18"/>
          <w:lang w:val="pt-BR"/>
        </w:rPr>
        <w:t>Países em que o Dynamics CRM Online está Disponível</w:t>
      </w:r>
    </w:p>
    <w:p w:rsidR="00E952D9" w:rsidRPr="00C71DAC" w:rsidRDefault="00E952D9" w:rsidP="00C8658B">
      <w:pPr>
        <w:spacing w:line="160" w:lineRule="exact"/>
        <w:ind w:left="720"/>
        <w:rPr>
          <w:lang w:val="pt-B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653421" w:rsidTr="00427775">
        <w:trPr>
          <w:cantSplit/>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653421" w:rsidRDefault="00781A60" w:rsidP="00C8658B">
            <w:pPr>
              <w:jc w:val="center"/>
              <w:rPr>
                <w:rFonts w:cs="Tahoma"/>
                <w:b/>
                <w:bCs/>
                <w:szCs w:val="20"/>
              </w:rPr>
            </w:pPr>
            <w:r w:rsidRPr="00653421">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653421" w:rsidRDefault="00781A60" w:rsidP="00C8658B">
            <w:pPr>
              <w:jc w:val="center"/>
              <w:rPr>
                <w:rFonts w:cs="Tahoma"/>
                <w:b/>
                <w:bCs/>
                <w:szCs w:val="20"/>
              </w:rPr>
            </w:pPr>
            <w:r w:rsidRPr="00653421">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653421" w:rsidRDefault="00781A60" w:rsidP="00C8658B">
            <w:pPr>
              <w:jc w:val="center"/>
              <w:rPr>
                <w:rFonts w:cs="Tahoma"/>
                <w:b/>
                <w:bCs/>
                <w:szCs w:val="20"/>
              </w:rPr>
            </w:pPr>
            <w:r w:rsidRPr="00653421">
              <w:rPr>
                <w:rFonts w:cs="Tahoma"/>
                <w:b/>
                <w:bCs/>
                <w:szCs w:val="20"/>
              </w:rPr>
              <w:t>Ásia-Pacífico</w:t>
            </w:r>
          </w:p>
        </w:tc>
      </w:tr>
      <w:tr w:rsidR="00781A60" w:rsidRPr="00653421" w:rsidTr="00427775">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jc w:val="center"/>
              <w:rPr>
                <w:rFonts w:cs="Tahoma"/>
                <w:color w:val="000000"/>
                <w:szCs w:val="20"/>
              </w:rPr>
            </w:pPr>
            <w:r w:rsidRPr="00653421">
              <w:rPr>
                <w:rFonts w:cs="Arial"/>
              </w:rPr>
              <w:t>Brasil</w:t>
            </w:r>
          </w:p>
        </w:tc>
        <w:tc>
          <w:tcPr>
            <w:tcW w:w="2670" w:type="dxa"/>
            <w:tcBorders>
              <w:top w:val="nil"/>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Austrália</w:t>
            </w: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jc w:val="center"/>
              <w:rPr>
                <w:rFonts w:cs="Tahoma"/>
                <w:color w:val="000000"/>
                <w:szCs w:val="20"/>
              </w:rPr>
            </w:pPr>
            <w:r w:rsidRPr="00653421">
              <w:rPr>
                <w:rFonts w:cs="Arial"/>
              </w:rPr>
              <w:t>Canadá</w:t>
            </w: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Hong Kong</w:t>
            </w: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jc w:val="center"/>
              <w:rPr>
                <w:rFonts w:cs="Tahoma"/>
                <w:color w:val="000000"/>
                <w:szCs w:val="20"/>
              </w:rPr>
            </w:pPr>
            <w:r w:rsidRPr="00653421">
              <w:rPr>
                <w:rFonts w:cs="Arial"/>
              </w:rPr>
              <w:t>Colômbia</w:t>
            </w: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Índia</w:t>
            </w: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jc w:val="center"/>
              <w:rPr>
                <w:rFonts w:cs="Arial"/>
              </w:rPr>
            </w:pPr>
            <w:r w:rsidRPr="00653421">
              <w:rPr>
                <w:rFonts w:cs="Arial"/>
              </w:rPr>
              <w:t>Costa Rica</w:t>
            </w: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Japão</w:t>
            </w:r>
          </w:p>
        </w:tc>
      </w:tr>
      <w:tr w:rsidR="00B40674"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653421" w:rsidRDefault="00B40674" w:rsidP="00C8658B">
            <w:pPr>
              <w:jc w:val="center"/>
              <w:rPr>
                <w:rFonts w:cs="Arial"/>
              </w:rPr>
            </w:pPr>
            <w:r w:rsidRPr="00653421">
              <w:rPr>
                <w:rFonts w:cs="Arial"/>
              </w:rPr>
              <w:t>Chile</w:t>
            </w:r>
          </w:p>
        </w:tc>
        <w:tc>
          <w:tcPr>
            <w:tcW w:w="2670" w:type="dxa"/>
            <w:tcBorders>
              <w:top w:val="single" w:sz="4" w:space="0" w:color="000000"/>
              <w:left w:val="nil"/>
              <w:bottom w:val="single" w:sz="4" w:space="0" w:color="000000"/>
              <w:right w:val="single" w:sz="4" w:space="0" w:color="auto"/>
            </w:tcBorders>
          </w:tcPr>
          <w:p w:rsidR="00B40674" w:rsidRPr="00653421" w:rsidRDefault="00B40674"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653421" w:rsidRDefault="00B40674"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Coreia</w:t>
            </w:r>
          </w:p>
        </w:tc>
      </w:tr>
      <w:tr w:rsidR="00B40674"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653421" w:rsidRDefault="00B40674" w:rsidP="00C8658B">
            <w:pPr>
              <w:jc w:val="center"/>
              <w:rPr>
                <w:rFonts w:cs="Arial"/>
              </w:rPr>
            </w:pPr>
            <w:r w:rsidRPr="00653421">
              <w:rPr>
                <w:rFonts w:cs="Arial"/>
              </w:rPr>
              <w:t>México</w:t>
            </w:r>
          </w:p>
        </w:tc>
        <w:tc>
          <w:tcPr>
            <w:tcW w:w="2670" w:type="dxa"/>
            <w:tcBorders>
              <w:top w:val="single" w:sz="4" w:space="0" w:color="000000"/>
              <w:left w:val="nil"/>
              <w:bottom w:val="single" w:sz="4" w:space="0" w:color="000000"/>
              <w:right w:val="single" w:sz="4" w:space="0" w:color="auto"/>
            </w:tcBorders>
          </w:tcPr>
          <w:p w:rsidR="00B40674" w:rsidRPr="00653421" w:rsidRDefault="00B40674"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rsidR="00B40674" w:rsidRPr="00653421" w:rsidRDefault="00B40674"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Malásia</w:t>
            </w:r>
          </w:p>
        </w:tc>
      </w:tr>
      <w:tr w:rsidR="00B40674"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653421" w:rsidRDefault="00B40674" w:rsidP="00C8658B">
            <w:pPr>
              <w:jc w:val="center"/>
              <w:rPr>
                <w:rFonts w:cs="Arial"/>
              </w:rPr>
            </w:pPr>
            <w:r w:rsidRPr="00653421">
              <w:rPr>
                <w:rFonts w:cs="Arial"/>
              </w:rPr>
              <w:t>Peru</w:t>
            </w:r>
          </w:p>
        </w:tc>
        <w:tc>
          <w:tcPr>
            <w:tcW w:w="2670" w:type="dxa"/>
            <w:tcBorders>
              <w:top w:val="single" w:sz="4" w:space="0" w:color="000000"/>
              <w:left w:val="nil"/>
              <w:bottom w:val="single" w:sz="4" w:space="0" w:color="000000"/>
              <w:right w:val="single" w:sz="4" w:space="0" w:color="auto"/>
            </w:tcBorders>
          </w:tcPr>
          <w:p w:rsidR="00B40674" w:rsidRPr="00653421" w:rsidRDefault="00B40674"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rsidR="00B40674" w:rsidRPr="00653421" w:rsidRDefault="00B40674"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Nova Zelândia</w:t>
            </w:r>
          </w:p>
        </w:tc>
      </w:tr>
      <w:tr w:rsidR="00B40674"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653421" w:rsidRDefault="00B40674" w:rsidP="00C8658B">
            <w:pPr>
              <w:jc w:val="center"/>
              <w:rPr>
                <w:rFonts w:cs="Arial"/>
              </w:rPr>
            </w:pPr>
            <w:r w:rsidRPr="00653421">
              <w:rPr>
                <w:rFonts w:cs="Arial"/>
              </w:rPr>
              <w:t>Porto Rico</w:t>
            </w:r>
          </w:p>
        </w:tc>
        <w:tc>
          <w:tcPr>
            <w:tcW w:w="2670" w:type="dxa"/>
            <w:tcBorders>
              <w:top w:val="single" w:sz="4" w:space="0" w:color="000000"/>
              <w:left w:val="nil"/>
              <w:bottom w:val="single" w:sz="4" w:space="0" w:color="000000"/>
              <w:right w:val="single" w:sz="4" w:space="0" w:color="auto"/>
            </w:tcBorders>
          </w:tcPr>
          <w:p w:rsidR="00B40674" w:rsidRPr="00653421" w:rsidRDefault="00B40674"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rsidR="00B40674" w:rsidRPr="00653421" w:rsidRDefault="00B40674" w:rsidP="00C8658B">
            <w:pPr>
              <w:pStyle w:val="ColorfulList-Accent11"/>
              <w:spacing w:line="276" w:lineRule="auto"/>
              <w:ind w:left="540"/>
              <w:jc w:val="center"/>
              <w:rPr>
                <w:rFonts w:ascii="Tahoma" w:hAnsi="Tahoma" w:cs="Tahoma"/>
                <w:color w:val="000000"/>
                <w:sz w:val="18"/>
                <w:szCs w:val="20"/>
              </w:rPr>
            </w:pPr>
            <w:r w:rsidRPr="00653421">
              <w:rPr>
                <w:rFonts w:ascii="Tahoma" w:hAnsi="Tahoma" w:cs="Tahoma"/>
                <w:color w:val="000000"/>
                <w:sz w:val="18"/>
                <w:szCs w:val="20"/>
              </w:rPr>
              <w:t>Cingapura</w:t>
            </w: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jc w:val="center"/>
              <w:rPr>
                <w:rFonts w:cs="Arial"/>
              </w:rPr>
            </w:pPr>
            <w:r w:rsidRPr="00653421">
              <w:rPr>
                <w:rFonts w:cs="Arial"/>
              </w:rPr>
              <w:t>Trinidad e Tobago</w:t>
            </w: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jc w:val="center"/>
              <w:rPr>
                <w:rFonts w:cs="Arial"/>
              </w:rPr>
            </w:pPr>
            <w:r w:rsidRPr="00653421">
              <w:rPr>
                <w:rFonts w:cs="Arial"/>
              </w:rPr>
              <w:t>Estados Unidos</w:t>
            </w: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color w:val="000000"/>
                <w:sz w:val="18"/>
                <w:szCs w:val="18"/>
              </w:rPr>
            </w:pPr>
            <w:r w:rsidRPr="00653421">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E822D9"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653421" w:rsidRDefault="00E822D9"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653421" w:rsidRDefault="00E822D9"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rsidR="00E822D9" w:rsidRPr="00653421" w:rsidRDefault="00E822D9" w:rsidP="00C8658B">
            <w:pPr>
              <w:pStyle w:val="ColorfulList-Accent11"/>
              <w:spacing w:line="276" w:lineRule="auto"/>
              <w:ind w:left="540"/>
              <w:jc w:val="center"/>
              <w:rPr>
                <w:rFonts w:ascii="Tahoma" w:hAnsi="Tahoma" w:cs="Tahoma"/>
                <w:color w:val="000000"/>
                <w:sz w:val="18"/>
                <w:szCs w:val="20"/>
              </w:rPr>
            </w:pPr>
          </w:p>
        </w:tc>
      </w:tr>
      <w:tr w:rsidR="00ED5B61" w:rsidRPr="00653421" w:rsidTr="00A64D19">
        <w:trPr>
          <w:cantSplit/>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D5B61" w:rsidRPr="00653421" w:rsidRDefault="00ED5B61" w:rsidP="00A64D19">
            <w:pPr>
              <w:jc w:val="center"/>
              <w:rPr>
                <w:rFonts w:cs="Tahoma"/>
                <w:b/>
                <w:bCs/>
                <w:szCs w:val="20"/>
              </w:rPr>
            </w:pPr>
            <w:r w:rsidRPr="00653421">
              <w:rPr>
                <w:rFonts w:cs="Tahoma"/>
                <w:b/>
                <w:bCs/>
                <w:szCs w:val="20"/>
              </w:rPr>
              <w:lastRenderedPageBreak/>
              <w:t>Américas</w:t>
            </w:r>
          </w:p>
        </w:tc>
        <w:tc>
          <w:tcPr>
            <w:tcW w:w="2670" w:type="dxa"/>
            <w:tcBorders>
              <w:top w:val="single" w:sz="8" w:space="0" w:color="000000"/>
              <w:left w:val="nil"/>
              <w:bottom w:val="single" w:sz="8" w:space="0" w:color="000000"/>
              <w:right w:val="single" w:sz="4" w:space="0" w:color="auto"/>
            </w:tcBorders>
            <w:shd w:val="clear" w:color="auto" w:fill="FABF8F"/>
          </w:tcPr>
          <w:p w:rsidR="00ED5B61" w:rsidRPr="00653421" w:rsidRDefault="00ED5B61" w:rsidP="00A64D19">
            <w:pPr>
              <w:jc w:val="center"/>
              <w:rPr>
                <w:rFonts w:cs="Tahoma"/>
                <w:b/>
                <w:bCs/>
                <w:szCs w:val="20"/>
              </w:rPr>
            </w:pPr>
            <w:r w:rsidRPr="00653421">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ED5B61" w:rsidRPr="00653421" w:rsidRDefault="00ED5B61" w:rsidP="00A64D19">
            <w:pPr>
              <w:jc w:val="center"/>
              <w:rPr>
                <w:rFonts w:cs="Tahoma"/>
                <w:b/>
                <w:bCs/>
                <w:szCs w:val="20"/>
              </w:rPr>
            </w:pPr>
            <w:r w:rsidRPr="00653421">
              <w:rPr>
                <w:rFonts w:cs="Tahoma"/>
                <w:b/>
                <w:bCs/>
                <w:szCs w:val="20"/>
              </w:rPr>
              <w:t>Ásia-Pacífico</w:t>
            </w: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r w:rsidR="00781A60" w:rsidRPr="00653421" w:rsidTr="00427775">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653421" w:rsidRDefault="00781A60" w:rsidP="00C8658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653421" w:rsidRDefault="00781A60" w:rsidP="00C8658B">
            <w:pPr>
              <w:pStyle w:val="ColorfulList-Accent11"/>
              <w:spacing w:line="276" w:lineRule="auto"/>
              <w:ind w:left="0"/>
              <w:jc w:val="center"/>
              <w:rPr>
                <w:rFonts w:ascii="Tahoma" w:hAnsi="Tahoma" w:cs="Tahoma"/>
                <w:sz w:val="18"/>
                <w:szCs w:val="18"/>
              </w:rPr>
            </w:pPr>
            <w:r w:rsidRPr="00653421">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653421" w:rsidRDefault="00781A60" w:rsidP="00C8658B">
            <w:pPr>
              <w:pStyle w:val="ColorfulList-Accent11"/>
              <w:spacing w:line="276" w:lineRule="auto"/>
              <w:ind w:left="540"/>
              <w:jc w:val="center"/>
              <w:rPr>
                <w:rFonts w:ascii="Tahoma" w:hAnsi="Tahoma" w:cs="Tahoma"/>
                <w:color w:val="000000"/>
                <w:sz w:val="18"/>
                <w:szCs w:val="20"/>
              </w:rPr>
            </w:pPr>
          </w:p>
        </w:tc>
      </w:tr>
    </w:tbl>
    <w:p w:rsidR="00141883" w:rsidRPr="00653421" w:rsidRDefault="00141883" w:rsidP="00857EF7">
      <w:pPr>
        <w:spacing w:after="60"/>
        <w:ind w:left="720"/>
        <w:rPr>
          <w:rFonts w:cs="Tahoma"/>
          <w:b/>
          <w:bCs/>
          <w:color w:val="000000"/>
          <w:szCs w:val="18"/>
        </w:rPr>
      </w:pPr>
    </w:p>
    <w:p w:rsidR="0040633A" w:rsidRPr="00653421" w:rsidRDefault="0040633A" w:rsidP="00857EF7">
      <w:pPr>
        <w:spacing w:after="60"/>
        <w:ind w:left="720"/>
      </w:pPr>
      <w:r w:rsidRPr="00653421">
        <w:rPr>
          <w:rFonts w:cs="Tahoma"/>
          <w:b/>
          <w:bCs/>
          <w:color w:val="000000"/>
          <w:szCs w:val="18"/>
        </w:rPr>
        <w:t>Contrato para Campus e School</w:t>
      </w:r>
    </w:p>
    <w:p w:rsidR="00532ABF" w:rsidRPr="00C71DAC" w:rsidRDefault="0040633A" w:rsidP="005614CA">
      <w:pPr>
        <w:ind w:left="720"/>
        <w:rPr>
          <w:lang w:val="pt-BR"/>
        </w:rPr>
      </w:pPr>
      <w:r w:rsidRPr="00C71DAC">
        <w:rPr>
          <w:rFonts w:cs="Tahoma"/>
          <w:color w:val="000000"/>
          <w:szCs w:val="18"/>
          <w:lang w:val="pt-BR"/>
        </w:rPr>
        <w:t>As licenças de assinatura do Dynamics CRM Online vendidas sob o CASA poderão ser adquiridas para toda a</w:t>
      </w:r>
      <w:r w:rsidR="00C8658B" w:rsidRPr="00C71DAC">
        <w:rPr>
          <w:rFonts w:cs="Tahoma"/>
          <w:color w:val="000000"/>
          <w:szCs w:val="18"/>
          <w:lang w:val="pt-BR"/>
        </w:rPr>
        <w:t> </w:t>
      </w:r>
      <w:r w:rsidRPr="00C71DAC">
        <w:rPr>
          <w:rFonts w:cs="Tahoma"/>
          <w:color w:val="000000"/>
          <w:szCs w:val="18"/>
          <w:lang w:val="pt-BR"/>
        </w:rPr>
        <w:t>Instituição ou não extensivas a toda a Instituição.</w:t>
      </w:r>
      <w:r w:rsidR="005A52A2" w:rsidRPr="00C71DAC">
        <w:rPr>
          <w:rFonts w:cs="Tahoma"/>
          <w:color w:val="000000"/>
          <w:szCs w:val="18"/>
          <w:lang w:val="pt-BR"/>
        </w:rPr>
        <w:t xml:space="preserve"> </w:t>
      </w:r>
      <w:r w:rsidRPr="00C71DAC">
        <w:rPr>
          <w:rFonts w:cs="Tahoma"/>
          <w:color w:val="000000"/>
          <w:szCs w:val="18"/>
          <w:lang w:val="pt-BR"/>
        </w:rPr>
        <w:t>As licenças de assinatura deverão ser licenciadas para cada usuário.</w:t>
      </w:r>
      <w:r w:rsidR="005A52A2" w:rsidRPr="00C71DAC">
        <w:rPr>
          <w:rFonts w:cs="Tahoma"/>
          <w:color w:val="000000"/>
          <w:szCs w:val="18"/>
          <w:lang w:val="pt-BR"/>
        </w:rPr>
        <w:t xml:space="preserve"> </w:t>
      </w:r>
      <w:r w:rsidRPr="00C71DAC">
        <w:rPr>
          <w:rFonts w:cs="Tahoma"/>
          <w:color w:val="000000"/>
          <w:szCs w:val="18"/>
          <w:lang w:val="pt-BR"/>
        </w:rPr>
        <w:t>Caso sejam necessárias Licenças de Assinatura de Usuário adicionais para acessar o Dynamics CRM, um número igual de Licenças de Assina</w:t>
      </w:r>
      <w:bookmarkStart w:id="1222" w:name="Srv_41DuetEnterpriseforOfficeandSAP"/>
      <w:bookmarkStart w:id="1223" w:name="Srv_38EntCALSuite"/>
      <w:r w:rsidRPr="00C71DAC">
        <w:rPr>
          <w:rFonts w:cs="Tahoma"/>
          <w:color w:val="000000"/>
          <w:szCs w:val="18"/>
          <w:lang w:val="pt-BR"/>
        </w:rPr>
        <w:t>tura de Usuário deverá ser solicitado.</w:t>
      </w:r>
    </w:p>
    <w:p w:rsidR="006E28CC" w:rsidRPr="00C71DAC" w:rsidRDefault="006E28CC" w:rsidP="005614CA">
      <w:pPr>
        <w:ind w:left="720"/>
        <w:rPr>
          <w:lang w:val="pt-BR"/>
        </w:rPr>
      </w:pPr>
    </w:p>
    <w:p w:rsidR="006E28CC" w:rsidRPr="00C71DAC" w:rsidRDefault="006E28CC" w:rsidP="006D6A83">
      <w:pPr>
        <w:spacing w:after="60"/>
        <w:ind w:left="720"/>
        <w:rPr>
          <w:lang w:val="pt-BR"/>
        </w:rPr>
      </w:pPr>
      <w:r w:rsidRPr="00C71DAC">
        <w:rPr>
          <w:b/>
          <w:lang w:val="pt-BR"/>
        </w:rPr>
        <w:t>Microsoft Dynamics CRM Online – Concessão de Integração do Microsoft Dynamics Marketing</w:t>
      </w:r>
      <w:r w:rsidR="00C8658B" w:rsidRPr="00C71DAC">
        <w:rPr>
          <w:b/>
          <w:lang w:val="pt-BR"/>
        </w:rPr>
        <w:t> </w:t>
      </w:r>
      <w:r w:rsidRPr="00C71DAC">
        <w:rPr>
          <w:b/>
          <w:lang w:val="pt-BR"/>
        </w:rPr>
        <w:t>Online</w:t>
      </w:r>
    </w:p>
    <w:p w:rsidR="003165D6" w:rsidRPr="00C71DAC" w:rsidRDefault="006E28CC" w:rsidP="009B3FA2">
      <w:pPr>
        <w:ind w:left="720"/>
        <w:rPr>
          <w:lang w:val="pt-BR"/>
        </w:rPr>
      </w:pPr>
      <w:r w:rsidRPr="00C71DAC">
        <w:rPr>
          <w:lang w:val="pt-BR"/>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C71DAC">
        <w:rPr>
          <w:bCs/>
          <w:lang w:val="pt-BR"/>
        </w:rPr>
        <w:t xml:space="preserve">MarketingPilot Connector for Microsoft Dynamics CRM </w:t>
      </w:r>
      <w:r w:rsidRPr="00C71DAC">
        <w:rPr>
          <w:lang w:val="pt-BR"/>
        </w:rPr>
        <w:t>apenas para os fins de sincronização de dados do cliente. Tais usuários não precisarão de uma SL de Usuário do Microsoft Dynamics CRM Online. Esta renúncia poderá ser aplicada até</w:t>
      </w:r>
      <w:r w:rsidRPr="00C71DAC">
        <w:rPr>
          <w:rFonts w:eastAsia="Calibri"/>
          <w:lang w:val="pt-BR"/>
        </w:rPr>
        <w:t xml:space="preserve"> </w:t>
      </w:r>
      <w:r w:rsidRPr="00C71DAC">
        <w:rPr>
          <w:lang w:val="pt-BR"/>
        </w:rPr>
        <w:t>30 de junho de 2014. Depois deste período, a Microsoft reserva para si o direito de exigir SLs de Usuário apropriadas.</w:t>
      </w:r>
      <w:bookmarkStart w:id="1224" w:name="Srv_45EntCALBridgeWinIntune"/>
      <w:bookmarkEnd w:id="1222"/>
    </w:p>
    <w:p w:rsidR="0054609D" w:rsidRPr="00C71DAC" w:rsidRDefault="0054609D" w:rsidP="00101859">
      <w:pPr>
        <w:rPr>
          <w:lang w:val="pt-BR"/>
        </w:rPr>
      </w:pPr>
      <w:bookmarkStart w:id="1225" w:name="_41_Duet_Enterprise"/>
      <w:bookmarkEnd w:id="1225"/>
    </w:p>
    <w:p w:rsidR="0054609D" w:rsidRPr="00C71DAC" w:rsidRDefault="0054609D" w:rsidP="00101859">
      <w:pPr>
        <w:rPr>
          <w:lang w:val="pt-BR"/>
        </w:rPr>
      </w:pPr>
    </w:p>
    <w:p w:rsidR="00162A93" w:rsidRPr="00C71DAC" w:rsidRDefault="004668D9" w:rsidP="00ED5B61">
      <w:pPr>
        <w:pStyle w:val="Heading3"/>
        <w:ind w:left="230" w:hanging="230"/>
        <w:rPr>
          <w:lang w:val="pt-BR"/>
        </w:rPr>
      </w:pPr>
      <w:bookmarkStart w:id="1226" w:name="_41_Enterprise_CAL"/>
      <w:bookmarkStart w:id="1227" w:name="_43_Bridge_do"/>
      <w:bookmarkStart w:id="1228" w:name="_Toc336338303"/>
      <w:bookmarkStart w:id="1229" w:name="_Toc353470949"/>
      <w:bookmarkEnd w:id="1226"/>
      <w:bookmarkEnd w:id="1227"/>
      <w:r w:rsidRPr="00C71DAC">
        <w:rPr>
          <w:rFonts w:ascii="Tahoma" w:hAnsi="Tahoma" w:cs="Tahoma"/>
          <w:caps/>
          <w:color w:val="F66400"/>
          <w:sz w:val="22"/>
          <w:vertAlign w:val="superscript"/>
          <w:lang w:val="pt-BR"/>
        </w:rPr>
        <w:t xml:space="preserve">43 </w:t>
      </w:r>
      <w:r w:rsidRPr="00C71DAC">
        <w:rPr>
          <w:rFonts w:ascii="Tahoma" w:hAnsi="Tahoma"/>
          <w:color w:val="F66400"/>
          <w:sz w:val="22"/>
          <w:lang w:val="pt-BR"/>
        </w:rPr>
        <w:t>Bridge do Pacote de CALs Empresariais para Office 365, Bridge do Pacote de CALs Empresariais para Office 365 e Windows Intune e Bridge do Pacote de CALs Empresariais para Windows Intune</w:t>
      </w:r>
      <w:bookmarkEnd w:id="1228"/>
      <w:bookmarkEnd w:id="1229"/>
      <w:r w:rsidRPr="00C71DAC">
        <w:rPr>
          <w:rFonts w:ascii="Tahoma" w:hAnsi="Tahoma"/>
          <w:color w:val="F66400"/>
          <w:sz w:val="22"/>
          <w:lang w:val="pt-BR"/>
        </w:rPr>
        <w:t xml:space="preserve"> </w:t>
      </w:r>
    </w:p>
    <w:p w:rsidR="00BD2BE7" w:rsidRPr="00C71DAC" w:rsidRDefault="00BD2BE7" w:rsidP="0084072C">
      <w:pPr>
        <w:rPr>
          <w:lang w:val="pt-BR"/>
        </w:rPr>
      </w:pPr>
    </w:p>
    <w:bookmarkEnd w:id="1224"/>
    <w:p w:rsidR="0084072C" w:rsidRPr="00C71DAC" w:rsidRDefault="00162A93" w:rsidP="0084072C">
      <w:pPr>
        <w:spacing w:after="60"/>
        <w:ind w:left="720"/>
        <w:rPr>
          <w:lang w:val="pt-BR"/>
        </w:rPr>
      </w:pPr>
      <w:r w:rsidRPr="00C71DAC">
        <w:rPr>
          <w:rFonts w:cs="Tahoma"/>
          <w:b/>
          <w:szCs w:val="18"/>
          <w:lang w:val="pt-BR"/>
        </w:rPr>
        <w:t>Definição</w:t>
      </w:r>
    </w:p>
    <w:p w:rsidR="00162A93" w:rsidRPr="00C71DAC" w:rsidRDefault="00162A93" w:rsidP="0084072C">
      <w:pPr>
        <w:ind w:left="720"/>
        <w:rPr>
          <w:lang w:val="pt-BR"/>
        </w:rPr>
      </w:pPr>
      <w:r w:rsidRPr="00C71DAC">
        <w:rPr>
          <w:rFonts w:cs="Tahoma"/>
          <w:szCs w:val="18"/>
          <w:lang w:val="pt-BR"/>
        </w:rPr>
        <w:t>“Transição” significa a conversão de uma Licença com o Software Assurance atual para ou de uma licença de assinatura.</w:t>
      </w:r>
      <w:r w:rsidR="005A52A2" w:rsidRPr="00C71DAC">
        <w:rPr>
          <w:rFonts w:cs="Tahoma"/>
          <w:szCs w:val="18"/>
          <w:lang w:val="pt-BR"/>
        </w:rPr>
        <w:t xml:space="preserve"> </w:t>
      </w:r>
    </w:p>
    <w:p w:rsidR="0084072C" w:rsidRPr="00C71DAC" w:rsidRDefault="0084072C" w:rsidP="0084072C">
      <w:pPr>
        <w:ind w:left="720"/>
        <w:rPr>
          <w:lang w:val="pt-BR"/>
        </w:rPr>
      </w:pPr>
    </w:p>
    <w:p w:rsidR="0084072C" w:rsidRPr="00C71DAC" w:rsidRDefault="0084072C" w:rsidP="0084072C">
      <w:pPr>
        <w:spacing w:after="60"/>
        <w:ind w:left="720"/>
        <w:rPr>
          <w:lang w:val="pt-BR"/>
        </w:rPr>
      </w:pPr>
      <w:r w:rsidRPr="00C71DAC">
        <w:rPr>
          <w:rFonts w:cs="Tahoma"/>
          <w:b/>
          <w:szCs w:val="18"/>
          <w:lang w:val="pt-BR"/>
        </w:rPr>
        <w:t>Direitos de Uso Aplicáveis</w:t>
      </w:r>
    </w:p>
    <w:p w:rsidR="00162A93" w:rsidRPr="00C71DAC" w:rsidRDefault="00162A93" w:rsidP="0084072C">
      <w:pPr>
        <w:ind w:left="720"/>
        <w:rPr>
          <w:lang w:val="pt-BR"/>
        </w:rPr>
      </w:pPr>
      <w:r w:rsidRPr="00C71DAC">
        <w:rPr>
          <w:rFonts w:eastAsia="Calibri" w:cs="Tahoma"/>
          <w:szCs w:val="18"/>
          <w:lang w:val="pt-BR"/>
        </w:rPr>
        <w:t>O Bridge do Pacote de CALs é independente da versão e os Direitos de Uso de Produto são determinados pelo status da cobertura do Software Assurance sobre ele.</w:t>
      </w:r>
      <w:r w:rsidR="005A52A2" w:rsidRPr="00C71DAC">
        <w:rPr>
          <w:rFonts w:eastAsia="Calibri" w:cs="Tahoma"/>
          <w:szCs w:val="18"/>
          <w:lang w:val="pt-BR"/>
        </w:rPr>
        <w:t xml:space="preserve"> </w:t>
      </w:r>
      <w:r w:rsidRPr="00C71DAC">
        <w:rPr>
          <w:rFonts w:eastAsia="Calibri" w:cs="Tahoma"/>
          <w:szCs w:val="18"/>
          <w:lang w:val="pt-BR"/>
        </w:rPr>
        <w:t>Se a cobertura for interrompida, os direitos de acesso sob as Licenças perpétuas serão determinados com base nos Direitos de Uso de Produto em vigor antes da interrupção.</w:t>
      </w:r>
      <w:r w:rsidR="005A52A2" w:rsidRPr="00C71DAC">
        <w:rPr>
          <w:rFonts w:eastAsia="Calibri" w:cs="Tahoma"/>
          <w:szCs w:val="18"/>
          <w:lang w:val="pt-BR"/>
        </w:rPr>
        <w:t xml:space="preserve"> </w:t>
      </w:r>
      <w:r w:rsidRPr="00C71DAC">
        <w:rPr>
          <w:rFonts w:eastAsia="Calibri" w:cs="Tahoma"/>
          <w:szCs w:val="18"/>
          <w:lang w:val="pt-BR"/>
        </w:rPr>
        <w:t>A Licença para um Bridge do Pacote de CALs é uma licença individual que deverá ser cedida a um único usuário ou dispositivo.</w:t>
      </w:r>
    </w:p>
    <w:p w:rsidR="0084072C" w:rsidRPr="00C71DAC" w:rsidRDefault="0084072C" w:rsidP="0084072C">
      <w:pPr>
        <w:ind w:left="720"/>
        <w:rPr>
          <w:lang w:val="pt-BR"/>
        </w:rPr>
      </w:pPr>
    </w:p>
    <w:p w:rsidR="0084072C" w:rsidRPr="00C71DAC" w:rsidRDefault="00162A93" w:rsidP="0084072C">
      <w:pPr>
        <w:spacing w:after="60"/>
        <w:ind w:left="720"/>
        <w:rPr>
          <w:lang w:val="pt-BR"/>
        </w:rPr>
      </w:pPr>
      <w:r w:rsidRPr="00C71DAC">
        <w:rPr>
          <w:rFonts w:cs="Tahoma"/>
          <w:b/>
          <w:szCs w:val="18"/>
          <w:lang w:val="pt-BR"/>
        </w:rPr>
        <w:t>Exigências</w:t>
      </w:r>
    </w:p>
    <w:p w:rsidR="00162A93" w:rsidRPr="00C71DAC" w:rsidRDefault="00162A93" w:rsidP="0084072C">
      <w:pPr>
        <w:ind w:left="720"/>
        <w:rPr>
          <w:lang w:val="pt-BR"/>
        </w:rPr>
      </w:pPr>
      <w:r w:rsidRPr="00C71DAC">
        <w:rPr>
          <w:rFonts w:eastAsia="Calibri" w:cs="Tahoma"/>
          <w:szCs w:val="18"/>
          <w:lang w:val="pt-BR"/>
        </w:rPr>
        <w:t>Um Bridge do Pacote de CALs poderá ser solicitado durante a Transição de um Pacote de CALs para uma combinação de Produto e Serviço Online comparáveis.</w:t>
      </w:r>
      <w:r w:rsidR="005A52A2" w:rsidRPr="00C71DAC">
        <w:rPr>
          <w:rFonts w:eastAsia="Calibri" w:cs="Tahoma"/>
          <w:szCs w:val="18"/>
          <w:lang w:val="pt-BR"/>
        </w:rPr>
        <w:t xml:space="preserve"> </w:t>
      </w:r>
      <w:r w:rsidRPr="00C71DAC">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5A52A2" w:rsidRPr="00C71DAC">
        <w:rPr>
          <w:rFonts w:eastAsia="Calibri" w:cs="Tahoma"/>
          <w:szCs w:val="18"/>
          <w:lang w:val="pt-BR"/>
        </w:rPr>
        <w:t xml:space="preserve"> </w:t>
      </w:r>
      <w:r w:rsidRPr="00C71DAC">
        <w:rPr>
          <w:rFonts w:eastAsia="Calibri" w:cs="Tahoma"/>
          <w:szCs w:val="18"/>
          <w:lang w:val="pt-BR"/>
        </w:rPr>
        <w:t>Em vez disso, o Software Assurance poderá ser comprado para o Bridge do Pacote de CALs no aniversário do Registro em que a Transição entrar em vigor.</w:t>
      </w:r>
      <w:r w:rsidR="005A52A2" w:rsidRPr="00C71DAC">
        <w:rPr>
          <w:rFonts w:eastAsia="Calibri" w:cs="Tahoma"/>
          <w:szCs w:val="18"/>
          <w:lang w:val="pt-BR"/>
        </w:rPr>
        <w:t xml:space="preserve"> </w:t>
      </w:r>
      <w:r w:rsidRPr="00C71DAC">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5A52A2" w:rsidRPr="00C71DAC">
        <w:rPr>
          <w:rFonts w:eastAsia="Calibri" w:cs="Tahoma"/>
          <w:szCs w:val="18"/>
          <w:lang w:val="pt-BR"/>
        </w:rPr>
        <w:t xml:space="preserve"> </w:t>
      </w:r>
    </w:p>
    <w:p w:rsidR="00ED5B61" w:rsidRPr="00C71DAC" w:rsidRDefault="00ED5B61">
      <w:pPr>
        <w:rPr>
          <w:lang w:val="pt-BR"/>
        </w:rPr>
      </w:pPr>
      <w:r w:rsidRPr="00C71DAC">
        <w:rPr>
          <w:lang w:val="pt-BR"/>
        </w:rPr>
        <w:br w:type="page"/>
      </w:r>
    </w:p>
    <w:p w:rsidR="00162A93" w:rsidRPr="00C71DAC" w:rsidRDefault="00162A93" w:rsidP="0084072C">
      <w:pPr>
        <w:ind w:left="720"/>
        <w:rPr>
          <w:lang w:val="pt-BR"/>
        </w:rPr>
      </w:pPr>
      <w:r w:rsidRPr="00C71DAC">
        <w:rPr>
          <w:rFonts w:eastAsia="Calibri" w:cs="Tahoma"/>
          <w:szCs w:val="18"/>
          <w:lang w:val="pt-BR"/>
        </w:rPr>
        <w:lastRenderedPageBreak/>
        <w:t>Um Bridge do Pacote de CALs é um Produto Enterprise e pode ser licenciado em conjunto com o Serviço Online qualificado para atender os requisitos para toda a empresa desse Bridge do Pacote de CALs ou do Pacote de CALs pai.</w:t>
      </w:r>
    </w:p>
    <w:p w:rsidR="00162A93" w:rsidRPr="00C71DAC" w:rsidRDefault="00162A93" w:rsidP="0084072C">
      <w:pPr>
        <w:ind w:left="720"/>
        <w:rPr>
          <w:lang w:val="pt-BR"/>
        </w:rPr>
      </w:pPr>
    </w:p>
    <w:tbl>
      <w:tblPr>
        <w:tblW w:w="4394" w:type="pct"/>
        <w:jc w:val="center"/>
        <w:tblCellMar>
          <w:left w:w="0" w:type="dxa"/>
          <w:right w:w="0" w:type="dxa"/>
        </w:tblCellMar>
        <w:tblLook w:val="04A0" w:firstRow="1" w:lastRow="0" w:firstColumn="1" w:lastColumn="0" w:noHBand="0" w:noVBand="1"/>
      </w:tblPr>
      <w:tblGrid>
        <w:gridCol w:w="3029"/>
        <w:gridCol w:w="2152"/>
        <w:gridCol w:w="3027"/>
      </w:tblGrid>
      <w:tr w:rsidR="00162A93" w:rsidRPr="00653421" w:rsidTr="00C8658B">
        <w:trPr>
          <w:tblHeader/>
          <w:jc w:val="center"/>
        </w:trPr>
        <w:tc>
          <w:tcPr>
            <w:tcW w:w="1845"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C71DAC" w:rsidRDefault="00162A93" w:rsidP="007E466C">
            <w:pPr>
              <w:spacing w:before="120" w:after="120" w:line="276" w:lineRule="auto"/>
              <w:ind w:left="175"/>
              <w:jc w:val="center"/>
              <w:rPr>
                <w:rFonts w:eastAsia="Calibri" w:cs="Tahoma"/>
                <w:b/>
                <w:bCs/>
                <w:color w:val="000000"/>
                <w:szCs w:val="18"/>
                <w:lang w:val="pt-BR" w:eastAsia="ja-JP"/>
              </w:rPr>
            </w:pPr>
            <w:r w:rsidRPr="00C71DAC">
              <w:rPr>
                <w:rFonts w:eastAsia="Calibri" w:cs="Tahoma"/>
                <w:b/>
                <w:bCs/>
                <w:szCs w:val="18"/>
                <w:lang w:val="pt-BR"/>
              </w:rPr>
              <w:t>Bridge do Pacote de CALs</w:t>
            </w:r>
          </w:p>
        </w:tc>
        <w:tc>
          <w:tcPr>
            <w:tcW w:w="1311" w:type="pct"/>
            <w:tcBorders>
              <w:top w:val="single" w:sz="8" w:space="0" w:color="auto"/>
              <w:left w:val="nil"/>
              <w:bottom w:val="single" w:sz="8" w:space="0" w:color="auto"/>
              <w:right w:val="single" w:sz="8" w:space="0" w:color="auto"/>
            </w:tcBorders>
            <w:shd w:val="clear" w:color="auto" w:fill="FABF8F"/>
            <w:vAlign w:val="center"/>
            <w:hideMark/>
          </w:tcPr>
          <w:p w:rsidR="00162A93" w:rsidRPr="00653421" w:rsidRDefault="00162A93" w:rsidP="007E466C">
            <w:pPr>
              <w:spacing w:before="120" w:after="120" w:line="276" w:lineRule="auto"/>
              <w:ind w:left="180"/>
              <w:jc w:val="center"/>
              <w:rPr>
                <w:rFonts w:eastAsia="Calibri" w:cs="Tahoma"/>
                <w:b/>
                <w:bCs/>
                <w:color w:val="000000"/>
                <w:szCs w:val="18"/>
                <w:lang w:eastAsia="ja-JP"/>
              </w:rPr>
            </w:pPr>
            <w:r w:rsidRPr="00653421">
              <w:rPr>
                <w:rFonts w:eastAsia="Calibri" w:cs="Tahoma"/>
                <w:b/>
                <w:bCs/>
                <w:szCs w:val="18"/>
              </w:rPr>
              <w:t>Pacote de CALs Pai</w:t>
            </w:r>
          </w:p>
        </w:tc>
        <w:tc>
          <w:tcPr>
            <w:tcW w:w="1844" w:type="pct"/>
            <w:tcBorders>
              <w:top w:val="single" w:sz="8" w:space="0" w:color="auto"/>
              <w:left w:val="nil"/>
              <w:bottom w:val="single" w:sz="8" w:space="0" w:color="auto"/>
              <w:right w:val="single" w:sz="8" w:space="0" w:color="auto"/>
            </w:tcBorders>
            <w:shd w:val="clear" w:color="auto" w:fill="FABF8F"/>
            <w:vAlign w:val="center"/>
            <w:hideMark/>
          </w:tcPr>
          <w:p w:rsidR="00162A93" w:rsidRPr="00653421" w:rsidRDefault="00162A93" w:rsidP="007E466C">
            <w:pPr>
              <w:spacing w:before="120" w:after="120" w:line="276" w:lineRule="auto"/>
              <w:ind w:left="180" w:right="247"/>
              <w:jc w:val="center"/>
              <w:rPr>
                <w:rFonts w:eastAsia="Calibri" w:cs="Tahoma"/>
                <w:b/>
                <w:bCs/>
                <w:color w:val="000000"/>
                <w:szCs w:val="18"/>
                <w:lang w:eastAsia="ja-JP"/>
              </w:rPr>
            </w:pPr>
            <w:r w:rsidRPr="00653421">
              <w:rPr>
                <w:rFonts w:eastAsia="Calibri" w:cs="Tahoma"/>
                <w:b/>
                <w:bCs/>
                <w:szCs w:val="18"/>
              </w:rPr>
              <w:t>Serviços Online Qualificados</w:t>
            </w:r>
          </w:p>
        </w:tc>
      </w:tr>
      <w:tr w:rsidR="00162A93" w:rsidRPr="00653421" w:rsidTr="00C8658B">
        <w:trPr>
          <w:trHeight w:val="576"/>
          <w:jc w:val="center"/>
        </w:trPr>
        <w:tc>
          <w:tcPr>
            <w:tcW w:w="1845" w:type="pct"/>
            <w:tcBorders>
              <w:top w:val="nil"/>
              <w:left w:val="single" w:sz="8" w:space="0" w:color="auto"/>
              <w:bottom w:val="single" w:sz="8" w:space="0" w:color="auto"/>
              <w:right w:val="single" w:sz="8" w:space="0" w:color="auto"/>
            </w:tcBorders>
          </w:tcPr>
          <w:p w:rsidR="00162A93" w:rsidRPr="00C71DAC" w:rsidRDefault="00162A93" w:rsidP="002C1048">
            <w:pPr>
              <w:numPr>
                <w:ilvl w:val="0"/>
                <w:numId w:val="55"/>
              </w:numPr>
              <w:spacing w:before="60" w:after="60" w:line="276" w:lineRule="auto"/>
              <w:ind w:left="535" w:right="180"/>
              <w:rPr>
                <w:rFonts w:eastAsia="Calibri" w:cs="Tahoma"/>
                <w:szCs w:val="18"/>
                <w:lang w:val="pt-BR"/>
              </w:rPr>
            </w:pPr>
            <w:r w:rsidRPr="00C71DAC">
              <w:rPr>
                <w:rFonts w:eastAsia="Calibri" w:cs="Tahoma"/>
                <w:color w:val="000000"/>
                <w:szCs w:val="18"/>
                <w:lang w:val="pt-BR"/>
              </w:rPr>
              <w:t>Bridge do Pacote de CALs Empresariais para Office 365</w:t>
            </w:r>
          </w:p>
        </w:tc>
        <w:tc>
          <w:tcPr>
            <w:tcW w:w="1311" w:type="pct"/>
            <w:tcBorders>
              <w:top w:val="nil"/>
              <w:left w:val="nil"/>
              <w:bottom w:val="single" w:sz="8" w:space="0" w:color="auto"/>
              <w:right w:val="single" w:sz="8" w:space="0" w:color="auto"/>
            </w:tcBorders>
          </w:tcPr>
          <w:p w:rsidR="00162A93" w:rsidRPr="00653421" w:rsidRDefault="00162A93" w:rsidP="002C1048">
            <w:pPr>
              <w:numPr>
                <w:ilvl w:val="0"/>
                <w:numId w:val="56"/>
              </w:numPr>
              <w:spacing w:before="80" w:after="200" w:line="276" w:lineRule="auto"/>
              <w:ind w:left="449" w:hanging="270"/>
              <w:jc w:val="both"/>
              <w:rPr>
                <w:rFonts w:eastAsia="Calibri" w:cs="Tahoma"/>
                <w:szCs w:val="18"/>
              </w:rPr>
            </w:pPr>
            <w:r w:rsidRPr="00653421">
              <w:rPr>
                <w:rFonts w:eastAsia="Calibri" w:cs="Tahoma"/>
                <w:color w:val="000000"/>
                <w:szCs w:val="18"/>
              </w:rPr>
              <w:t>Enterprise CAL Suite</w:t>
            </w:r>
          </w:p>
        </w:tc>
        <w:tc>
          <w:tcPr>
            <w:tcW w:w="1844" w:type="pct"/>
            <w:tcBorders>
              <w:top w:val="nil"/>
              <w:left w:val="nil"/>
              <w:bottom w:val="single" w:sz="8" w:space="0" w:color="auto"/>
              <w:right w:val="single" w:sz="8" w:space="0" w:color="auto"/>
            </w:tcBorders>
          </w:tcPr>
          <w:p w:rsidR="00162A93" w:rsidRPr="00653421" w:rsidRDefault="00162A93" w:rsidP="002C1048">
            <w:pPr>
              <w:numPr>
                <w:ilvl w:val="0"/>
                <w:numId w:val="57"/>
              </w:numPr>
              <w:spacing w:before="80" w:after="200" w:line="276" w:lineRule="auto"/>
              <w:ind w:left="630"/>
            </w:pPr>
            <w:r w:rsidRPr="00653421">
              <w:rPr>
                <w:rFonts w:eastAsia="Calibri" w:cs="Tahoma"/>
                <w:color w:val="000000"/>
                <w:szCs w:val="18"/>
              </w:rPr>
              <w:t>Office 365 Enterprise E3 ou</w:t>
            </w:r>
          </w:p>
          <w:p w:rsidR="00162A93" w:rsidRPr="00653421" w:rsidRDefault="00162A93" w:rsidP="0050116B">
            <w:pPr>
              <w:numPr>
                <w:ilvl w:val="0"/>
                <w:numId w:val="57"/>
              </w:numPr>
              <w:spacing w:before="80" w:after="200" w:line="276" w:lineRule="auto"/>
              <w:ind w:left="630"/>
              <w:rPr>
                <w:rFonts w:eastAsia="Calibri" w:cs="Tahoma"/>
                <w:color w:val="000000"/>
                <w:szCs w:val="18"/>
              </w:rPr>
            </w:pPr>
            <w:r w:rsidRPr="00653421">
              <w:rPr>
                <w:rFonts w:eastAsia="Calibri" w:cs="Tahoma"/>
                <w:color w:val="000000"/>
                <w:szCs w:val="18"/>
              </w:rPr>
              <w:t>Office 365 Enterprise E4</w:t>
            </w:r>
          </w:p>
        </w:tc>
      </w:tr>
      <w:tr w:rsidR="00162A93" w:rsidRPr="00653421" w:rsidTr="00C8658B">
        <w:trPr>
          <w:trHeight w:val="576"/>
          <w:jc w:val="center"/>
        </w:trPr>
        <w:tc>
          <w:tcPr>
            <w:tcW w:w="1845" w:type="pct"/>
            <w:tcBorders>
              <w:top w:val="nil"/>
              <w:left w:val="single" w:sz="8" w:space="0" w:color="auto"/>
              <w:bottom w:val="single" w:sz="8" w:space="0" w:color="auto"/>
              <w:right w:val="single" w:sz="8" w:space="0" w:color="auto"/>
            </w:tcBorders>
          </w:tcPr>
          <w:p w:rsidR="00162A93" w:rsidRPr="00C71DAC" w:rsidRDefault="00162A93" w:rsidP="002C1048">
            <w:pPr>
              <w:numPr>
                <w:ilvl w:val="0"/>
                <w:numId w:val="55"/>
              </w:numPr>
              <w:spacing w:before="60" w:after="60" w:line="276" w:lineRule="auto"/>
              <w:ind w:left="535" w:right="180"/>
              <w:rPr>
                <w:rFonts w:eastAsia="Calibri" w:cs="Tahoma"/>
                <w:szCs w:val="18"/>
                <w:lang w:val="pt-BR"/>
              </w:rPr>
            </w:pPr>
            <w:r w:rsidRPr="00C71DAC">
              <w:rPr>
                <w:rFonts w:eastAsia="Calibri" w:cs="Tahoma"/>
                <w:color w:val="000000"/>
                <w:szCs w:val="18"/>
                <w:lang w:val="pt-BR"/>
              </w:rPr>
              <w:t>Bridge do Pacote de CALs Empresariais para Office 365 e Windows Intune</w:t>
            </w:r>
          </w:p>
        </w:tc>
        <w:tc>
          <w:tcPr>
            <w:tcW w:w="1311" w:type="pct"/>
            <w:tcBorders>
              <w:top w:val="nil"/>
              <w:left w:val="nil"/>
              <w:bottom w:val="single" w:sz="8" w:space="0" w:color="auto"/>
              <w:right w:val="single" w:sz="8" w:space="0" w:color="auto"/>
            </w:tcBorders>
          </w:tcPr>
          <w:p w:rsidR="00162A93" w:rsidRPr="00653421" w:rsidRDefault="00162A93" w:rsidP="002C1048">
            <w:pPr>
              <w:numPr>
                <w:ilvl w:val="0"/>
                <w:numId w:val="56"/>
              </w:numPr>
              <w:spacing w:before="80" w:after="200" w:line="276" w:lineRule="auto"/>
              <w:ind w:left="449" w:hanging="270"/>
              <w:jc w:val="both"/>
              <w:rPr>
                <w:rFonts w:eastAsia="Calibri" w:cs="Tahoma"/>
                <w:szCs w:val="18"/>
              </w:rPr>
            </w:pPr>
            <w:r w:rsidRPr="00653421">
              <w:rPr>
                <w:rFonts w:eastAsia="Calibri" w:cs="Tahoma"/>
                <w:color w:val="000000"/>
                <w:szCs w:val="18"/>
              </w:rPr>
              <w:t>Enterprise CAL Suite</w:t>
            </w:r>
          </w:p>
        </w:tc>
        <w:tc>
          <w:tcPr>
            <w:tcW w:w="1844" w:type="pct"/>
            <w:tcBorders>
              <w:top w:val="nil"/>
              <w:left w:val="nil"/>
              <w:bottom w:val="single" w:sz="8" w:space="0" w:color="auto"/>
              <w:right w:val="single" w:sz="8" w:space="0" w:color="auto"/>
            </w:tcBorders>
          </w:tcPr>
          <w:p w:rsidR="00162A93" w:rsidRPr="00653421" w:rsidRDefault="00162A93" w:rsidP="002C1048">
            <w:pPr>
              <w:numPr>
                <w:ilvl w:val="0"/>
                <w:numId w:val="57"/>
              </w:numPr>
              <w:spacing w:before="80" w:after="200" w:line="276" w:lineRule="auto"/>
              <w:ind w:left="630"/>
            </w:pPr>
            <w:r w:rsidRPr="00653421">
              <w:rPr>
                <w:rFonts w:eastAsia="Calibri" w:cs="Tahoma"/>
                <w:color w:val="000000"/>
                <w:szCs w:val="18"/>
              </w:rPr>
              <w:t>Office 365 Enterprise E3 e</w:t>
            </w:r>
            <w:r w:rsidR="00E92B61" w:rsidRPr="00653421">
              <w:rPr>
                <w:rFonts w:eastAsia="Calibri" w:cs="Tahoma"/>
                <w:color w:val="000000"/>
                <w:szCs w:val="18"/>
              </w:rPr>
              <w:t> </w:t>
            </w:r>
            <w:r w:rsidRPr="00653421">
              <w:rPr>
                <w:rFonts w:eastAsia="Calibri" w:cs="Tahoma"/>
                <w:color w:val="000000"/>
                <w:szCs w:val="18"/>
              </w:rPr>
              <w:t>Windows Intune ou</w:t>
            </w:r>
          </w:p>
          <w:p w:rsidR="00162A93" w:rsidRPr="00653421" w:rsidRDefault="00162A93" w:rsidP="00E92B61">
            <w:pPr>
              <w:numPr>
                <w:ilvl w:val="0"/>
                <w:numId w:val="57"/>
              </w:numPr>
              <w:spacing w:before="80" w:after="200" w:line="276" w:lineRule="auto"/>
              <w:ind w:left="630"/>
              <w:rPr>
                <w:rFonts w:eastAsia="Calibri" w:cs="Tahoma"/>
                <w:color w:val="000000"/>
                <w:szCs w:val="18"/>
              </w:rPr>
            </w:pPr>
            <w:r w:rsidRPr="00653421">
              <w:rPr>
                <w:rFonts w:eastAsia="Calibri" w:cs="Tahoma"/>
                <w:color w:val="000000"/>
                <w:szCs w:val="18"/>
              </w:rPr>
              <w:t>Office 365 Enterprise E4 e</w:t>
            </w:r>
            <w:r w:rsidR="00E92B61" w:rsidRPr="00653421">
              <w:rPr>
                <w:rFonts w:eastAsia="Calibri" w:cs="Tahoma"/>
                <w:color w:val="000000"/>
                <w:szCs w:val="18"/>
              </w:rPr>
              <w:t> </w:t>
            </w:r>
            <w:r w:rsidRPr="00653421">
              <w:rPr>
                <w:rFonts w:eastAsia="Calibri" w:cs="Tahoma"/>
                <w:color w:val="000000"/>
                <w:szCs w:val="18"/>
              </w:rPr>
              <w:t>Windows Intune</w:t>
            </w:r>
          </w:p>
        </w:tc>
      </w:tr>
      <w:tr w:rsidR="00162A93" w:rsidRPr="00653421" w:rsidTr="00C8658B">
        <w:trPr>
          <w:trHeight w:val="576"/>
          <w:jc w:val="center"/>
        </w:trPr>
        <w:tc>
          <w:tcPr>
            <w:tcW w:w="1845" w:type="pct"/>
            <w:tcBorders>
              <w:top w:val="nil"/>
              <w:left w:val="single" w:sz="8" w:space="0" w:color="auto"/>
              <w:bottom w:val="single" w:sz="8" w:space="0" w:color="auto"/>
              <w:right w:val="single" w:sz="8" w:space="0" w:color="auto"/>
            </w:tcBorders>
            <w:hideMark/>
          </w:tcPr>
          <w:p w:rsidR="00162A93" w:rsidRPr="00C71DAC" w:rsidRDefault="00162A93" w:rsidP="00392523">
            <w:pPr>
              <w:numPr>
                <w:ilvl w:val="0"/>
                <w:numId w:val="55"/>
              </w:numPr>
              <w:spacing w:before="60" w:after="60" w:line="276" w:lineRule="auto"/>
              <w:ind w:left="535" w:right="180"/>
              <w:rPr>
                <w:rFonts w:eastAsia="Calibri" w:cs="Tahoma"/>
                <w:color w:val="000000"/>
                <w:szCs w:val="18"/>
                <w:lang w:val="pt-BR" w:eastAsia="ja-JP"/>
              </w:rPr>
            </w:pPr>
            <w:r w:rsidRPr="00C71DAC">
              <w:rPr>
                <w:rFonts w:eastAsia="Calibri" w:cs="Tahoma"/>
                <w:szCs w:val="18"/>
                <w:lang w:val="pt-BR"/>
              </w:rPr>
              <w:t>Bridge do Pacote de CALs Empresariais para Windows</w:t>
            </w:r>
            <w:r w:rsidR="00392523" w:rsidRPr="00C71DAC">
              <w:rPr>
                <w:rFonts w:eastAsia="Calibri" w:cs="Tahoma"/>
                <w:szCs w:val="18"/>
                <w:lang w:val="pt-BR"/>
              </w:rPr>
              <w:t> </w:t>
            </w:r>
            <w:r w:rsidRPr="00C71DAC">
              <w:rPr>
                <w:rFonts w:eastAsia="Calibri" w:cs="Tahoma"/>
                <w:szCs w:val="18"/>
                <w:lang w:val="pt-BR"/>
              </w:rPr>
              <w:t>Intune</w:t>
            </w:r>
          </w:p>
        </w:tc>
        <w:tc>
          <w:tcPr>
            <w:tcW w:w="1311" w:type="pct"/>
            <w:tcBorders>
              <w:top w:val="nil"/>
              <w:left w:val="nil"/>
              <w:bottom w:val="single" w:sz="8" w:space="0" w:color="auto"/>
              <w:right w:val="single" w:sz="8" w:space="0" w:color="auto"/>
            </w:tcBorders>
            <w:hideMark/>
          </w:tcPr>
          <w:p w:rsidR="00162A93" w:rsidRPr="00653421"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653421">
              <w:rPr>
                <w:rFonts w:eastAsia="Calibri" w:cs="Tahoma"/>
                <w:szCs w:val="18"/>
              </w:rPr>
              <w:t>Enterprise CAL Suite</w:t>
            </w:r>
          </w:p>
        </w:tc>
        <w:tc>
          <w:tcPr>
            <w:tcW w:w="1844" w:type="pct"/>
            <w:tcBorders>
              <w:top w:val="nil"/>
              <w:left w:val="nil"/>
              <w:bottom w:val="single" w:sz="8" w:space="0" w:color="auto"/>
              <w:right w:val="single" w:sz="8" w:space="0" w:color="auto"/>
            </w:tcBorders>
            <w:hideMark/>
          </w:tcPr>
          <w:p w:rsidR="00162A93" w:rsidRPr="00653421" w:rsidRDefault="00162A93" w:rsidP="002C1048">
            <w:pPr>
              <w:numPr>
                <w:ilvl w:val="0"/>
                <w:numId w:val="57"/>
              </w:numPr>
              <w:spacing w:before="80" w:after="200" w:line="276" w:lineRule="auto"/>
              <w:ind w:left="630"/>
              <w:rPr>
                <w:rFonts w:cs="Tahoma"/>
                <w:color w:val="000000"/>
                <w:szCs w:val="18"/>
              </w:rPr>
            </w:pPr>
            <w:r w:rsidRPr="00653421">
              <w:rPr>
                <w:rFonts w:eastAsia="Calibri" w:cs="Tahoma"/>
                <w:color w:val="000000"/>
                <w:szCs w:val="18"/>
              </w:rPr>
              <w:t>Windows Intune</w:t>
            </w:r>
          </w:p>
        </w:tc>
      </w:tr>
    </w:tbl>
    <w:p w:rsidR="00ED5B61" w:rsidRPr="00653421" w:rsidRDefault="00ED5B61" w:rsidP="00ED5B61">
      <w:bookmarkStart w:id="1230" w:name="_42_Enterprise_CAL"/>
      <w:bookmarkStart w:id="1231" w:name="_44_Pacotes_CAL"/>
      <w:bookmarkStart w:id="1232" w:name="_Toc336338304"/>
      <w:bookmarkStart w:id="1233" w:name="_Toc353470950"/>
      <w:bookmarkStart w:id="1234" w:name="Srv_43EnterpriseCALSuite"/>
      <w:bookmarkEnd w:id="1215"/>
      <w:bookmarkEnd w:id="1223"/>
      <w:bookmarkEnd w:id="1230"/>
      <w:bookmarkEnd w:id="1231"/>
    </w:p>
    <w:p w:rsidR="00ED5B61" w:rsidRPr="00653421" w:rsidRDefault="00ED5B61" w:rsidP="00ED5B61"/>
    <w:p w:rsidR="00652053" w:rsidRPr="00653421" w:rsidRDefault="004668D9" w:rsidP="00652053">
      <w:pPr>
        <w:pStyle w:val="Heading3"/>
      </w:pPr>
      <w:r w:rsidRPr="00653421">
        <w:rPr>
          <w:rFonts w:ascii="Tahoma" w:hAnsi="Tahoma"/>
          <w:caps/>
          <w:color w:val="F66400"/>
          <w:sz w:val="22"/>
          <w:vertAlign w:val="superscript"/>
        </w:rPr>
        <w:t>44</w:t>
      </w:r>
      <w:r w:rsidRPr="00653421">
        <w:rPr>
          <w:rFonts w:ascii="Tahoma" w:hAnsi="Tahoma"/>
          <w:color w:val="F66400"/>
          <w:sz w:val="22"/>
        </w:rPr>
        <w:t xml:space="preserve"> Pacotes CAL Empresarial</w:t>
      </w:r>
      <w:bookmarkEnd w:id="1232"/>
      <w:bookmarkEnd w:id="1233"/>
      <w:r w:rsidRPr="00653421">
        <w:rPr>
          <w:rFonts w:ascii="Tahoma" w:hAnsi="Tahoma"/>
          <w:color w:val="F66400"/>
          <w:sz w:val="22"/>
        </w:rPr>
        <w:t xml:space="preserve"> </w:t>
      </w:r>
    </w:p>
    <w:bookmarkEnd w:id="1234"/>
    <w:p w:rsidR="00023FE7" w:rsidRPr="00653421" w:rsidRDefault="00023FE7" w:rsidP="0084072C"/>
    <w:p w:rsidR="009A727E" w:rsidRPr="00C71DAC" w:rsidRDefault="008446D1" w:rsidP="0084072C">
      <w:pPr>
        <w:ind w:left="720"/>
        <w:rPr>
          <w:lang w:val="pt-BR"/>
        </w:rPr>
      </w:pPr>
      <w:r w:rsidRPr="00C71DAC">
        <w:rPr>
          <w:rFonts w:cs="Tahoma"/>
          <w:szCs w:val="20"/>
          <w:lang w:val="pt-BR"/>
        </w:rPr>
        <w:t>O Enterprise CAL Suite é independente da versão e os direitos de uso de produto são determinados pelo status da cobertura do Software Assurance para o Enterprise CAL Suite.</w:t>
      </w:r>
      <w:r w:rsidR="005A52A2" w:rsidRPr="00C71DAC">
        <w:rPr>
          <w:rFonts w:cs="Tahoma"/>
          <w:szCs w:val="20"/>
          <w:lang w:val="pt-BR"/>
        </w:rPr>
        <w:t xml:space="preserve"> </w:t>
      </w:r>
      <w:r w:rsidRPr="00C71DAC">
        <w:rPr>
          <w:rFonts w:cs="Tahoma"/>
          <w:szCs w:val="20"/>
          <w:lang w:val="pt-BR"/>
        </w:rPr>
        <w:t>Se a cobertura for interrompida, os direitos de acesso sob as licenças perpétuas serão determinados com base nos direitos de uso de produto em vigor antes da interrupção.</w:t>
      </w:r>
      <w:r w:rsidR="005A52A2" w:rsidRPr="00C71DAC">
        <w:rPr>
          <w:rFonts w:cs="Tahoma"/>
          <w:szCs w:val="20"/>
          <w:lang w:val="pt-BR"/>
        </w:rPr>
        <w:t xml:space="preserve"> </w:t>
      </w:r>
      <w:r w:rsidRPr="00C71DAC">
        <w:rPr>
          <w:rFonts w:cs="Tahoma"/>
          <w:szCs w:val="20"/>
          <w:lang w:val="pt-BR"/>
        </w:rPr>
        <w:t>Os direitos associados a ofertas de Serviços Online expirarão em caso de interrupção da cobertura do Software Assurance, seja o Enterprise CAL Suite perpétuo ou não.</w:t>
      </w:r>
      <w:r w:rsidR="005A52A2" w:rsidRPr="00C71DAC">
        <w:rPr>
          <w:rFonts w:cs="Tahoma"/>
          <w:szCs w:val="20"/>
          <w:lang w:val="pt-BR"/>
        </w:rPr>
        <w:t xml:space="preserve"> </w:t>
      </w:r>
      <w:r w:rsidRPr="00C71DAC">
        <w:rPr>
          <w:rFonts w:cs="Tahoma"/>
          <w:szCs w:val="20"/>
          <w:lang w:val="pt-BR"/>
        </w:rPr>
        <w:t>A 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5A52A2" w:rsidRPr="00C71DAC">
        <w:rPr>
          <w:rFonts w:cs="Tahoma"/>
          <w:szCs w:val="20"/>
          <w:lang w:val="pt-BR"/>
        </w:rPr>
        <w:t xml:space="preserve"> </w:t>
      </w:r>
      <w:r w:rsidRPr="00C71DAC">
        <w:rPr>
          <w:rFonts w:cs="Tahoma"/>
          <w:szCs w:val="20"/>
          <w:lang w:val="pt-BR"/>
        </w:rPr>
        <w:t>Uma licença para o Enterprise CAL Suite é uma licença individual que deverá ser cedida a um único usuário ou dispositivo.</w:t>
      </w:r>
      <w:r w:rsidR="005A52A2" w:rsidRPr="00C71DAC">
        <w:rPr>
          <w:rFonts w:cs="Tahoma"/>
          <w:szCs w:val="20"/>
          <w:lang w:val="pt-BR"/>
        </w:rPr>
        <w:t xml:space="preserve"> </w:t>
      </w:r>
      <w:r w:rsidRPr="00C71DAC">
        <w:rPr>
          <w:rFonts w:cs="Tahoma"/>
          <w:szCs w:val="20"/>
          <w:lang w:val="pt-BR"/>
        </w:rPr>
        <w:t>Conforme disposto no contrato da licença por volume, o cliente não poderá separar os direitos sob o Pacote de CALs Empresariais para permitir que dois ou mais usuários ou dispositivos acessem seus diversos componentes ao mesmo tempo.</w:t>
      </w:r>
      <w:r w:rsidR="005A52A2" w:rsidRPr="00C71DAC">
        <w:rPr>
          <w:rFonts w:cs="Tahoma"/>
          <w:szCs w:val="20"/>
          <w:lang w:val="pt-BR"/>
        </w:rPr>
        <w:t xml:space="preserve"> </w:t>
      </w:r>
    </w:p>
    <w:p w:rsidR="00163658" w:rsidRPr="00C71DAC" w:rsidRDefault="00163658" w:rsidP="0084072C">
      <w:pPr>
        <w:ind w:left="720"/>
        <w:rPr>
          <w:lang w:val="pt-BR"/>
        </w:rPr>
      </w:pPr>
    </w:p>
    <w:p w:rsidR="00163658" w:rsidRPr="00C71DAC" w:rsidRDefault="00163658" w:rsidP="0084072C">
      <w:pPr>
        <w:ind w:left="720"/>
        <w:rPr>
          <w:lang w:val="pt-BR"/>
        </w:rPr>
      </w:pPr>
      <w:r w:rsidRPr="00C71DAC">
        <w:rPr>
          <w:rFonts w:cs="Tahoma"/>
          <w:b/>
          <w:szCs w:val="20"/>
          <w:lang w:val="pt-BR"/>
        </w:rPr>
        <w:t>Provisionamento de Serviços Online Incluídos no Pacote de CALs Empresariais</w:t>
      </w:r>
    </w:p>
    <w:p w:rsidR="00391D38" w:rsidRPr="00C71DAC" w:rsidRDefault="00391D38" w:rsidP="0084072C">
      <w:pPr>
        <w:ind w:left="720"/>
        <w:rPr>
          <w:lang w:val="pt-BR"/>
        </w:rPr>
      </w:pPr>
    </w:p>
    <w:p w:rsidR="00163658" w:rsidRPr="00C71DAC" w:rsidRDefault="00163658" w:rsidP="0084072C">
      <w:pPr>
        <w:ind w:left="720"/>
        <w:rPr>
          <w:lang w:val="pt-BR"/>
        </w:rPr>
      </w:pPr>
      <w:r w:rsidRPr="00C71DAC">
        <w:rPr>
          <w:rFonts w:cs="Tahoma"/>
          <w:szCs w:val="20"/>
          <w:lang w:val="pt-BR"/>
        </w:rPr>
        <w:t>A partir de 1</w:t>
      </w:r>
      <w:r w:rsidRPr="00C71DAC">
        <w:rPr>
          <w:rFonts w:cs="Tahoma"/>
          <w:szCs w:val="20"/>
          <w:vertAlign w:val="superscript"/>
          <w:lang w:val="pt-BR"/>
        </w:rPr>
        <w:t>o</w:t>
      </w:r>
      <w:r w:rsidRPr="00C71DAC">
        <w:rPr>
          <w:rFonts w:cs="Tahoma"/>
          <w:szCs w:val="20"/>
          <w:lang w:val="pt-BR"/>
        </w:rPr>
        <w:t xml:space="preserve"> de abril de 2013, uma licença para o Pacote de CALs Empresariais com cobertura ativa do Software Assurance inclui os direitos de Arquivamento do Exchange Online para Exchange Server, Prevenção à Perda de Dados e Exchange Online Protection. </w:t>
      </w:r>
    </w:p>
    <w:p w:rsidR="00163658" w:rsidRPr="00C71DAC" w:rsidRDefault="00163658" w:rsidP="0084072C">
      <w:pPr>
        <w:ind w:left="720"/>
        <w:rPr>
          <w:lang w:val="pt-BR"/>
        </w:rPr>
      </w:pPr>
    </w:p>
    <w:p w:rsidR="00163658" w:rsidRPr="00C71DAC" w:rsidRDefault="00163658" w:rsidP="0084072C">
      <w:pPr>
        <w:ind w:left="720"/>
        <w:rPr>
          <w:lang w:val="pt-BR"/>
        </w:rPr>
      </w:pPr>
      <w:r w:rsidRPr="00C71DAC">
        <w:rPr>
          <w:rFonts w:cs="Tahoma"/>
          <w:szCs w:val="20"/>
          <w:lang w:val="pt-BR"/>
        </w:rPr>
        <w:t>Para começar a usar esses serviços, o cliente deve entrar em contato com seu Microsoft Partner, que pode iniciar o processo de provisionamento exigido para ativar cada serviço.</w:t>
      </w:r>
    </w:p>
    <w:p w:rsidR="00103AD5" w:rsidRPr="00C71DAC" w:rsidRDefault="00103AD5" w:rsidP="0084072C">
      <w:pPr>
        <w:ind w:left="720"/>
        <w:rPr>
          <w:lang w:val="pt-BR"/>
        </w:rPr>
      </w:pPr>
    </w:p>
    <w:p w:rsidR="00391D38" w:rsidRPr="00C71DAC" w:rsidRDefault="005D1A15" w:rsidP="00391D38">
      <w:pPr>
        <w:ind w:left="720"/>
        <w:rPr>
          <w:lang w:val="pt-BR"/>
        </w:rPr>
      </w:pPr>
      <w:r w:rsidRPr="00C71DAC">
        <w:rPr>
          <w:snapToGrid w:val="0"/>
          <w:lang w:val="pt-BR"/>
        </w:rPr>
        <w:t>Algumas ofertas incluem softwares implementados e usados nas instalações dos clientes e um ou mais dos</w:t>
      </w:r>
      <w:r w:rsidR="00392523" w:rsidRPr="00C71DAC">
        <w:rPr>
          <w:snapToGrid w:val="0"/>
          <w:lang w:val="pt-BR"/>
        </w:rPr>
        <w:t> </w:t>
      </w:r>
      <w:r w:rsidRPr="00C71DAC">
        <w:rPr>
          <w:snapToGrid w:val="0"/>
          <w:lang w:val="pt-BR"/>
        </w:rPr>
        <w:t>Serviços Online identificados acima sob a mesma licença. Por exemplo,</w:t>
      </w:r>
      <w:r w:rsidRPr="00C71DAC">
        <w:rPr>
          <w:rFonts w:cs="Tahoma"/>
          <w:szCs w:val="20"/>
          <w:lang w:val="pt-BR"/>
        </w:rPr>
        <w:t xml:space="preserve"> o Arquivamento do Exchange Online para Exchange Server, Prevenção à Perda de Dados ou Exchange Online Protection estão disponíveis</w:t>
      </w:r>
      <w:r w:rsidR="00392523" w:rsidRPr="00C71DAC">
        <w:rPr>
          <w:rFonts w:cs="Tahoma"/>
          <w:szCs w:val="20"/>
          <w:lang w:val="pt-BR"/>
        </w:rPr>
        <w:t> </w:t>
      </w:r>
      <w:r w:rsidRPr="00C71DAC">
        <w:rPr>
          <w:rFonts w:cs="Tahoma"/>
          <w:szCs w:val="20"/>
          <w:lang w:val="pt-BR"/>
        </w:rPr>
        <w:t>aos clientes como parte do seu Pacote de CAL Empresarial ou CAL Empresarial do Exchange com</w:t>
      </w:r>
      <w:r w:rsidR="00392523" w:rsidRPr="00C71DAC">
        <w:rPr>
          <w:rFonts w:cs="Tahoma"/>
          <w:szCs w:val="20"/>
          <w:lang w:val="pt-BR"/>
        </w:rPr>
        <w:t> </w:t>
      </w:r>
      <w:r w:rsidRPr="00C71DAC">
        <w:rPr>
          <w:rFonts w:cs="Tahoma"/>
          <w:szCs w:val="20"/>
          <w:lang w:val="pt-BR"/>
        </w:rPr>
        <w:t xml:space="preserve">Serviços 2013. Os seguintes Termos e Condições Complementares (“Termos Complementares”) se aplicam à </w:t>
      </w:r>
      <w:r w:rsidRPr="00C71DAC">
        <w:rPr>
          <w:snapToGrid w:val="0"/>
          <w:lang w:val="pt-BR"/>
        </w:rPr>
        <w:t>aquisição e ao</w:t>
      </w:r>
      <w:r w:rsidR="00392523" w:rsidRPr="00C71DAC">
        <w:rPr>
          <w:snapToGrid w:val="0"/>
          <w:lang w:val="pt-BR"/>
        </w:rPr>
        <w:t> </w:t>
      </w:r>
      <w:r w:rsidRPr="00C71DAC">
        <w:rPr>
          <w:snapToGrid w:val="0"/>
          <w:lang w:val="pt-BR"/>
        </w:rPr>
        <w:t>uso que os clientes fazem de tais Serviços Online.</w:t>
      </w:r>
      <w:r w:rsidR="005A52A2" w:rsidRPr="00C71DAC">
        <w:rPr>
          <w:rFonts w:cs="Tahoma"/>
          <w:szCs w:val="20"/>
          <w:lang w:val="pt-BR"/>
        </w:rPr>
        <w:t xml:space="preserve"> </w:t>
      </w:r>
      <w:r w:rsidRPr="00C71DAC">
        <w:rPr>
          <w:snapToGrid w:val="0"/>
          <w:lang w:val="pt-BR"/>
        </w:rPr>
        <w:t>Além do mais, não obstante nenhuma disposição em contrário, os termos de pagamento e preços acima não se aplicam aos Serviços Online licenciados desta forma.</w:t>
      </w:r>
    </w:p>
    <w:p w:rsidR="00391D38" w:rsidRPr="00C71DAC" w:rsidRDefault="00391D38" w:rsidP="00391D38">
      <w:pPr>
        <w:keepNext/>
        <w:spacing w:before="120" w:after="60"/>
        <w:ind w:left="1440"/>
        <w:outlineLvl w:val="0"/>
        <w:rPr>
          <w:lang w:val="pt-BR"/>
        </w:rPr>
      </w:pPr>
      <w:r w:rsidRPr="00C71DAC">
        <w:rPr>
          <w:rFonts w:cs="Tahoma"/>
          <w:b/>
          <w:bCs/>
          <w:iCs/>
          <w:snapToGrid w:val="0"/>
          <w:szCs w:val="18"/>
          <w:lang w:val="pt-BR"/>
        </w:rPr>
        <w:lastRenderedPageBreak/>
        <w:t>Definições.</w:t>
      </w:r>
    </w:p>
    <w:p w:rsidR="00391D38" w:rsidRPr="00C71DAC" w:rsidRDefault="00391D38" w:rsidP="007E466C">
      <w:pPr>
        <w:ind w:left="1440"/>
        <w:jc w:val="both"/>
        <w:rPr>
          <w:lang w:val="pt-BR"/>
        </w:rPr>
      </w:pPr>
      <w:r w:rsidRPr="00C71DAC">
        <w:rPr>
          <w:rFonts w:cs="Tahoma"/>
          <w:snapToGrid w:val="0"/>
          <w:color w:val="000000"/>
          <w:szCs w:val="18"/>
          <w:lang w:val="pt-BR"/>
        </w:rPr>
        <w:t>“Dados do Cliente” significa todos os dados, incluindo quaisquer arquivos de texto, som, software ou imagens fornecidos à Microsoft ou em nome do cliente por meio do uso pelo cliente dos Serviços Online.</w:t>
      </w:r>
    </w:p>
    <w:p w:rsidR="00391D38" w:rsidRPr="00C71DAC" w:rsidRDefault="00391D38" w:rsidP="00391D38">
      <w:pPr>
        <w:spacing w:before="120"/>
        <w:ind w:left="1440"/>
        <w:jc w:val="both"/>
        <w:rPr>
          <w:lang w:val="pt-BR"/>
        </w:rPr>
      </w:pPr>
      <w:r w:rsidRPr="00C71DAC">
        <w:rPr>
          <w:rFonts w:cs="Tahoma"/>
          <w:snapToGrid w:val="0"/>
          <w:color w:val="000000"/>
          <w:szCs w:val="18"/>
          <w:lang w:val="pt-BR"/>
        </w:rPr>
        <w:t>“Contrato de Níveis de Serviço” significa o documento que especifica os padrões que a Microsoft concorda em seguir e por meio dos quais medirá o nível de serviço de um Serviço Online.</w:t>
      </w:r>
    </w:p>
    <w:p w:rsidR="00391D38" w:rsidRPr="00C71DAC" w:rsidRDefault="00391D38" w:rsidP="007E466C">
      <w:pPr>
        <w:keepNext/>
        <w:spacing w:before="120" w:after="60"/>
        <w:ind w:left="1440"/>
        <w:outlineLvl w:val="0"/>
        <w:rPr>
          <w:lang w:val="pt-BR"/>
        </w:rPr>
      </w:pPr>
      <w:r w:rsidRPr="00C71DAC">
        <w:rPr>
          <w:rFonts w:cs="Tahoma"/>
          <w:b/>
          <w:bCs/>
          <w:iCs/>
          <w:snapToGrid w:val="0"/>
          <w:szCs w:val="18"/>
          <w:lang w:val="pt-BR"/>
        </w:rPr>
        <w:t>Aplicabilidade dos Termos Complementares.</w:t>
      </w:r>
    </w:p>
    <w:p w:rsidR="00391D38" w:rsidRPr="00C71DAC" w:rsidRDefault="00391D38" w:rsidP="007E466C">
      <w:pPr>
        <w:ind w:left="1440"/>
        <w:jc w:val="both"/>
        <w:rPr>
          <w:lang w:val="pt-BR"/>
        </w:rPr>
      </w:pPr>
      <w:r w:rsidRPr="00C71DAC">
        <w:rPr>
          <w:rFonts w:cs="Tahoma"/>
          <w:snapToGrid w:val="0"/>
          <w:color w:val="000000"/>
          <w:szCs w:val="18"/>
          <w:lang w:val="pt-BR"/>
        </w:rPr>
        <w:t>Estes Termos Complementares se aplicam somente à compra e ao uso pelo cliente dos Serviços Online e Serviços.</w:t>
      </w:r>
      <w:r w:rsidR="005A52A2" w:rsidRPr="00C71DAC">
        <w:rPr>
          <w:rFonts w:cs="Tahoma"/>
          <w:snapToGrid w:val="0"/>
          <w:color w:val="000000"/>
          <w:szCs w:val="18"/>
          <w:lang w:val="pt-BR"/>
        </w:rPr>
        <w:t xml:space="preserve"> </w:t>
      </w:r>
      <w:r w:rsidRPr="00C71DAC">
        <w:rPr>
          <w:rFonts w:cs="Tahoma"/>
          <w:snapToGrid w:val="0"/>
          <w:color w:val="000000"/>
          <w:szCs w:val="18"/>
          <w:lang w:val="pt-BR"/>
        </w:rPr>
        <w:t>Em caso de conflito entre esses Termos Complementares e os termos e as condições do Master Agreement ou Contrato que não sejam expressamente solucionados por eles, prevalecerão os Termos Complementares.</w:t>
      </w:r>
    </w:p>
    <w:p w:rsidR="00391D38" w:rsidRPr="00C71DAC" w:rsidRDefault="00391D38" w:rsidP="007E466C">
      <w:pPr>
        <w:keepNext/>
        <w:spacing w:before="120" w:after="60"/>
        <w:ind w:left="1440"/>
        <w:outlineLvl w:val="0"/>
        <w:rPr>
          <w:lang w:val="pt-BR"/>
        </w:rPr>
      </w:pPr>
      <w:r w:rsidRPr="00C71DAC">
        <w:rPr>
          <w:rFonts w:cs="Tahoma"/>
          <w:b/>
          <w:bCs/>
          <w:iCs/>
          <w:snapToGrid w:val="0"/>
          <w:szCs w:val="18"/>
          <w:lang w:val="pt-BR"/>
        </w:rPr>
        <w:t>Garantia limitada dos Serviços Online.</w:t>
      </w:r>
    </w:p>
    <w:p w:rsidR="00391D38" w:rsidRPr="00C71DAC" w:rsidRDefault="00391D38" w:rsidP="007E466C">
      <w:pPr>
        <w:ind w:left="1440"/>
        <w:jc w:val="both"/>
        <w:rPr>
          <w:lang w:val="pt-BR"/>
        </w:rPr>
      </w:pPr>
      <w:r w:rsidRPr="00C71DAC">
        <w:rPr>
          <w:rFonts w:cs="Tahoma"/>
          <w:snapToGrid w:val="0"/>
          <w:color w:val="000000"/>
          <w:szCs w:val="18"/>
          <w:lang w:val="pt-BR"/>
        </w:rPr>
        <w:t>A Microsoft garante que os Serviços Online funcionarão de acordo com o Contrato de Nível de Serviço aplicável.</w:t>
      </w:r>
      <w:r w:rsidR="005A52A2" w:rsidRPr="00C71DAC">
        <w:rPr>
          <w:rFonts w:cs="Tahoma"/>
          <w:snapToGrid w:val="0"/>
          <w:color w:val="000000"/>
          <w:szCs w:val="18"/>
          <w:lang w:val="pt-BR"/>
        </w:rPr>
        <w:t xml:space="preserve"> </w:t>
      </w:r>
      <w:r w:rsidRPr="00C71DAC">
        <w:rPr>
          <w:rFonts w:cs="Tahoma"/>
          <w:snapToGrid w:val="0"/>
          <w:color w:val="000000"/>
          <w:szCs w:val="18"/>
          <w:lang w:val="pt-BR"/>
        </w:rPr>
        <w:t>Esta garantia limitada equivale à duração do uso pelo cliente do Serviço Online, sujeita aos requisitos de notificação no Contrato de Nível de Serviços aplicável.</w:t>
      </w:r>
    </w:p>
    <w:p w:rsidR="00391D38" w:rsidRPr="00C71DAC" w:rsidRDefault="00391D38" w:rsidP="00391D38">
      <w:pPr>
        <w:spacing w:before="120"/>
        <w:ind w:left="1440"/>
        <w:jc w:val="both"/>
        <w:rPr>
          <w:lang w:val="pt-BR"/>
        </w:rPr>
      </w:pPr>
      <w:r w:rsidRPr="00C71DAC">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w:t>
      </w:r>
      <w:r w:rsidR="005A52A2" w:rsidRPr="00C71DAC">
        <w:rPr>
          <w:rFonts w:cs="Tahoma"/>
          <w:snapToGrid w:val="0"/>
          <w:color w:val="000000"/>
          <w:szCs w:val="18"/>
          <w:lang w:val="pt-BR"/>
        </w:rPr>
        <w:t xml:space="preserve"> </w:t>
      </w:r>
      <w:r w:rsidRPr="00C71DAC">
        <w:rPr>
          <w:rFonts w:cs="Tahoma"/>
          <w:snapToGrid w:val="0"/>
          <w:color w:val="000000"/>
          <w:szCs w:val="18"/>
          <w:lang w:val="pt-BR"/>
        </w:rPr>
        <w:t>Essas são as únicas medidas disponíveis ao cliente em caso de violação da garantia limitada, salvo se a lei aplicável estabelecer outras.</w:t>
      </w:r>
    </w:p>
    <w:p w:rsidR="00391D38" w:rsidRPr="00C71DAC" w:rsidRDefault="00391D38" w:rsidP="00391D38">
      <w:pPr>
        <w:spacing w:before="120"/>
        <w:ind w:left="1440"/>
        <w:jc w:val="both"/>
        <w:rPr>
          <w:lang w:val="pt-BR"/>
        </w:rPr>
      </w:pPr>
      <w:r w:rsidRPr="00C71DAC">
        <w:rPr>
          <w:rFonts w:cs="Tahoma"/>
          <w:snapToGrid w:val="0"/>
          <w:color w:val="000000"/>
          <w:szCs w:val="18"/>
          <w:lang w:val="pt-BR"/>
        </w:rPr>
        <w:t>A garantia limitada está sujeita às seguintes limitações:</w:t>
      </w:r>
    </w:p>
    <w:p w:rsidR="00391D38" w:rsidRPr="00C71DAC" w:rsidRDefault="00391D38" w:rsidP="00391D38">
      <w:pPr>
        <w:numPr>
          <w:ilvl w:val="0"/>
          <w:numId w:val="151"/>
        </w:numPr>
        <w:spacing w:before="120"/>
        <w:ind w:left="1800"/>
        <w:contextualSpacing/>
        <w:jc w:val="both"/>
        <w:rPr>
          <w:lang w:val="pt-BR"/>
        </w:rPr>
      </w:pPr>
      <w:r w:rsidRPr="00C71DAC">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rsidR="00391D38" w:rsidRPr="00C71DAC" w:rsidRDefault="00391D38" w:rsidP="00391D38">
      <w:pPr>
        <w:numPr>
          <w:ilvl w:val="0"/>
          <w:numId w:val="151"/>
        </w:numPr>
        <w:spacing w:before="120"/>
        <w:ind w:left="1800"/>
        <w:contextualSpacing/>
        <w:jc w:val="both"/>
        <w:rPr>
          <w:lang w:val="pt-BR"/>
        </w:rPr>
      </w:pPr>
      <w:r w:rsidRPr="00C71DAC">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rsidR="00391D38" w:rsidRPr="00C71DAC" w:rsidRDefault="00391D38" w:rsidP="00391D38">
      <w:pPr>
        <w:numPr>
          <w:ilvl w:val="0"/>
          <w:numId w:val="151"/>
        </w:numPr>
        <w:spacing w:before="120"/>
        <w:ind w:left="1800"/>
        <w:contextualSpacing/>
        <w:jc w:val="both"/>
        <w:rPr>
          <w:lang w:val="pt-BR"/>
        </w:rPr>
      </w:pPr>
      <w:r w:rsidRPr="00C71DAC">
        <w:rPr>
          <w:rFonts w:cs="Tahoma"/>
          <w:snapToGrid w:val="0"/>
          <w:color w:val="000000"/>
          <w:szCs w:val="18"/>
          <w:lang w:val="pt-BR"/>
        </w:rPr>
        <w:t>a garantia limitada não se aplica às versões gratuitas, de avaliação, pré-lançamento ou beta dos Serviços Online e</w:t>
      </w:r>
    </w:p>
    <w:p w:rsidR="00391D38" w:rsidRPr="00C71DAC" w:rsidRDefault="00391D38" w:rsidP="00391D38">
      <w:pPr>
        <w:numPr>
          <w:ilvl w:val="0"/>
          <w:numId w:val="151"/>
        </w:numPr>
        <w:spacing w:before="120"/>
        <w:ind w:left="1800"/>
        <w:contextualSpacing/>
        <w:jc w:val="both"/>
        <w:rPr>
          <w:lang w:val="pt-BR"/>
        </w:rPr>
      </w:pPr>
      <w:r w:rsidRPr="00C71DAC">
        <w:rPr>
          <w:rFonts w:cs="Tahoma"/>
          <w:snapToGrid w:val="0"/>
          <w:color w:val="000000"/>
          <w:szCs w:val="18"/>
          <w:lang w:val="pt-BR"/>
        </w:rPr>
        <w:t>a garantia limitada não se aplica a problemas causados pela não observância dos requisitos mínimos do sistema.</w:t>
      </w:r>
    </w:p>
    <w:p w:rsidR="00391D38" w:rsidRPr="00C71DAC" w:rsidRDefault="00391D38" w:rsidP="00391D38">
      <w:pPr>
        <w:spacing w:before="120"/>
        <w:ind w:left="1440"/>
        <w:jc w:val="both"/>
        <w:rPr>
          <w:lang w:val="pt-BR"/>
        </w:rPr>
      </w:pPr>
      <w:r w:rsidRPr="00C71DAC">
        <w:rPr>
          <w:rFonts w:cs="Tahoma"/>
          <w:b/>
          <w:bCs/>
          <w:snapToGrid w:val="0"/>
          <w:color w:val="000000"/>
          <w:szCs w:val="18"/>
          <w:lang w:val="pt-BR"/>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5A52A2" w:rsidRPr="00C71DAC">
        <w:rPr>
          <w:rFonts w:cs="Tahoma"/>
          <w:b/>
          <w:bCs/>
          <w:snapToGrid w:val="0"/>
          <w:color w:val="000000"/>
          <w:szCs w:val="18"/>
          <w:lang w:val="pt-BR"/>
        </w:rPr>
        <w:t xml:space="preserve"> </w:t>
      </w:r>
      <w:r w:rsidRPr="00C71DAC">
        <w:rPr>
          <w:rFonts w:cs="Tahoma"/>
          <w:b/>
          <w:bCs/>
          <w:snapToGrid w:val="0"/>
          <w:color w:val="000000"/>
          <w:szCs w:val="18"/>
          <w:lang w:val="pt-BR"/>
        </w:rPr>
        <w:t>A REFERIDA DECLARAÇÃO DE INEXISTÊNCIA DE OUTRAS GARANTIAS APLICAR-SE-Á SEMPRE, SALVO QUANDO A LEI APLICÁVEL NÃO A PERMITIR.</w:t>
      </w:r>
    </w:p>
    <w:p w:rsidR="00391D38" w:rsidRPr="00653421" w:rsidRDefault="00391D38" w:rsidP="007E466C">
      <w:pPr>
        <w:keepNext/>
        <w:spacing w:before="120" w:after="60"/>
        <w:ind w:left="1440"/>
        <w:outlineLvl w:val="0"/>
      </w:pPr>
      <w:r w:rsidRPr="00653421">
        <w:rPr>
          <w:rFonts w:cs="Tahoma"/>
          <w:b/>
          <w:bCs/>
          <w:iCs/>
          <w:snapToGrid w:val="0"/>
          <w:szCs w:val="18"/>
        </w:rPr>
        <w:t>Privacidade e segurança.</w:t>
      </w:r>
    </w:p>
    <w:p w:rsidR="00391D38" w:rsidRPr="00C71DAC" w:rsidRDefault="00391D38" w:rsidP="00391D38">
      <w:pPr>
        <w:numPr>
          <w:ilvl w:val="1"/>
          <w:numId w:val="158"/>
        </w:numPr>
        <w:spacing w:before="120"/>
        <w:ind w:left="1800"/>
        <w:contextualSpacing/>
        <w:jc w:val="both"/>
        <w:rPr>
          <w:lang w:val="pt-BR"/>
        </w:rPr>
      </w:pPr>
      <w:r w:rsidRPr="00C71DAC">
        <w:rPr>
          <w:rFonts w:cs="Tahoma"/>
          <w:snapToGrid w:val="0"/>
          <w:color w:val="000000"/>
          <w:szCs w:val="18"/>
          <w:lang w:val="pt-BR"/>
        </w:rPr>
        <w:t>A Microsoft e o cliente deverão cumprir todas as leis e regulamentos aplicáveis (inclusive a lei de notificação de violação de segurança aplicável).</w:t>
      </w:r>
      <w:r w:rsidR="005A52A2" w:rsidRPr="00C71DAC">
        <w:rPr>
          <w:rFonts w:cs="Tahoma"/>
          <w:snapToGrid w:val="0"/>
          <w:color w:val="000000"/>
          <w:szCs w:val="18"/>
          <w:lang w:val="pt-BR"/>
        </w:rPr>
        <w:t xml:space="preserve"> </w:t>
      </w:r>
      <w:r w:rsidRPr="00C71DAC">
        <w:rPr>
          <w:rFonts w:cs="Tahoma"/>
          <w:snapToGrid w:val="0"/>
          <w:color w:val="000000"/>
          <w:szCs w:val="18"/>
          <w:lang w:val="pt-BR"/>
        </w:rPr>
        <w:t>No entanto, a Microsoft não é responsável pelo cumprimento de nenhuma lei ou regulamento aplicável ao cliente ou ao seu setor de atividade e que não seja geralmente aplicável a services providers de tecnologia da informação.</w:t>
      </w:r>
      <w:r w:rsidR="005A52A2" w:rsidRPr="00C71DAC">
        <w:rPr>
          <w:rFonts w:cs="Tahoma"/>
          <w:snapToGrid w:val="0"/>
          <w:color w:val="000000"/>
          <w:szCs w:val="18"/>
          <w:lang w:val="pt-BR"/>
        </w:rPr>
        <w:t xml:space="preserve"> </w:t>
      </w:r>
      <w:r w:rsidRPr="00C71DAC">
        <w:rPr>
          <w:rFonts w:cs="Tahoma"/>
          <w:snapToGrid w:val="0"/>
          <w:color w:val="000000"/>
          <w:szCs w:val="18"/>
          <w:lang w:val="pt-BR"/>
        </w:rPr>
        <w:t>O Cliente autoriza o processamento de informações pessoais pela Microsoft e seus representantes para facilitar o assunto em questão deste Contrato, incluindo esses Termos Complementares.</w:t>
      </w:r>
    </w:p>
    <w:p w:rsidR="00391D38" w:rsidRPr="00C71DAC" w:rsidRDefault="00391D38" w:rsidP="00391D38">
      <w:pPr>
        <w:numPr>
          <w:ilvl w:val="1"/>
          <w:numId w:val="158"/>
        </w:numPr>
        <w:spacing w:before="120"/>
        <w:ind w:left="1800"/>
        <w:contextualSpacing/>
        <w:jc w:val="both"/>
        <w:rPr>
          <w:lang w:val="pt-BR"/>
        </w:rPr>
      </w:pPr>
      <w:r w:rsidRPr="00C71DAC">
        <w:rPr>
          <w:rFonts w:cs="Tahoma"/>
          <w:snapToGrid w:val="0"/>
          <w:color w:val="000000"/>
          <w:szCs w:val="18"/>
          <w:lang w:val="pt-BR"/>
        </w:rPr>
        <w:t>O Cliente poderá decidir fornecer informações pessoais à Microsoft em nome de terceiros (incluindo os contatos, revendedores, distribuidores e administradores, e funcionários do cliente) junto com o uso dos Serviços Online ou como parte do Contrato.</w:t>
      </w:r>
      <w:r w:rsidR="005A52A2" w:rsidRPr="00C71DAC">
        <w:rPr>
          <w:rFonts w:cs="Tahoma"/>
          <w:snapToGrid w:val="0"/>
          <w:color w:val="000000"/>
          <w:szCs w:val="18"/>
          <w:lang w:val="pt-BR"/>
        </w:rPr>
        <w:t xml:space="preserve"> </w:t>
      </w:r>
      <w:r w:rsidRPr="00C71DAC">
        <w:rPr>
          <w:rFonts w:cs="Tahoma"/>
          <w:snapToGrid w:val="0"/>
          <w:color w:val="000000"/>
          <w:szCs w:val="18"/>
          <w:lang w:val="pt-BR"/>
        </w:rPr>
        <w:t>O Cliente obterá todos os consentimentos necessários de terceiros relacionados às leis de proteção de dados e privacidade aplicáveis antes de fornecer informações pessoais à Microsoft.</w:t>
      </w:r>
    </w:p>
    <w:p w:rsidR="00391D38" w:rsidRPr="00C71DAC" w:rsidRDefault="00391D38" w:rsidP="00391D38">
      <w:pPr>
        <w:numPr>
          <w:ilvl w:val="1"/>
          <w:numId w:val="158"/>
        </w:numPr>
        <w:spacing w:before="120"/>
        <w:ind w:left="1800"/>
        <w:contextualSpacing/>
        <w:jc w:val="both"/>
        <w:rPr>
          <w:lang w:val="pt-BR"/>
        </w:rPr>
      </w:pPr>
      <w:r w:rsidRPr="00C71DAC">
        <w:rPr>
          <w:rFonts w:cs="Tahoma"/>
          <w:snapToGrid w:val="0"/>
          <w:color w:val="000000"/>
          <w:szCs w:val="18"/>
          <w:lang w:val="pt-BR"/>
        </w:rPr>
        <w:t xml:space="preserve">As informações pessoais fornecidas pelo cliente em razão deste Contrato ou do uso dos Serviços Online serão processadas de acordo com a política de privacidade disponível no site </w:t>
      </w:r>
      <w:hyperlink r:id="rId49" w:history="1">
        <w:r w:rsidRPr="00C71DAC">
          <w:rPr>
            <w:rFonts w:cs="Tahoma"/>
            <w:snapToGrid w:val="0"/>
            <w:color w:val="0000FF"/>
            <w:szCs w:val="18"/>
            <w:u w:val="single"/>
            <w:lang w:val="pt-BR"/>
          </w:rPr>
          <w:t>https://www.microsoft.com/licensing/servicecenter</w:t>
        </w:r>
      </w:hyperlink>
      <w:r w:rsidRPr="00C71DAC">
        <w:rPr>
          <w:rFonts w:cs="Tahoma"/>
          <w:snapToGrid w:val="0"/>
          <w:color w:val="000000"/>
          <w:szCs w:val="18"/>
          <w:lang w:val="pt-BR"/>
        </w:rPr>
        <w:t>, desde que as políticas de privacidade específicas do Produto e os detalhes de segurança e privacidade adicionais relacionados aos Serviços Online específicos estejam nos Direitos de Uso do Produto.</w:t>
      </w:r>
      <w:r w:rsidR="00C133AB" w:rsidRPr="00C71DAC">
        <w:rPr>
          <w:rFonts w:cs="Tahoma"/>
          <w:snapToGrid w:val="0"/>
          <w:color w:val="000000"/>
          <w:szCs w:val="18"/>
          <w:lang w:val="pt-BR"/>
        </w:rPr>
        <w:t xml:space="preserve"> </w:t>
      </w:r>
      <w:r w:rsidRPr="00C71DAC">
        <w:rPr>
          <w:rFonts w:cs="Tahoma"/>
          <w:snapToGrid w:val="0"/>
          <w:color w:val="000000"/>
          <w:szCs w:val="18"/>
          <w:lang w:val="pt-BR"/>
        </w:rPr>
        <w:t xml:space="preserve">Dados pessoais coletados </w:t>
      </w:r>
      <w:r w:rsidRPr="00C71DAC">
        <w:rPr>
          <w:rFonts w:cs="Tahoma"/>
          <w:snapToGrid w:val="0"/>
          <w:color w:val="000000"/>
          <w:szCs w:val="18"/>
          <w:lang w:val="pt-BR"/>
        </w:rPr>
        <w:lastRenderedPageBreak/>
        <w:t>pelos Serviços Online podem ser transferidos, armazenados e processados nos Estados Unidos ou em qualquer outro país no qual a Microsoft ou service providers mantenham instalações.</w:t>
      </w:r>
      <w:r w:rsidR="005A52A2" w:rsidRPr="00C71DAC">
        <w:rPr>
          <w:rFonts w:cs="Tahoma"/>
          <w:snapToGrid w:val="0"/>
          <w:color w:val="000000"/>
          <w:szCs w:val="18"/>
          <w:lang w:val="pt-BR"/>
        </w:rPr>
        <w:t xml:space="preserve"> </w:t>
      </w:r>
      <w:r w:rsidRPr="00C71DAC">
        <w:rPr>
          <w:rFonts w:cs="Tahoma"/>
          <w:snapToGrid w:val="0"/>
          <w:color w:val="000000"/>
          <w:szCs w:val="18"/>
          <w:lang w:val="pt-BR"/>
        </w:rPr>
        <w:t>Ao usar os Serviços Online, o cliente consente com o exposto acima.</w:t>
      </w:r>
      <w:r w:rsidR="005A52A2" w:rsidRPr="00C71DAC">
        <w:rPr>
          <w:rFonts w:cs="Tahoma"/>
          <w:snapToGrid w:val="0"/>
          <w:color w:val="000000"/>
          <w:szCs w:val="18"/>
          <w:lang w:val="pt-BR"/>
        </w:rPr>
        <w:t xml:space="preserve"> </w:t>
      </w:r>
      <w:r w:rsidRPr="00C71DAC">
        <w:rPr>
          <w:rFonts w:cs="Tahoma"/>
          <w:snapToGrid w:val="0"/>
          <w:color w:val="000000"/>
          <w:szCs w:val="18"/>
          <w:lang w:val="pt-BR"/>
        </w:rPr>
        <w:t xml:space="preserve">A Microsoft segue as estruturas de </w:t>
      </w:r>
      <w:r w:rsidR="00C133AB" w:rsidRPr="00C71DAC">
        <w:rPr>
          <w:rFonts w:cs="Tahoma"/>
          <w:snapToGrid w:val="0"/>
          <w:color w:val="000000"/>
          <w:szCs w:val="18"/>
          <w:lang w:val="pt-BR"/>
        </w:rPr>
        <w:t>“</w:t>
      </w:r>
      <w:r w:rsidRPr="00C71DAC">
        <w:rPr>
          <w:rFonts w:cs="Tahoma"/>
          <w:snapToGrid w:val="0"/>
          <w:color w:val="000000"/>
          <w:szCs w:val="18"/>
          <w:lang w:val="pt-BR"/>
        </w:rPr>
        <w:t>EU Safe Harbor</w:t>
      </w:r>
      <w:r w:rsidR="00C133AB" w:rsidRPr="00C71DAC">
        <w:rPr>
          <w:rFonts w:cs="Tahoma"/>
          <w:snapToGrid w:val="0"/>
          <w:color w:val="000000"/>
          <w:szCs w:val="18"/>
          <w:lang w:val="pt-BR"/>
        </w:rPr>
        <w:t>”</w:t>
      </w:r>
      <w:r w:rsidRPr="00C71DAC">
        <w:rPr>
          <w:rFonts w:cs="Tahoma"/>
          <w:snapToGrid w:val="0"/>
          <w:color w:val="000000"/>
          <w:szCs w:val="18"/>
          <w:lang w:val="pt-BR"/>
        </w:rPr>
        <w:t xml:space="preserve"> (porto seguro americano) e “Swiss Safe Harbor” (porto seguro suíço) estabelecidas pelo Departamento de Comércio dos Estados Unidos da América para a</w:t>
      </w:r>
      <w:r w:rsidR="00792983" w:rsidRPr="00C71DAC">
        <w:rPr>
          <w:rFonts w:cs="Tahoma"/>
          <w:snapToGrid w:val="0"/>
          <w:color w:val="000000"/>
          <w:szCs w:val="18"/>
          <w:lang w:val="pt-BR"/>
        </w:rPr>
        <w:t> </w:t>
      </w:r>
      <w:r w:rsidRPr="00C71DAC">
        <w:rPr>
          <w:rFonts w:cs="Tahoma"/>
          <w:snapToGrid w:val="0"/>
          <w:color w:val="000000"/>
          <w:szCs w:val="18"/>
          <w:lang w:val="pt-BR"/>
        </w:rPr>
        <w:t>coleta, o uso e a retenção de dados coletados na União Europeia, Área Econômica Europeia</w:t>
      </w:r>
      <w:r w:rsidR="00190EF1" w:rsidRPr="00C71DAC">
        <w:rPr>
          <w:rFonts w:cs="Tahoma"/>
          <w:snapToGrid w:val="0"/>
          <w:color w:val="000000"/>
          <w:szCs w:val="18"/>
          <w:lang w:val="pt-BR"/>
        </w:rPr>
        <w:t> </w:t>
      </w:r>
      <w:r w:rsidRPr="00C71DAC">
        <w:rPr>
          <w:rFonts w:cs="Tahoma"/>
          <w:snapToGrid w:val="0"/>
          <w:color w:val="000000"/>
          <w:szCs w:val="18"/>
          <w:lang w:val="pt-BR"/>
        </w:rPr>
        <w:t>e Suíça.</w:t>
      </w:r>
      <w:r w:rsidR="005A52A2" w:rsidRPr="00C71DAC">
        <w:rPr>
          <w:rFonts w:cs="Tahoma"/>
          <w:snapToGrid w:val="0"/>
          <w:color w:val="000000"/>
          <w:szCs w:val="18"/>
          <w:lang w:val="pt-BR"/>
        </w:rPr>
        <w:t xml:space="preserve"> </w:t>
      </w:r>
    </w:p>
    <w:p w:rsidR="00391D38" w:rsidRPr="00C71DAC" w:rsidRDefault="00391D38" w:rsidP="007E466C">
      <w:pPr>
        <w:keepNext/>
        <w:spacing w:before="120" w:after="60"/>
        <w:ind w:left="1440"/>
        <w:outlineLvl w:val="0"/>
        <w:rPr>
          <w:lang w:val="pt-BR"/>
        </w:rPr>
      </w:pPr>
      <w:r w:rsidRPr="00C71DAC">
        <w:rPr>
          <w:rFonts w:cs="Tahoma"/>
          <w:b/>
          <w:bCs/>
          <w:iCs/>
          <w:snapToGrid w:val="0"/>
          <w:szCs w:val="18"/>
          <w:lang w:val="pt-BR"/>
        </w:rPr>
        <w:t>Compromisso de proteção do cliente.</w:t>
      </w:r>
    </w:p>
    <w:p w:rsidR="00391D38" w:rsidRPr="00C71DAC" w:rsidRDefault="00391D38" w:rsidP="007E466C">
      <w:pPr>
        <w:ind w:left="1440"/>
        <w:jc w:val="both"/>
        <w:rPr>
          <w:lang w:val="pt-BR"/>
        </w:rPr>
      </w:pPr>
      <w:r w:rsidRPr="00C71DAC">
        <w:rPr>
          <w:rFonts w:cs="Tahoma"/>
          <w:snapToGrid w:val="0"/>
          <w:color w:val="000000"/>
          <w:szCs w:val="18"/>
          <w:lang w:val="pt-BR"/>
        </w:rPr>
        <w:t>O Cliente defenderá a Microsoft contra qualquer requerimento judicial ou extrajudicial feito por terceiros não afiliados que:</w:t>
      </w:r>
    </w:p>
    <w:p w:rsidR="00391D38" w:rsidRPr="00C71DAC" w:rsidRDefault="00391D38" w:rsidP="00391D38">
      <w:pPr>
        <w:numPr>
          <w:ilvl w:val="0"/>
          <w:numId w:val="159"/>
        </w:numPr>
        <w:spacing w:before="120"/>
        <w:ind w:left="1980" w:hanging="540"/>
        <w:contextualSpacing/>
        <w:jc w:val="both"/>
        <w:rPr>
          <w:lang w:val="pt-BR"/>
        </w:rPr>
      </w:pPr>
      <w:r w:rsidRPr="00C71DAC">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rsidR="00391D38" w:rsidRPr="00C71DAC" w:rsidRDefault="00391D38" w:rsidP="00391D38">
      <w:pPr>
        <w:numPr>
          <w:ilvl w:val="0"/>
          <w:numId w:val="159"/>
        </w:numPr>
        <w:spacing w:before="120"/>
        <w:ind w:left="1980" w:hanging="540"/>
        <w:contextualSpacing/>
        <w:jc w:val="both"/>
        <w:rPr>
          <w:lang w:val="pt-BR"/>
        </w:rPr>
      </w:pPr>
      <w:r w:rsidRPr="00C71DAC">
        <w:rPr>
          <w:rFonts w:cs="Tahoma"/>
          <w:snapToGrid w:val="0"/>
          <w:color w:val="000000"/>
          <w:szCs w:val="18"/>
          <w:lang w:val="pt-BR"/>
        </w:rPr>
        <w:t>seja decorrente da violação dos termos da Política de Uso Aceitável, descrita nos Direitos de Uso do Produto.</w:t>
      </w:r>
    </w:p>
    <w:p w:rsidR="00391D38" w:rsidRPr="00C71DAC" w:rsidRDefault="00391D38" w:rsidP="00391D38">
      <w:pPr>
        <w:spacing w:before="120"/>
        <w:ind w:left="1440"/>
        <w:jc w:val="both"/>
        <w:rPr>
          <w:lang w:val="pt-BR"/>
        </w:rPr>
      </w:pPr>
      <w:r w:rsidRPr="00C71DAC">
        <w:rPr>
          <w:rFonts w:cs="Tahoma"/>
          <w:snapToGrid w:val="0"/>
          <w:color w:val="000000"/>
          <w:szCs w:val="18"/>
          <w:lang w:val="pt-BR"/>
        </w:rPr>
        <w:t>O Cliente deverá pagar o valor resultante de qualquer decisão judicial desfavorável transitada em julgado (ou acordo ratificado pelo cliente).</w:t>
      </w:r>
      <w:r w:rsidR="005A52A2" w:rsidRPr="00C71DAC">
        <w:rPr>
          <w:rFonts w:cs="Tahoma"/>
          <w:snapToGrid w:val="0"/>
          <w:color w:val="000000"/>
          <w:szCs w:val="18"/>
          <w:lang w:val="pt-BR"/>
        </w:rPr>
        <w:t xml:space="preserve"> </w:t>
      </w:r>
      <w:r w:rsidRPr="00C71DAC">
        <w:rPr>
          <w:rFonts w:cs="Tahoma"/>
          <w:snapToGrid w:val="0"/>
          <w:color w:val="000000"/>
          <w:szCs w:val="18"/>
          <w:lang w:val="pt-BR"/>
        </w:rPr>
        <w:t>A presente seção estabelece o recurso exclusivo disponível da Microsoft para esses requerimentos judiciais ou extrajudiciais.</w:t>
      </w:r>
    </w:p>
    <w:p w:rsidR="00391D38" w:rsidRPr="00C71DAC" w:rsidRDefault="00391D38" w:rsidP="00391D38">
      <w:pPr>
        <w:spacing w:before="120"/>
        <w:ind w:left="1440"/>
        <w:jc w:val="both"/>
        <w:rPr>
          <w:lang w:val="pt-BR"/>
        </w:rPr>
      </w:pPr>
      <w:r w:rsidRPr="00C71DAC">
        <w:rPr>
          <w:rFonts w:cs="Tahoma"/>
          <w:snapToGrid w:val="0"/>
          <w:color w:val="000000"/>
          <w:szCs w:val="18"/>
          <w:lang w:val="pt-BR"/>
        </w:rPr>
        <w:t>A Microsoft deverá notificar imediatamente o cliente por escrito sobre um requerimento judicial ou extrajudicial sujeito a esta seção.</w:t>
      </w:r>
      <w:r w:rsidR="005A52A2" w:rsidRPr="00C71DAC">
        <w:rPr>
          <w:rFonts w:cs="Tahoma"/>
          <w:snapToGrid w:val="0"/>
          <w:color w:val="000000"/>
          <w:szCs w:val="18"/>
          <w:lang w:val="pt-BR"/>
        </w:rPr>
        <w:t xml:space="preserve"> </w:t>
      </w:r>
      <w:r w:rsidRPr="00C71DAC">
        <w:rPr>
          <w:rFonts w:cs="Tahoma"/>
          <w:snapToGrid w:val="0"/>
          <w:color w:val="000000"/>
          <w:szCs w:val="18"/>
          <w:lang w:val="pt-BR"/>
        </w:rPr>
        <w:t>A Microsoft (1) fornecerá ao cliente controle exclusivo de sua defesa ou acordo referente a tal requerimento e (2) fornecerá assistência razoável na defesa do requerimento. O cliente reembolsará a Microsoft por qualquer despesa razoável incorrida na prestação dessa assistência.</w:t>
      </w:r>
    </w:p>
    <w:p w:rsidR="00391D38" w:rsidRPr="00C71DAC" w:rsidRDefault="00391D38" w:rsidP="007E466C">
      <w:pPr>
        <w:keepNext/>
        <w:spacing w:before="120" w:after="60"/>
        <w:ind w:left="1440"/>
        <w:outlineLvl w:val="0"/>
        <w:rPr>
          <w:lang w:val="pt-BR"/>
        </w:rPr>
      </w:pPr>
      <w:r w:rsidRPr="00C71DAC">
        <w:rPr>
          <w:rFonts w:cs="Tahoma"/>
          <w:b/>
          <w:bCs/>
          <w:iCs/>
          <w:snapToGrid w:val="0"/>
          <w:szCs w:val="18"/>
          <w:lang w:val="pt-BR"/>
        </w:rPr>
        <w:t>Limitação de responsabilidade.</w:t>
      </w:r>
    </w:p>
    <w:p w:rsidR="00391D38" w:rsidRPr="00653421" w:rsidRDefault="00391D38" w:rsidP="007E466C">
      <w:pPr>
        <w:ind w:left="1440"/>
        <w:jc w:val="both"/>
      </w:pPr>
      <w:r w:rsidRPr="00C71DAC">
        <w:rPr>
          <w:rFonts w:cs="Tahoma"/>
          <w:snapToGrid w:val="0"/>
          <w:color w:val="000000"/>
          <w:szCs w:val="18"/>
          <w:lang w:val="pt-BR"/>
        </w:rPr>
        <w:t>Na extensão permitida pela lei aplicável, a obrigação de cada parte, suas Afiliadas e seus Prestadores de Serviços decorrentes da conexão com o Serviço Online está limitada aos danos diretos até o valor que o cliente pagou pelos Serviços Online que originaram essa obrigação durante os 12 meses anteriores.</w:t>
      </w:r>
      <w:r w:rsidR="005A52A2" w:rsidRPr="00C71DAC">
        <w:rPr>
          <w:rFonts w:cs="Tahoma"/>
          <w:snapToGrid w:val="0"/>
          <w:color w:val="000000"/>
          <w:szCs w:val="18"/>
          <w:lang w:val="pt-BR"/>
        </w:rPr>
        <w:t xml:space="preserve"> </w:t>
      </w:r>
      <w:r w:rsidRPr="00C71DAC">
        <w:rPr>
          <w:rFonts w:cs="Tahoma"/>
          <w:snapToGrid w:val="0"/>
          <w:color w:val="000000"/>
          <w:szCs w:val="18"/>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5A52A2" w:rsidRPr="00C71DAC">
        <w:rPr>
          <w:rFonts w:cs="Tahoma"/>
          <w:snapToGrid w:val="0"/>
          <w:color w:val="000000"/>
          <w:szCs w:val="18"/>
          <w:lang w:val="pt-BR"/>
        </w:rPr>
        <w:t xml:space="preserve"> </w:t>
      </w:r>
      <w:r w:rsidRPr="00653421">
        <w:rPr>
          <w:rFonts w:cs="Tahoma"/>
          <w:snapToGrid w:val="0"/>
          <w:color w:val="000000"/>
          <w:szCs w:val="18"/>
        </w:rPr>
        <w:t>No entanto, essas limitações monetárias não se aplicarão a:</w:t>
      </w:r>
    </w:p>
    <w:p w:rsidR="00391D38" w:rsidRPr="00C71DAC" w:rsidRDefault="00391D38" w:rsidP="00391D38">
      <w:pPr>
        <w:numPr>
          <w:ilvl w:val="0"/>
          <w:numId w:val="154"/>
        </w:numPr>
        <w:spacing w:before="120"/>
        <w:ind w:left="1890" w:hanging="450"/>
        <w:contextualSpacing/>
        <w:jc w:val="both"/>
        <w:rPr>
          <w:lang w:val="pt-BR"/>
        </w:rPr>
      </w:pPr>
      <w:r w:rsidRPr="00C71DAC">
        <w:rPr>
          <w:rFonts w:cs="Tahoma"/>
          <w:snapToGrid w:val="0"/>
          <w:color w:val="000000"/>
          <w:szCs w:val="18"/>
          <w:lang w:val="pt-BR"/>
        </w:rPr>
        <w:t xml:space="preserve">obrigações da Microsoft de acordo com a seção do Master Agreement intitulada </w:t>
      </w:r>
      <w:r w:rsidR="00C133AB" w:rsidRPr="00C71DAC">
        <w:rPr>
          <w:rFonts w:cs="Tahoma"/>
          <w:snapToGrid w:val="0"/>
          <w:color w:val="000000"/>
          <w:szCs w:val="18"/>
          <w:lang w:val="pt-BR"/>
        </w:rPr>
        <w:t>“</w:t>
      </w:r>
      <w:r w:rsidRPr="00C71DAC">
        <w:rPr>
          <w:rFonts w:cs="Tahoma"/>
          <w:snapToGrid w:val="0"/>
          <w:color w:val="000000"/>
          <w:szCs w:val="18"/>
          <w:lang w:val="pt-BR"/>
        </w:rPr>
        <w:t>Defesa contra violação, apropriação indébita e requerimentos judiciais ou extrajudiciais de terceiros</w:t>
      </w:r>
      <w:r w:rsidR="00C133AB" w:rsidRPr="00C71DAC">
        <w:rPr>
          <w:rFonts w:cs="Tahoma"/>
          <w:snapToGrid w:val="0"/>
          <w:color w:val="000000"/>
          <w:szCs w:val="18"/>
          <w:lang w:val="pt-BR"/>
        </w:rPr>
        <w:t>”</w:t>
      </w:r>
      <w:r w:rsidRPr="00C71DAC">
        <w:rPr>
          <w:rFonts w:cs="Tahoma"/>
          <w:snapToGrid w:val="0"/>
          <w:color w:val="000000"/>
          <w:szCs w:val="18"/>
          <w:lang w:val="pt-BR"/>
        </w:rPr>
        <w:t xml:space="preserve"> ou obrigações do cliente de acordo com a seção dos Termos Complementares intitulada “Compromisso de proteção do cliente”;</w:t>
      </w:r>
    </w:p>
    <w:p w:rsidR="00391D38" w:rsidRPr="00C71DAC" w:rsidRDefault="00391D38" w:rsidP="00391D38">
      <w:pPr>
        <w:numPr>
          <w:ilvl w:val="0"/>
          <w:numId w:val="154"/>
        </w:numPr>
        <w:spacing w:before="120"/>
        <w:ind w:left="1890" w:hanging="450"/>
        <w:contextualSpacing/>
        <w:jc w:val="both"/>
        <w:rPr>
          <w:lang w:val="pt-BR"/>
        </w:rPr>
      </w:pPr>
      <w:r w:rsidRPr="00C71DAC">
        <w:rPr>
          <w:rFonts w:cs="Tahoma"/>
          <w:snapToGrid w:val="0"/>
          <w:color w:val="000000"/>
          <w:szCs w:val="18"/>
          <w:lang w:val="pt-BR"/>
        </w:rPr>
        <w:t>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w:t>
      </w:r>
      <w:r w:rsidR="00792983" w:rsidRPr="00C71DAC">
        <w:rPr>
          <w:rFonts w:cs="Tahoma"/>
          <w:snapToGrid w:val="0"/>
          <w:color w:val="000000"/>
          <w:szCs w:val="18"/>
          <w:lang w:val="pt-BR"/>
        </w:rPr>
        <w:t> </w:t>
      </w:r>
      <w:r w:rsidRPr="00C71DAC">
        <w:rPr>
          <w:rFonts w:cs="Tahoma"/>
          <w:snapToGrid w:val="0"/>
          <w:color w:val="000000"/>
          <w:szCs w:val="18"/>
          <w:lang w:val="pt-BR"/>
        </w:rPr>
        <w:t xml:space="preserve">meses anteriores e </w:t>
      </w:r>
    </w:p>
    <w:p w:rsidR="00391D38" w:rsidRPr="00C71DAC" w:rsidRDefault="00391D38" w:rsidP="00391D38">
      <w:pPr>
        <w:numPr>
          <w:ilvl w:val="0"/>
          <w:numId w:val="154"/>
        </w:numPr>
        <w:spacing w:before="120"/>
        <w:ind w:left="1890" w:hanging="450"/>
        <w:contextualSpacing/>
        <w:jc w:val="both"/>
        <w:rPr>
          <w:lang w:val="pt-BR"/>
        </w:rPr>
      </w:pPr>
      <w:r w:rsidRPr="00C71DAC">
        <w:rPr>
          <w:rFonts w:cs="Tahoma"/>
          <w:snapToGrid w:val="0"/>
          <w:color w:val="000000"/>
          <w:szCs w:val="18"/>
          <w:lang w:val="pt-BR"/>
        </w:rPr>
        <w:t>violação por uma parte dos direitos de propriedade intelectual da outra parte.</w:t>
      </w:r>
    </w:p>
    <w:p w:rsidR="00391D38" w:rsidRPr="00C71DAC" w:rsidRDefault="00391D38" w:rsidP="00391D38">
      <w:pPr>
        <w:spacing w:before="120"/>
        <w:ind w:left="1440"/>
        <w:jc w:val="both"/>
        <w:rPr>
          <w:lang w:val="pt-BR"/>
        </w:rPr>
      </w:pPr>
      <w:r w:rsidRPr="00C71DAC">
        <w:rPr>
          <w:rFonts w:cs="Tahoma"/>
          <w:b/>
          <w:bCs/>
          <w:snapToGrid w:val="0"/>
          <w:color w:val="000000"/>
          <w:szCs w:val="18"/>
          <w:lang w:val="pt-BR"/>
        </w:rP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5A52A2" w:rsidRPr="00C71DAC">
        <w:rPr>
          <w:rFonts w:cs="Tahoma"/>
          <w:b/>
          <w:bCs/>
          <w:snapToGrid w:val="0"/>
          <w:color w:val="000000"/>
          <w:szCs w:val="18"/>
          <w:lang w:val="pt-BR"/>
        </w:rPr>
        <w:t xml:space="preserve"> </w:t>
      </w:r>
      <w:r w:rsidRPr="00C71DAC">
        <w:rPr>
          <w:rFonts w:cs="Tahoma"/>
          <w:b/>
          <w:bCs/>
          <w:snapToGrid w:val="0"/>
          <w:color w:val="000000"/>
          <w:szCs w:val="18"/>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C133AB" w:rsidRPr="00C71DAC">
        <w:rPr>
          <w:rFonts w:cs="Tahoma"/>
          <w:b/>
          <w:bCs/>
          <w:snapToGrid w:val="0"/>
          <w:color w:val="000000"/>
          <w:szCs w:val="18"/>
          <w:lang w:val="pt-BR"/>
        </w:rPr>
        <w:t>“</w:t>
      </w:r>
      <w:r w:rsidRPr="00C71DAC">
        <w:rPr>
          <w:rFonts w:cs="Tahoma"/>
          <w:b/>
          <w:bCs/>
          <w:snapToGrid w:val="0"/>
          <w:color w:val="000000"/>
          <w:szCs w:val="18"/>
          <w:lang w:val="pt-BR"/>
        </w:rPr>
        <w:t>DEFESA CONTRA VIOLAÇÃO, APROPRIAÇÃO INDÉBITA E REQUERIMENTOS JUDICIAIS OU EXTRAJUDICIAIS DE TERCEIROS</w:t>
      </w:r>
      <w:r w:rsidR="00C133AB" w:rsidRPr="00C71DAC">
        <w:rPr>
          <w:rFonts w:cs="Tahoma"/>
          <w:b/>
          <w:bCs/>
          <w:snapToGrid w:val="0"/>
          <w:color w:val="000000"/>
          <w:szCs w:val="18"/>
          <w:lang w:val="pt-BR"/>
        </w:rPr>
        <w:t>”</w:t>
      </w:r>
      <w:r w:rsidRPr="00C71DAC">
        <w:rPr>
          <w:rFonts w:cs="Tahoma"/>
          <w:b/>
          <w:bCs/>
          <w:snapToGrid w:val="0"/>
          <w:color w:val="000000"/>
          <w:szCs w:val="18"/>
          <w:lang w:val="pt-BR"/>
        </w:rPr>
        <w:t xml:space="preserve"> OU OBRIGAÇÕES DO </w:t>
      </w:r>
      <w:r w:rsidRPr="00C71DAC">
        <w:rPr>
          <w:rFonts w:cs="Tahoma"/>
          <w:b/>
          <w:bCs/>
          <w:snapToGrid w:val="0"/>
          <w:color w:val="000000"/>
          <w:szCs w:val="18"/>
          <w:lang w:val="pt-BR"/>
        </w:rPr>
        <w:lastRenderedPageBreak/>
        <w:t xml:space="preserve">CLIENTE DE ACORDO COM A SEÇÃO DOS TERMOS COMPLEMENTARES INTITULADA </w:t>
      </w:r>
      <w:r w:rsidR="00C133AB" w:rsidRPr="00C71DAC">
        <w:rPr>
          <w:rFonts w:cs="Tahoma"/>
          <w:b/>
          <w:bCs/>
          <w:snapToGrid w:val="0"/>
          <w:color w:val="000000"/>
          <w:szCs w:val="18"/>
          <w:lang w:val="pt-BR"/>
        </w:rPr>
        <w:t>“</w:t>
      </w:r>
      <w:r w:rsidRPr="00C71DAC">
        <w:rPr>
          <w:rFonts w:cs="Tahoma"/>
          <w:b/>
          <w:bCs/>
          <w:snapToGrid w:val="0"/>
          <w:color w:val="000000"/>
          <w:szCs w:val="18"/>
          <w:lang w:val="pt-BR"/>
        </w:rPr>
        <w:t>COMPROMISSO DE PROTEÇÃO DO CLIENTE</w:t>
      </w:r>
      <w:r w:rsidR="00C133AB" w:rsidRPr="00C71DAC">
        <w:rPr>
          <w:rFonts w:cs="Tahoma"/>
          <w:b/>
          <w:bCs/>
          <w:snapToGrid w:val="0"/>
          <w:color w:val="000000"/>
          <w:szCs w:val="18"/>
          <w:lang w:val="pt-BR"/>
        </w:rPr>
        <w:t>”</w:t>
      </w:r>
      <w:r w:rsidRPr="00C71DAC">
        <w:rPr>
          <w:rFonts w:cs="Tahoma"/>
          <w:b/>
          <w:bCs/>
          <w:snapToGrid w:val="0"/>
          <w:color w:val="000000"/>
          <w:szCs w:val="18"/>
          <w:lang w:val="pt-BR"/>
        </w:rPr>
        <w:t>.</w:t>
      </w:r>
    </w:p>
    <w:p w:rsidR="00391D38" w:rsidRPr="00C71DAC" w:rsidRDefault="00391D38" w:rsidP="007E466C">
      <w:pPr>
        <w:keepNext/>
        <w:spacing w:before="120" w:after="60"/>
        <w:ind w:left="1440"/>
        <w:outlineLvl w:val="0"/>
        <w:rPr>
          <w:lang w:val="pt-BR"/>
        </w:rPr>
      </w:pPr>
      <w:r w:rsidRPr="00C71DAC">
        <w:rPr>
          <w:rFonts w:cs="Tahoma"/>
          <w:b/>
          <w:bCs/>
          <w:iCs/>
          <w:snapToGrid w:val="0"/>
          <w:szCs w:val="18"/>
          <w:lang w:val="pt-BR"/>
        </w:rPr>
        <w:t>Subcontratados.</w:t>
      </w:r>
    </w:p>
    <w:p w:rsidR="00391D38" w:rsidRPr="00C71DAC" w:rsidRDefault="00391D38" w:rsidP="00391D38">
      <w:pPr>
        <w:ind w:left="1440"/>
        <w:rPr>
          <w:lang w:val="pt-BR"/>
        </w:rPr>
      </w:pPr>
      <w:r w:rsidRPr="00C71DAC">
        <w:rPr>
          <w:rFonts w:cs="Tahoma"/>
          <w:snapToGrid w:val="0"/>
          <w:szCs w:val="18"/>
          <w:lang w:val="pt-BR"/>
        </w:rPr>
        <w:t>A Microsoft usará Prestadores de Serviços para dar suporte aos Serviços Online.</w:t>
      </w:r>
      <w:r w:rsidR="005A52A2" w:rsidRPr="00C71DAC">
        <w:rPr>
          <w:rFonts w:cs="Tahoma"/>
          <w:snapToGrid w:val="0"/>
          <w:szCs w:val="18"/>
          <w:lang w:val="pt-BR"/>
        </w:rPr>
        <w:t xml:space="preserve"> </w:t>
      </w:r>
      <w:r w:rsidRPr="00C71DAC">
        <w:rPr>
          <w:rFonts w:cs="Tahoma"/>
          <w:snapToGrid w:val="0"/>
          <w:szCs w:val="18"/>
          <w:lang w:val="pt-BR"/>
        </w:rPr>
        <w:t>A Microsoft se responsabiliza pelo desempenho deles, sujeitos aos termos do contrato de Licenciamento por Volume do Cliente</w:t>
      </w:r>
    </w:p>
    <w:p w:rsidR="00391D38" w:rsidRPr="00C71DAC" w:rsidRDefault="00391D38" w:rsidP="0084072C">
      <w:pPr>
        <w:ind w:left="720"/>
        <w:rPr>
          <w:lang w:val="pt-BR"/>
        </w:rPr>
      </w:pPr>
    </w:p>
    <w:p w:rsidR="005D1A15" w:rsidRPr="00C71DAC" w:rsidRDefault="005D1A15" w:rsidP="005D1A15">
      <w:pPr>
        <w:spacing w:after="60"/>
        <w:ind w:left="720"/>
        <w:rPr>
          <w:lang w:val="pt-BR"/>
        </w:rPr>
      </w:pPr>
      <w:r w:rsidRPr="00C71DAC">
        <w:rPr>
          <w:rFonts w:cs="Tahoma"/>
          <w:b/>
          <w:color w:val="000000"/>
          <w:szCs w:val="20"/>
          <w:lang w:val="pt-BR"/>
        </w:rPr>
        <w:t>Direitos de Adequação (“True-up”)</w:t>
      </w:r>
    </w:p>
    <w:p w:rsidR="005D1A15" w:rsidRPr="00C71DAC" w:rsidRDefault="005D1A15" w:rsidP="005D1A15">
      <w:pPr>
        <w:spacing w:after="60"/>
        <w:ind w:left="720"/>
        <w:rPr>
          <w:spacing w:val="-2"/>
          <w:lang w:val="pt-BR"/>
        </w:rPr>
      </w:pPr>
      <w:r w:rsidRPr="00C71DAC">
        <w:rPr>
          <w:rFonts w:cs="Tahoma"/>
          <w:color w:val="000000"/>
          <w:spacing w:val="-2"/>
          <w:szCs w:val="20"/>
          <w:lang w:val="pt-BR"/>
        </w:rPr>
        <w:t>Não obstante qualquer outra disposição em contrário nos Direitos de Uso do Produto para Forefront Unified</w:t>
      </w:r>
      <w:r w:rsidR="00792983" w:rsidRPr="00C71DAC">
        <w:rPr>
          <w:rFonts w:cs="Tahoma"/>
          <w:color w:val="000000"/>
          <w:spacing w:val="-2"/>
          <w:szCs w:val="20"/>
          <w:lang w:val="pt-BR"/>
        </w:rPr>
        <w:t> </w:t>
      </w:r>
      <w:r w:rsidRPr="00C71DAC">
        <w:rPr>
          <w:rFonts w:cs="Tahoma"/>
          <w:color w:val="000000"/>
          <w:spacing w:val="-2"/>
          <w:szCs w:val="20"/>
          <w:lang w:val="pt-BR"/>
        </w:rPr>
        <w:t>Access Gateway 2010 a partir de 1º de dezembro de 2012 para Clientes Qualificados, as licenças do</w:t>
      </w:r>
      <w:r w:rsidR="00792983" w:rsidRPr="00C71DAC">
        <w:rPr>
          <w:rFonts w:cs="Tahoma"/>
          <w:color w:val="000000"/>
          <w:spacing w:val="-2"/>
          <w:szCs w:val="20"/>
          <w:lang w:val="pt-BR"/>
        </w:rPr>
        <w:t> </w:t>
      </w:r>
      <w:r w:rsidRPr="00C71DAC">
        <w:rPr>
          <w:rFonts w:cs="Tahoma"/>
          <w:color w:val="000000"/>
          <w:spacing w:val="-2"/>
          <w:szCs w:val="20"/>
          <w:lang w:val="pt-BR"/>
        </w:rPr>
        <w:t>Pacote de CALs Empresariais adquiridas sob os direitos de true-up depois de 1º de dezembro de 2012 permitem o acesso ao Forefront Unified Access Gateway 2010. “Clientes Qualificados” são clientes do Registro Enterprise ou do Registro Enterprise Subscription, Open Value Subscription (OVS) ou Enrollment for</w:t>
      </w:r>
      <w:r w:rsidR="00792983" w:rsidRPr="00C71DAC">
        <w:rPr>
          <w:rFonts w:cs="Tahoma"/>
          <w:color w:val="000000"/>
          <w:spacing w:val="-2"/>
          <w:szCs w:val="20"/>
          <w:lang w:val="pt-BR"/>
        </w:rPr>
        <w:t> </w:t>
      </w:r>
      <w:r w:rsidRPr="00C71DAC">
        <w:rPr>
          <w:rFonts w:cs="Tahoma"/>
          <w:color w:val="000000"/>
          <w:spacing w:val="-2"/>
          <w:szCs w:val="20"/>
          <w:lang w:val="pt-BR"/>
        </w:rPr>
        <w:t>Education Solutions que adquiriram primeiro o Pacote de CALs Empresariais antes de 1º de dezembro de</w:t>
      </w:r>
      <w:r w:rsidR="00792983" w:rsidRPr="00C71DAC">
        <w:rPr>
          <w:rFonts w:cs="Tahoma"/>
          <w:color w:val="000000"/>
          <w:spacing w:val="-2"/>
          <w:szCs w:val="20"/>
          <w:lang w:val="pt-BR"/>
        </w:rPr>
        <w:t> </w:t>
      </w:r>
      <w:r w:rsidRPr="00C71DAC">
        <w:rPr>
          <w:rFonts w:cs="Tahoma"/>
          <w:color w:val="000000"/>
          <w:spacing w:val="-2"/>
          <w:szCs w:val="20"/>
          <w:lang w:val="pt-BR"/>
        </w:rPr>
        <w:t>2012 e que têm o direito sob o mesmo registro ou prazo de contrato do OVS de adquirir licenças adicionais depois de 1º de dezembro de 2012 mediante adequação (“true-up”).</w:t>
      </w:r>
      <w:r w:rsidR="005A52A2" w:rsidRPr="00C71DAC">
        <w:rPr>
          <w:rFonts w:cs="Tahoma"/>
          <w:color w:val="000000"/>
          <w:spacing w:val="-2"/>
          <w:szCs w:val="20"/>
          <w:lang w:val="pt-BR"/>
        </w:rPr>
        <w:t xml:space="preserve"> </w:t>
      </w:r>
      <w:r w:rsidRPr="00C71DAC">
        <w:rPr>
          <w:rFonts w:cs="Tahoma"/>
          <w:color w:val="000000"/>
          <w:spacing w:val="-2"/>
          <w:szCs w:val="20"/>
          <w:lang w:val="pt-BR"/>
        </w:rPr>
        <w:t>Essa exceção se aplica somente a licenças adquiridas sob os direitos de adequação (“true-up”) antes da primeira renovação do</w:t>
      </w:r>
      <w:r w:rsidR="00792983" w:rsidRPr="00C71DAC">
        <w:rPr>
          <w:rFonts w:cs="Tahoma"/>
          <w:color w:val="000000"/>
          <w:spacing w:val="-2"/>
          <w:szCs w:val="20"/>
          <w:lang w:val="pt-BR"/>
        </w:rPr>
        <w:t> </w:t>
      </w:r>
      <w:r w:rsidRPr="00C71DAC">
        <w:rPr>
          <w:rFonts w:cs="Tahoma"/>
          <w:color w:val="000000"/>
          <w:spacing w:val="-2"/>
          <w:szCs w:val="20"/>
          <w:lang w:val="pt-BR"/>
        </w:rPr>
        <w:t>Cliente Qualificado após 1º de dezembro de 2012. Consulte a seção “Direitos de Uso Estendidos para</w:t>
      </w:r>
      <w:r w:rsidR="00792983" w:rsidRPr="00C71DAC">
        <w:rPr>
          <w:rFonts w:cs="Tahoma"/>
          <w:color w:val="000000"/>
          <w:spacing w:val="-2"/>
          <w:szCs w:val="20"/>
          <w:lang w:val="pt-BR"/>
        </w:rPr>
        <w:t> </w:t>
      </w:r>
      <w:r w:rsidRPr="00C71DAC">
        <w:rPr>
          <w:rFonts w:cs="Tahoma"/>
          <w:color w:val="000000"/>
          <w:spacing w:val="-2"/>
          <w:szCs w:val="20"/>
          <w:lang w:val="pt-BR"/>
        </w:rPr>
        <w:t>produtos Forefront” abaixo para obter os direitos de uso estendidos sob o Pacote de CALs Empresariais</w:t>
      </w:r>
      <w:r w:rsidR="00792983" w:rsidRPr="00C71DAC">
        <w:rPr>
          <w:rFonts w:cs="Tahoma"/>
          <w:color w:val="000000"/>
          <w:spacing w:val="-2"/>
          <w:szCs w:val="20"/>
          <w:lang w:val="pt-BR"/>
        </w:rPr>
        <w:t> </w:t>
      </w:r>
      <w:r w:rsidRPr="00C71DAC">
        <w:rPr>
          <w:rFonts w:cs="Tahoma"/>
          <w:color w:val="000000"/>
          <w:spacing w:val="-2"/>
          <w:szCs w:val="20"/>
          <w:lang w:val="pt-BR"/>
        </w:rPr>
        <w:t>para componentes do Forefront Protection Suite (parte do Pacote de CALs Empresariais até</w:t>
      </w:r>
      <w:r w:rsidR="00792983" w:rsidRPr="00C71DAC">
        <w:rPr>
          <w:rFonts w:cs="Tahoma"/>
          <w:color w:val="000000"/>
          <w:spacing w:val="-2"/>
          <w:szCs w:val="20"/>
          <w:lang w:val="pt-BR"/>
        </w:rPr>
        <w:t> </w:t>
      </w:r>
      <w:r w:rsidRPr="00C71DAC">
        <w:rPr>
          <w:rFonts w:cs="Tahoma"/>
          <w:color w:val="000000"/>
          <w:spacing w:val="-2"/>
          <w:szCs w:val="20"/>
          <w:lang w:val="pt-BR"/>
        </w:rPr>
        <w:t>30</w:t>
      </w:r>
      <w:r w:rsidR="00792983" w:rsidRPr="00C71DAC">
        <w:rPr>
          <w:rFonts w:cs="Tahoma"/>
          <w:color w:val="000000"/>
          <w:spacing w:val="-2"/>
          <w:szCs w:val="20"/>
          <w:lang w:val="pt-BR"/>
        </w:rPr>
        <w:t> </w:t>
      </w:r>
      <w:r w:rsidRPr="00C71DAC">
        <w:rPr>
          <w:rFonts w:cs="Tahoma"/>
          <w:color w:val="000000"/>
          <w:spacing w:val="-2"/>
          <w:szCs w:val="20"/>
          <w:lang w:val="pt-BR"/>
        </w:rPr>
        <w:t>de novembro de 2012).</w:t>
      </w:r>
    </w:p>
    <w:p w:rsidR="005D1A15" w:rsidRPr="00C71DAC" w:rsidRDefault="005D1A15" w:rsidP="005D1A15">
      <w:pPr>
        <w:spacing w:before="120" w:after="60"/>
        <w:ind w:left="720"/>
        <w:rPr>
          <w:lang w:val="pt-BR"/>
        </w:rPr>
      </w:pPr>
      <w:r w:rsidRPr="00C71DAC">
        <w:rPr>
          <w:rFonts w:cs="Tahoma"/>
          <w:color w:val="000000"/>
          <w:szCs w:val="20"/>
          <w:lang w:val="pt-BR"/>
        </w:rPr>
        <w:t>Renovando o Software Assurance para Forefront Unified Access Gateway fora do Pacote de CALs Empresariais Os clientes licenciados a usar as licenças do Forefront Unified Access Gateway sob o Pacote de</w:t>
      </w:r>
      <w:r w:rsidR="00792983" w:rsidRPr="00C71DAC">
        <w:rPr>
          <w:rFonts w:cs="Tahoma"/>
          <w:color w:val="000000"/>
          <w:szCs w:val="20"/>
          <w:lang w:val="pt-BR"/>
        </w:rPr>
        <w:t> </w:t>
      </w:r>
      <w:r w:rsidRPr="00C71DAC">
        <w:rPr>
          <w:rFonts w:cs="Tahoma"/>
          <w:color w:val="000000"/>
          <w:szCs w:val="20"/>
          <w:lang w:val="pt-BR"/>
        </w:rPr>
        <w:t>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 Forefront Unified Access Gateway é válida para uma série de licenças até o número total de licenças do Pacote de CALs Empresariais com Software Assurance imediatamente antes da renovação.</w:t>
      </w:r>
    </w:p>
    <w:p w:rsidR="005D1A15" w:rsidRPr="00C71DAC" w:rsidRDefault="005D1A15" w:rsidP="001A7718">
      <w:pPr>
        <w:ind w:left="720"/>
        <w:rPr>
          <w:lang w:val="pt-BR"/>
        </w:rPr>
      </w:pPr>
    </w:p>
    <w:p w:rsidR="004E3869" w:rsidRPr="00C71DAC" w:rsidRDefault="00A2724A" w:rsidP="0084072C">
      <w:pPr>
        <w:spacing w:after="60"/>
        <w:ind w:left="720"/>
        <w:rPr>
          <w:lang w:val="pt-BR"/>
        </w:rPr>
      </w:pPr>
      <w:r w:rsidRPr="00C71DAC">
        <w:rPr>
          <w:rFonts w:cs="Tahoma"/>
          <w:b/>
          <w:color w:val="000000"/>
          <w:szCs w:val="20"/>
          <w:lang w:val="pt-BR"/>
        </w:rPr>
        <w:t>Direitos de Uso Estendido para produtos Forefront</w:t>
      </w:r>
    </w:p>
    <w:p w:rsidR="00C349AE" w:rsidRPr="00C71DAC" w:rsidRDefault="00793CBD" w:rsidP="0084072C">
      <w:pPr>
        <w:ind w:left="720"/>
        <w:rPr>
          <w:lang w:val="pt-BR"/>
        </w:rPr>
      </w:pPr>
      <w:r w:rsidRPr="00C71DAC">
        <w:rPr>
          <w:rFonts w:cs="Tahoma"/>
          <w:bCs/>
          <w:color w:val="000000"/>
          <w:szCs w:val="18"/>
          <w:lang w:val="pt-BR"/>
        </w:rPr>
        <w:t>Os Clientes com cobertura do Software Assurance ativa para o Pacote de CALs Empresariais a partir de 30</w:t>
      </w:r>
      <w:r w:rsidR="00792983" w:rsidRPr="00C71DAC">
        <w:rPr>
          <w:rFonts w:cs="Tahoma"/>
          <w:bCs/>
          <w:color w:val="000000"/>
          <w:szCs w:val="18"/>
          <w:lang w:val="pt-BR"/>
        </w:rPr>
        <w:t> </w:t>
      </w:r>
      <w:r w:rsidRPr="00C71DAC">
        <w:rPr>
          <w:rFonts w:cs="Tahoma"/>
          <w:bCs/>
          <w:color w:val="000000"/>
          <w:szCs w:val="18"/>
          <w:lang w:val="pt-BR"/>
        </w:rPr>
        <w:t>de novembro de 2012 podem continuar usando os serviços de componentes do Forefront Protection Suite (anteriormente parte do Pacote de CALs Empresariais) até o término e/ou renovação desta cobertura.</w:t>
      </w:r>
      <w:r w:rsidR="005A52A2" w:rsidRPr="00C71DAC">
        <w:rPr>
          <w:rFonts w:cs="Tahoma"/>
          <w:bCs/>
          <w:color w:val="000000"/>
          <w:szCs w:val="18"/>
          <w:lang w:val="pt-BR"/>
        </w:rPr>
        <w:t xml:space="preserve"> </w:t>
      </w:r>
      <w:r w:rsidRPr="00C71DAC">
        <w:rPr>
          <w:rFonts w:cs="Tahoma"/>
          <w:bCs/>
          <w:color w:val="000000"/>
          <w:szCs w:val="18"/>
          <w:lang w:val="pt-BR"/>
        </w:rPr>
        <w:t xml:space="preserve">Esses clientes também podem continuar a usar os componentes do </w:t>
      </w:r>
      <w:r w:rsidRPr="00C71DAC">
        <w:rPr>
          <w:rFonts w:cs="Tahoma"/>
          <w:color w:val="000000"/>
          <w:szCs w:val="20"/>
          <w:lang w:val="pt-BR"/>
        </w:rPr>
        <w:t xml:space="preserve">Forefront para Office Communications Server, Forefront Protection 2010 para Exchange Server, Forefront Threat Management Gateway Web Protection Service e Forefront Protection 2010 para SharePoint Server </w:t>
      </w:r>
      <w:r w:rsidRPr="00C71DAC">
        <w:rPr>
          <w:rFonts w:cs="Tahoma"/>
          <w:bCs/>
          <w:color w:val="000000"/>
          <w:szCs w:val="18"/>
          <w:lang w:val="pt-BR"/>
        </w:rPr>
        <w:t>do pacote até 31 de dezembro de</w:t>
      </w:r>
      <w:r w:rsidR="00392523" w:rsidRPr="00C71DAC">
        <w:rPr>
          <w:rFonts w:cs="Tahoma"/>
          <w:bCs/>
          <w:color w:val="000000"/>
          <w:szCs w:val="18"/>
          <w:lang w:val="pt-BR"/>
        </w:rPr>
        <w:t> </w:t>
      </w:r>
      <w:r w:rsidRPr="00C71DAC">
        <w:rPr>
          <w:rFonts w:cs="Tahoma"/>
          <w:bCs/>
          <w:color w:val="000000"/>
          <w:szCs w:val="18"/>
          <w:lang w:val="pt-BR"/>
        </w:rPr>
        <w:t>2015. Esses termos também se aplicam a licenças do Pacote de CALs Empresariais adquiridas por esses clientes antes de 31 de dezembro de 2015. O uso contínuo dos serviços online de componentes permanece sujeito aos termos e às condições do Contrato de Licenciamento por Volume do cliente, dos direitos de uso de produto para os serviços online e dos termos e das condições aqui.</w:t>
      </w:r>
    </w:p>
    <w:p w:rsidR="00C349AE" w:rsidRPr="00C71DAC" w:rsidRDefault="00C349AE" w:rsidP="0084072C">
      <w:pPr>
        <w:ind w:left="720"/>
        <w:rPr>
          <w:lang w:val="pt-BR"/>
        </w:rPr>
      </w:pPr>
    </w:p>
    <w:p w:rsidR="004E3869" w:rsidRPr="00C71DAC" w:rsidRDefault="004E3869" w:rsidP="0084072C">
      <w:pPr>
        <w:spacing w:after="60"/>
        <w:ind w:left="720"/>
        <w:rPr>
          <w:lang w:val="pt-BR"/>
        </w:rPr>
      </w:pPr>
      <w:r w:rsidRPr="00C71DAC">
        <w:rPr>
          <w:rFonts w:cs="Tahoma"/>
          <w:b/>
          <w:color w:val="000000"/>
          <w:szCs w:val="20"/>
          <w:lang w:val="pt-BR"/>
        </w:rPr>
        <w:t xml:space="preserve">Forefront Protection Suite </w:t>
      </w:r>
    </w:p>
    <w:p w:rsidR="004E3869" w:rsidRPr="00C71DAC" w:rsidRDefault="004E3869" w:rsidP="0084072C">
      <w:pPr>
        <w:ind w:left="720"/>
        <w:rPr>
          <w:lang w:val="pt-BR"/>
        </w:rPr>
      </w:pPr>
      <w:r w:rsidRPr="00C71DAC">
        <w:rPr>
          <w:rFonts w:cs="Tahoma"/>
          <w:color w:val="000000"/>
          <w:szCs w:val="20"/>
          <w:lang w:val="pt-BR"/>
        </w:rPr>
        <w:t>Uma assinatura do Forefront Protection Suite consiste nos seguintes serviços online:</w:t>
      </w:r>
      <w:r w:rsidR="005A52A2" w:rsidRPr="00C71DAC">
        <w:rPr>
          <w:rFonts w:cs="Tahoma"/>
          <w:color w:val="000000"/>
          <w:szCs w:val="20"/>
          <w:lang w:val="pt-BR"/>
        </w:rPr>
        <w:t xml:space="preserve"> </w:t>
      </w:r>
      <w:r w:rsidRPr="00C71DAC">
        <w:rPr>
          <w:rFonts w:cs="Tahoma"/>
          <w:color w:val="000000"/>
          <w:szCs w:val="20"/>
          <w:lang w:val="pt-BR"/>
        </w:rPr>
        <w:t>System Center 2012 Endpoint Protection, Forefront para Office Communications Server (anteriormente, Antigen para Serviço de</w:t>
      </w:r>
      <w:r w:rsidR="00792983" w:rsidRPr="00C71DAC">
        <w:rPr>
          <w:rFonts w:cs="Tahoma"/>
          <w:color w:val="000000"/>
          <w:szCs w:val="20"/>
          <w:lang w:val="pt-BR"/>
        </w:rPr>
        <w:t> </w:t>
      </w:r>
      <w:r w:rsidRPr="00C71DAC">
        <w:rPr>
          <w:rFonts w:cs="Tahoma"/>
          <w:color w:val="000000"/>
          <w:szCs w:val="20"/>
          <w:lang w:val="pt-BR"/>
        </w:rPr>
        <w:t xml:space="preserve">Mensagens Instantâneas), Forefront Online Protection para Exchange (anteriormente, Exchange Hosted Filtering), Forefront Protection 2010 para Exchange Server, Forefront Threat Management Gateway Web Protection Service e Forefront Protection 2010 para SharePoint Server. </w:t>
      </w:r>
    </w:p>
    <w:p w:rsidR="00B2460D" w:rsidRPr="00C71DAC" w:rsidRDefault="00B2460D" w:rsidP="0084072C">
      <w:pPr>
        <w:ind w:left="720"/>
        <w:rPr>
          <w:lang w:val="pt-BR"/>
        </w:rPr>
      </w:pPr>
    </w:p>
    <w:p w:rsidR="00023FE7" w:rsidRPr="00C71DAC" w:rsidRDefault="00023FE7" w:rsidP="0084072C">
      <w:pPr>
        <w:spacing w:after="60"/>
        <w:ind w:left="720"/>
        <w:rPr>
          <w:lang w:val="pt-BR"/>
        </w:rPr>
      </w:pPr>
      <w:r w:rsidRPr="00C71DAC">
        <w:rPr>
          <w:rFonts w:cs="Tahoma"/>
          <w:b/>
          <w:color w:val="000000"/>
          <w:szCs w:val="20"/>
          <w:lang w:val="pt-BR"/>
        </w:rPr>
        <w:t>CALs Somente para Aluno (Licença Academic Open e Academic Select)</w:t>
      </w:r>
    </w:p>
    <w:p w:rsidR="00023FE7" w:rsidRPr="00C71DAC" w:rsidRDefault="00023FE7" w:rsidP="0084072C">
      <w:pPr>
        <w:ind w:left="720"/>
        <w:rPr>
          <w:lang w:val="pt-BR"/>
        </w:rPr>
      </w:pPr>
      <w:r w:rsidRPr="00C71DAC">
        <w:rPr>
          <w:rFonts w:cs="Tahoma"/>
          <w:szCs w:val="20"/>
          <w:lang w:val="pt-BR"/>
        </w:rPr>
        <w:t>As CALs Somente para Aluno estão restritas a PCs de propriedade de um aluno ou de uma instituição licenciados dedicados a um aluno individual e NÃO se destinam ao uso em laboratórios ou salas de aula.</w:t>
      </w:r>
    </w:p>
    <w:p w:rsidR="00792983" w:rsidRPr="00C71DAC" w:rsidRDefault="00792983" w:rsidP="0084072C">
      <w:pPr>
        <w:ind w:left="540"/>
        <w:rPr>
          <w:lang w:val="pt-BR"/>
        </w:rPr>
      </w:pPr>
    </w:p>
    <w:p w:rsidR="00792983" w:rsidRPr="00C71DAC" w:rsidRDefault="00792983" w:rsidP="0084072C">
      <w:pPr>
        <w:ind w:left="540"/>
        <w:rPr>
          <w:lang w:val="pt-BR"/>
        </w:rPr>
      </w:pPr>
    </w:p>
    <w:p w:rsidR="00ED5B61" w:rsidRPr="00C71DAC" w:rsidRDefault="00ED5B61" w:rsidP="0084072C">
      <w:pPr>
        <w:ind w:left="540"/>
        <w:rPr>
          <w:lang w:val="pt-BR"/>
        </w:rPr>
      </w:pPr>
    </w:p>
    <w:p w:rsidR="00D70D2C" w:rsidRPr="00C71DAC" w:rsidRDefault="00F66FB0" w:rsidP="00D70D2C">
      <w:pPr>
        <w:pStyle w:val="Heading2"/>
        <w:ind w:left="270" w:hanging="270"/>
        <w:rPr>
          <w:lang w:val="pt-BR"/>
        </w:rPr>
      </w:pPr>
      <w:bookmarkStart w:id="1235" w:name="_43_Exchange_Enterprise"/>
      <w:bookmarkStart w:id="1236" w:name="_44_Exchange_Online"/>
      <w:bookmarkStart w:id="1237" w:name="_45_Arquivamento_do"/>
      <w:bookmarkStart w:id="1238" w:name="_Toc336338305"/>
      <w:bookmarkStart w:id="1239" w:name="_Toc353470951"/>
      <w:bookmarkStart w:id="1240" w:name="Srv_45ExchOnlineArchivingUserSL"/>
      <w:bookmarkEnd w:id="1235"/>
      <w:bookmarkEnd w:id="1236"/>
      <w:bookmarkEnd w:id="1237"/>
      <w:r w:rsidRPr="00C71DAC">
        <w:rPr>
          <w:rFonts w:ascii="Tahoma" w:hAnsi="Tahoma" w:cs="Tahoma"/>
          <w:color w:val="F26200"/>
          <w:sz w:val="20"/>
          <w:vertAlign w:val="superscript"/>
          <w:lang w:val="pt-BR"/>
        </w:rPr>
        <w:t>45</w:t>
      </w:r>
      <w:r w:rsidRPr="00C71DAC">
        <w:rPr>
          <w:rFonts w:ascii="Tahoma" w:hAnsi="Tahoma" w:cs="Tahoma"/>
          <w:color w:val="F26200"/>
          <w:lang w:val="pt-BR"/>
        </w:rPr>
        <w:t xml:space="preserve"> </w:t>
      </w:r>
      <w:r w:rsidRPr="00C71DAC">
        <w:rPr>
          <w:rFonts w:ascii="Tahoma" w:hAnsi="Tahoma" w:cs="Tahoma"/>
          <w:color w:val="F26200"/>
          <w:sz w:val="22"/>
          <w:lang w:val="pt-BR"/>
        </w:rPr>
        <w:t>Arquivamento do Exchange Online (SL de Usuário)</w:t>
      </w:r>
      <w:bookmarkEnd w:id="1238"/>
      <w:bookmarkEnd w:id="1239"/>
    </w:p>
    <w:bookmarkEnd w:id="1240"/>
    <w:p w:rsidR="00D70D2C" w:rsidRPr="00C71DAC" w:rsidRDefault="00D70D2C" w:rsidP="00D70D2C">
      <w:pPr>
        <w:ind w:left="900"/>
        <w:rPr>
          <w:lang w:val="pt-BR"/>
        </w:rPr>
      </w:pPr>
    </w:p>
    <w:p w:rsidR="00D70D2C" w:rsidRPr="00C71DAC" w:rsidRDefault="00D70D2C" w:rsidP="00E62BC4">
      <w:pPr>
        <w:pStyle w:val="ListParagraph"/>
        <w:rPr>
          <w:lang w:val="pt-BR"/>
        </w:rPr>
      </w:pPr>
      <w:r w:rsidRPr="00C71DAC">
        <w:rPr>
          <w:rFonts w:ascii="Tahoma" w:hAnsi="Tahoma" w:cs="Tahoma"/>
          <w:color w:val="000000"/>
          <w:sz w:val="18"/>
          <w:szCs w:val="18"/>
          <w:lang w:val="pt-BR"/>
        </w:rPr>
        <w:t>O Arquivamento do Exchange Online é um serviço online sucessor do Exchange Hosted Archive.</w:t>
      </w:r>
    </w:p>
    <w:p w:rsidR="00D70D2C" w:rsidRPr="00C71DAC" w:rsidRDefault="00D70D2C" w:rsidP="00E62BC4">
      <w:pPr>
        <w:pStyle w:val="ListParagraph"/>
        <w:rPr>
          <w:rFonts w:ascii="Tahoma" w:hAnsi="Tahoma" w:cs="Tahoma"/>
          <w:sz w:val="18"/>
          <w:szCs w:val="18"/>
          <w:lang w:val="pt-BR"/>
        </w:rPr>
      </w:pPr>
    </w:p>
    <w:p w:rsidR="00D70D2C" w:rsidRPr="00C71DAC" w:rsidRDefault="00D70D2C" w:rsidP="00E62BC4">
      <w:pPr>
        <w:ind w:left="720"/>
        <w:rPr>
          <w:lang w:val="pt-BR"/>
        </w:rPr>
      </w:pPr>
      <w:r w:rsidRPr="00C71DAC">
        <w:rPr>
          <w:rFonts w:cs="Tahoma"/>
          <w:color w:val="000000"/>
          <w:szCs w:val="18"/>
          <w:lang w:val="pt-BR"/>
        </w:rPr>
        <w:t>Se você renovar a partir do Exchange Hosted Archive no Arquivamento do Exchange Online e ainda não tiver migrado para o Exchange Online</w:t>
      </w:r>
      <w:r w:rsidRPr="00C71DAC">
        <w:rPr>
          <w:color w:val="000000"/>
          <w:lang w:val="pt-BR"/>
        </w:rPr>
        <w:t xml:space="preserve"> Archiving, seus usuários licenciados poderão continuar usando o serviço Exchange Hosted Archive sujeito aos termos do PUR de março de 2011 antes da migração para o Arquivamento do Exchange Online e a expiração da sua assinatura do Arquivamento do Exchange Online.</w:t>
      </w:r>
    </w:p>
    <w:p w:rsidR="00B23BE6" w:rsidRPr="00C71DAC" w:rsidRDefault="00B23BE6" w:rsidP="00E62BC4">
      <w:pPr>
        <w:ind w:left="720"/>
        <w:rPr>
          <w:lang w:val="pt-BR"/>
        </w:rPr>
      </w:pPr>
    </w:p>
    <w:p w:rsidR="00B23BE6" w:rsidRPr="00C71DAC" w:rsidRDefault="00B23BE6" w:rsidP="0084072C">
      <w:pPr>
        <w:spacing w:after="60"/>
        <w:ind w:left="720"/>
        <w:rPr>
          <w:lang w:val="pt-BR"/>
        </w:rPr>
      </w:pPr>
      <w:r w:rsidRPr="00C71DAC">
        <w:rPr>
          <w:rFonts w:eastAsia="Calibri" w:cs="Tahoma"/>
          <w:b/>
          <w:color w:val="000000"/>
          <w:szCs w:val="18"/>
          <w:lang w:val="pt-BR"/>
        </w:rPr>
        <w:t>Nuvem da Comunidade do Governo (apenas para os Estados Unidos)</w:t>
      </w:r>
    </w:p>
    <w:p w:rsidR="00B23BE6" w:rsidRPr="00C71DAC" w:rsidRDefault="00B23BE6" w:rsidP="00E62BC4">
      <w:pPr>
        <w:ind w:left="720"/>
        <w:rPr>
          <w:lang w:val="pt-BR"/>
        </w:rPr>
      </w:pPr>
      <w:r w:rsidRPr="00C71DAC">
        <w:rPr>
          <w:rFonts w:eastAsia="Calibri" w:cs="Tahoma"/>
          <w:color w:val="000000"/>
          <w:szCs w:val="18"/>
          <w:lang w:val="pt-BR"/>
        </w:rPr>
        <w:t>Alguns serviços online na família de produtos do Office 365 (incluindo Arquivamento do Exchange Online) são oferecidos como serviços de nuvem da comunidade do governo e serviços de nuvem da comunidade não governamental.</w:t>
      </w:r>
      <w:r w:rsidR="005A52A2" w:rsidRPr="00C71DAC">
        <w:rPr>
          <w:rFonts w:eastAsia="Calibri" w:cs="Tahoma"/>
          <w:color w:val="000000"/>
          <w:szCs w:val="18"/>
          <w:lang w:val="pt-BR"/>
        </w:rPr>
        <w:t xml:space="preserve"> </w:t>
      </w:r>
      <w:r w:rsidRPr="00C71DAC">
        <w:rPr>
          <w:rFonts w:eastAsia="Calibri" w:cs="Tahoma"/>
          <w:color w:val="000000"/>
          <w:szCs w:val="18"/>
          <w:lang w:val="pt-BR"/>
        </w:rPr>
        <w:t>Os clientes podem ser provisionados como um ou outro, mas não com uma mistura dos dois.</w:t>
      </w:r>
      <w:r w:rsidR="005A52A2" w:rsidRPr="00C71DAC">
        <w:rPr>
          <w:rFonts w:eastAsia="Calibri" w:cs="Tahoma"/>
          <w:color w:val="000000"/>
          <w:szCs w:val="18"/>
          <w:lang w:val="pt-BR"/>
        </w:rPr>
        <w:t xml:space="preserve"> </w:t>
      </w:r>
      <w:r w:rsidRPr="00C71DAC">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5A52A2" w:rsidRPr="00C71DAC">
        <w:rPr>
          <w:rFonts w:eastAsia="Calibri" w:cs="Tahoma"/>
          <w:color w:val="000000"/>
          <w:szCs w:val="18"/>
          <w:lang w:val="pt-BR"/>
        </w:rPr>
        <w:t xml:space="preserve"> </w:t>
      </w:r>
      <w:r w:rsidRPr="00C71DAC">
        <w:rPr>
          <w:rFonts w:eastAsia="Calibri" w:cs="Tahoma"/>
          <w:color w:val="000000"/>
          <w:szCs w:val="18"/>
          <w:lang w:val="pt-BR"/>
        </w:rPr>
        <w:t>Esta limitação se estende a qualquer serviço online que faça parte da família de produtos do Office 365, incluindo Exchange Online, SharePoint Online e Lync Online.</w:t>
      </w:r>
      <w:r w:rsidR="005A52A2" w:rsidRPr="00C71DAC">
        <w:rPr>
          <w:rFonts w:eastAsia="Calibri" w:cs="Tahoma"/>
          <w:color w:val="000000"/>
          <w:szCs w:val="18"/>
          <w:lang w:val="pt-BR"/>
        </w:rPr>
        <w:t xml:space="preserve"> </w:t>
      </w:r>
    </w:p>
    <w:p w:rsidR="001A7718" w:rsidRPr="00C71DAC" w:rsidRDefault="001A7718" w:rsidP="00E62BC4">
      <w:pPr>
        <w:ind w:left="720"/>
        <w:rPr>
          <w:rFonts w:eastAsia="Calibri" w:cs="Tahoma"/>
          <w:color w:val="000000"/>
          <w:szCs w:val="18"/>
          <w:lang w:val="pt-BR"/>
        </w:rPr>
      </w:pPr>
    </w:p>
    <w:p w:rsidR="00B23BE6" w:rsidRPr="00C71DAC" w:rsidRDefault="00B23BE6" w:rsidP="00E62BC4">
      <w:pPr>
        <w:ind w:left="720"/>
        <w:rPr>
          <w:lang w:val="pt-BR"/>
        </w:rPr>
      </w:pPr>
      <w:r w:rsidRPr="00C71DAC">
        <w:rPr>
          <w:rFonts w:eastAsia="Calibri" w:cs="Tahoma"/>
          <w:color w:val="000000"/>
          <w:szCs w:val="18"/>
          <w:lang w:val="pt-BR"/>
        </w:rPr>
        <w:t>Assim que um serviço online é provisionado na nuvem de comunidade do governo, ele permanecerá lá pela</w:t>
      </w:r>
      <w:r w:rsidR="00792983" w:rsidRPr="00C71DAC">
        <w:rPr>
          <w:rFonts w:eastAsia="Calibri" w:cs="Tahoma"/>
          <w:color w:val="000000"/>
          <w:szCs w:val="18"/>
          <w:lang w:val="pt-BR"/>
        </w:rPr>
        <w:t> </w:t>
      </w:r>
      <w:r w:rsidRPr="00C71DAC">
        <w:rPr>
          <w:rFonts w:eastAsia="Calibri" w:cs="Tahoma"/>
          <w:color w:val="000000"/>
          <w:szCs w:val="18"/>
          <w:lang w:val="pt-BR"/>
        </w:rPr>
        <w:t>duração da vigência da assinatura.</w:t>
      </w:r>
      <w:r w:rsidR="005A52A2" w:rsidRPr="00C71DAC">
        <w:rPr>
          <w:rFonts w:eastAsia="Calibri" w:cs="Tahoma"/>
          <w:color w:val="000000"/>
          <w:szCs w:val="18"/>
          <w:lang w:val="pt-BR"/>
        </w:rPr>
        <w:t xml:space="preserve"> </w:t>
      </w:r>
      <w:r w:rsidRPr="00C71DAC">
        <w:rPr>
          <w:rFonts w:eastAsia="Calibri" w:cs="Tahoma"/>
          <w:color w:val="000000"/>
          <w:szCs w:val="18"/>
          <w:lang w:val="pt-BR"/>
        </w:rPr>
        <w:t>Clientes que são instituições governamentais federais, estaduais, locais ou tribais dos Estados Unidos devem fazer parte de um Registro Enterprise do Governo Americano ou</w:t>
      </w:r>
      <w:r w:rsidR="00792983" w:rsidRPr="00C71DAC">
        <w:rPr>
          <w:rFonts w:eastAsia="Calibri" w:cs="Tahoma"/>
          <w:color w:val="000000"/>
          <w:szCs w:val="18"/>
          <w:lang w:val="pt-BR"/>
        </w:rPr>
        <w:t> </w:t>
      </w:r>
      <w:r w:rsidRPr="00C71DAC">
        <w:rPr>
          <w:rFonts w:eastAsia="Calibri" w:cs="Tahoma"/>
          <w:color w:val="000000"/>
          <w:szCs w:val="18"/>
          <w:lang w:val="pt-BR"/>
        </w:rPr>
        <w:t>Registro Enterprise Subscription para estar qualificado para comprar serviços online designados como nuvem da comunidade do governo.</w:t>
      </w:r>
      <w:r w:rsidR="005A52A2" w:rsidRPr="00C71DAC">
        <w:rPr>
          <w:rFonts w:eastAsia="Calibri" w:cs="Tahoma"/>
          <w:color w:val="000000"/>
          <w:szCs w:val="18"/>
          <w:lang w:val="pt-BR"/>
        </w:rPr>
        <w:t xml:space="preserve"> </w:t>
      </w:r>
      <w:r w:rsidRPr="00C71DAC">
        <w:rPr>
          <w:rFonts w:eastAsia="Calibri" w:cs="Tahoma"/>
          <w:color w:val="000000"/>
          <w:szCs w:val="18"/>
          <w:lang w:val="pt-BR"/>
        </w:rPr>
        <w:t>Os Direitos de Uso para serviços de nuvem da comunidade do governo são equivalentes àqueles dos seus diversos locatários padrão.</w:t>
      </w:r>
      <w:r w:rsidR="005A52A2" w:rsidRPr="00C71DAC">
        <w:rPr>
          <w:rFonts w:eastAsia="Calibri" w:cs="Tahoma"/>
          <w:color w:val="000000"/>
          <w:szCs w:val="18"/>
          <w:lang w:val="pt-BR"/>
        </w:rPr>
        <w:t xml:space="preserve"> </w:t>
      </w:r>
      <w:r w:rsidRPr="00C71DAC">
        <w:rPr>
          <w:rFonts w:eastAsia="Calibri" w:cs="Tahoma"/>
          <w:color w:val="000000"/>
          <w:szCs w:val="18"/>
          <w:lang w:val="pt-BR"/>
        </w:rPr>
        <w:t>Os serviços de nuvem da comunidade do governo não estão qualificados para Transições e Reserva de Licença neste momento.</w:t>
      </w:r>
    </w:p>
    <w:p w:rsidR="00B23BE6" w:rsidRPr="00C71DAC" w:rsidRDefault="00B23BE6" w:rsidP="00D70D2C">
      <w:pPr>
        <w:ind w:left="540"/>
        <w:rPr>
          <w:lang w:val="pt-BR"/>
        </w:rPr>
      </w:pPr>
    </w:p>
    <w:p w:rsidR="00EC1F23" w:rsidRPr="00C71DAC" w:rsidRDefault="00EC1F23" w:rsidP="0084072C">
      <w:pPr>
        <w:pStyle w:val="Heading2"/>
        <w:ind w:left="0"/>
        <w:rPr>
          <w:rFonts w:ascii="Tahoma" w:hAnsi="Tahoma" w:cs="Tahoma"/>
          <w:sz w:val="18"/>
          <w:szCs w:val="18"/>
          <w:lang w:val="pt-BR"/>
        </w:rPr>
      </w:pPr>
    </w:p>
    <w:p w:rsidR="00EC1F23" w:rsidRPr="00C71DAC" w:rsidRDefault="00F66FB0" w:rsidP="00190EF1">
      <w:pPr>
        <w:pStyle w:val="Heading2"/>
        <w:ind w:left="245" w:hanging="245"/>
        <w:rPr>
          <w:lang w:val="pt-BR"/>
        </w:rPr>
      </w:pPr>
      <w:bookmarkStart w:id="1241" w:name="_45_Exchange_Hosted"/>
      <w:bookmarkStart w:id="1242" w:name="_Toc336338306"/>
      <w:bookmarkStart w:id="1243" w:name="_Toc353470952"/>
      <w:bookmarkStart w:id="1244" w:name="Srv_44ExchHostArchiveandStorage"/>
      <w:bookmarkEnd w:id="1241"/>
      <w:r w:rsidRPr="00C71DAC">
        <w:rPr>
          <w:rFonts w:ascii="Tahoma" w:hAnsi="Tahoma" w:cs="Tahoma"/>
          <w:color w:val="F26200"/>
          <w:sz w:val="20"/>
          <w:vertAlign w:val="superscript"/>
          <w:lang w:val="pt-BR"/>
        </w:rPr>
        <w:t>46</w:t>
      </w:r>
      <w:r w:rsidRPr="00C71DAC">
        <w:rPr>
          <w:rFonts w:ascii="Tahoma" w:hAnsi="Tahoma" w:cs="Tahoma"/>
          <w:color w:val="F26200"/>
          <w:lang w:val="pt-BR"/>
        </w:rPr>
        <w:t xml:space="preserve"> </w:t>
      </w:r>
      <w:r w:rsidRPr="00C71DAC">
        <w:rPr>
          <w:rFonts w:ascii="Tahoma" w:hAnsi="Tahoma" w:cs="Tahoma"/>
          <w:color w:val="F26200"/>
          <w:sz w:val="22"/>
          <w:lang w:val="pt-BR"/>
        </w:rPr>
        <w:t>Exchange Hosted Archive (SL de Usuário), Exchange Hosted Archive Extra Storage</w:t>
      </w:r>
      <w:r w:rsidR="001A7718" w:rsidRPr="00C71DAC">
        <w:rPr>
          <w:rFonts w:ascii="Tahoma" w:hAnsi="Tahoma" w:cs="Tahoma"/>
          <w:color w:val="F26200"/>
          <w:sz w:val="22"/>
          <w:lang w:val="pt-BR"/>
        </w:rPr>
        <w:t> </w:t>
      </w:r>
      <w:r w:rsidRPr="00C71DAC">
        <w:rPr>
          <w:rFonts w:ascii="Tahoma" w:hAnsi="Tahoma" w:cs="Tahoma"/>
          <w:color w:val="F26200"/>
          <w:sz w:val="22"/>
          <w:lang w:val="pt-BR"/>
        </w:rPr>
        <w:t>(SL Complementar)</w:t>
      </w:r>
      <w:bookmarkEnd w:id="1242"/>
      <w:bookmarkEnd w:id="1243"/>
      <w:r w:rsidRPr="00C71DAC">
        <w:rPr>
          <w:rFonts w:ascii="Tahoma" w:hAnsi="Tahoma" w:cs="Tahoma"/>
          <w:color w:val="F26200"/>
          <w:sz w:val="22"/>
          <w:lang w:val="pt-BR"/>
        </w:rPr>
        <w:t xml:space="preserve"> </w:t>
      </w:r>
      <w:bookmarkEnd w:id="1244"/>
    </w:p>
    <w:p w:rsidR="00EC1F23" w:rsidRPr="00C71DAC" w:rsidRDefault="00EC1F23" w:rsidP="00EC1F23">
      <w:pPr>
        <w:ind w:left="900"/>
        <w:rPr>
          <w:lang w:val="pt-BR"/>
        </w:rPr>
      </w:pPr>
    </w:p>
    <w:p w:rsidR="00EC1F23" w:rsidRPr="00C71DAC" w:rsidRDefault="00EC1F23" w:rsidP="0084072C">
      <w:pPr>
        <w:spacing w:after="60"/>
        <w:ind w:left="720"/>
        <w:rPr>
          <w:lang w:val="pt-BR"/>
        </w:rPr>
      </w:pPr>
      <w:r w:rsidRPr="00C71DAC">
        <w:rPr>
          <w:rFonts w:eastAsia="Calibri" w:cs="Tahoma"/>
          <w:b/>
          <w:bCs/>
          <w:iCs/>
          <w:color w:val="000000"/>
          <w:lang w:val="pt-BR"/>
        </w:rPr>
        <w:t>Outorga de Licença de 1º de maio de 2011 para Clientes do Exchange Hosted Archive</w:t>
      </w:r>
      <w:r w:rsidRPr="00C71DAC">
        <w:rPr>
          <w:rFonts w:eastAsia="Calibri" w:cs="Tahoma"/>
          <w:b/>
          <w:iCs/>
          <w:color w:val="000000"/>
          <w:lang w:val="pt-BR"/>
        </w:rPr>
        <w:t xml:space="preserve"> </w:t>
      </w:r>
    </w:p>
    <w:p w:rsidR="00EC1F23" w:rsidRPr="00C71DAC" w:rsidRDefault="00EC1F23" w:rsidP="00E62BC4">
      <w:pPr>
        <w:ind w:left="720"/>
        <w:rPr>
          <w:lang w:val="pt-BR"/>
        </w:rPr>
      </w:pPr>
      <w:r w:rsidRPr="00C71DAC">
        <w:rPr>
          <w:rFonts w:eastAsia="Calibri" w:cs="Tahoma"/>
          <w:iCs/>
          <w:color w:val="000000"/>
          <w:lang w:val="pt-BR"/>
        </w:rPr>
        <w:t>Os clientes receberão uma quantidade de licenças adicional (“licenças complementares”) igual a 15% do número de licenças do Exchange Hosted Archive (EHA) que eles compraram e que estarão ativos a partir de</w:t>
      </w:r>
      <w:r w:rsidR="00792983" w:rsidRPr="00C71DAC">
        <w:rPr>
          <w:rFonts w:eastAsia="Calibri" w:cs="Tahoma"/>
          <w:iCs/>
          <w:color w:val="000000"/>
          <w:lang w:val="pt-BR"/>
        </w:rPr>
        <w:t> </w:t>
      </w:r>
      <w:r w:rsidRPr="00C71DAC">
        <w:rPr>
          <w:rFonts w:eastAsia="Calibri" w:cs="Tahoma"/>
          <w:iCs/>
          <w:color w:val="000000"/>
          <w:lang w:val="pt-BR"/>
        </w:rPr>
        <w:t>1º de maio de 2011 (“licenças qualificadas”).</w:t>
      </w:r>
      <w:r w:rsidR="005A52A2" w:rsidRPr="00C71DAC">
        <w:rPr>
          <w:rFonts w:eastAsia="Calibri" w:cs="Tahoma"/>
          <w:iCs/>
          <w:color w:val="000000"/>
          <w:lang w:val="pt-BR"/>
        </w:rPr>
        <w:t xml:space="preserve"> </w:t>
      </w:r>
      <w:r w:rsidRPr="00C71DAC">
        <w:rPr>
          <w:rFonts w:eastAsia="Calibri" w:cs="Tahoma"/>
          <w:iCs/>
          <w:color w:val="000000"/>
          <w:lang w:val="pt-BR"/>
        </w:rPr>
        <w:t>Desde que a licenças qualificadas do cliente continuem ativas, suas licenças complementares permanecerão válidas até o final do prazo da assinatura que coincide com a migração dos clientes de EHA para um Serviço Online sucessor, conforme especificado na tabela de migração a seguir.</w:t>
      </w:r>
      <w:r w:rsidR="005A52A2" w:rsidRPr="00C71DAC">
        <w:rPr>
          <w:rFonts w:eastAsia="Calibri" w:cs="Tahoma"/>
          <w:iCs/>
          <w:color w:val="000000"/>
          <w:lang w:val="pt-BR"/>
        </w:rPr>
        <w:t xml:space="preserve"> </w:t>
      </w:r>
      <w:r w:rsidRPr="00C71DAC">
        <w:rPr>
          <w:rFonts w:eastAsia="Calibri" w:cs="Tahoma"/>
          <w:iCs/>
          <w:color w:val="000000"/>
          <w:lang w:val="pt-BR"/>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rsidR="00BA1490" w:rsidRPr="00C71DAC" w:rsidRDefault="00BA1490" w:rsidP="0084072C">
      <w:pPr>
        <w:rPr>
          <w:lang w:val="pt-BR"/>
        </w:rPr>
      </w:pPr>
    </w:p>
    <w:p w:rsidR="00EA6918" w:rsidRPr="00C71DAC" w:rsidRDefault="00EC1F23" w:rsidP="0084072C">
      <w:pPr>
        <w:spacing w:after="60"/>
        <w:ind w:left="720"/>
        <w:rPr>
          <w:lang w:val="pt-BR"/>
        </w:rPr>
      </w:pPr>
      <w:r w:rsidRPr="00C71DAC">
        <w:rPr>
          <w:rFonts w:eastAsia="Calibri" w:cs="Tahoma"/>
          <w:b/>
          <w:bCs/>
          <w:iCs/>
          <w:color w:val="000000"/>
          <w:lang w:val="pt-BR"/>
        </w:rPr>
        <w:t>Outorga de Licença de Migração para Clientes do Exchange Hosted Archive</w:t>
      </w:r>
    </w:p>
    <w:p w:rsidR="00EC1F23" w:rsidRPr="00C71DAC" w:rsidRDefault="00EC1F23" w:rsidP="00E62BC4">
      <w:pPr>
        <w:ind w:left="720"/>
        <w:rPr>
          <w:lang w:val="pt-BR"/>
        </w:rPr>
      </w:pPr>
      <w:r w:rsidRPr="00C71DAC">
        <w:rPr>
          <w:rFonts w:eastAsia="Calibri" w:cs="Tahoma"/>
          <w:iCs/>
          <w:color w:val="000000"/>
          <w:lang w:val="pt-BR"/>
        </w:rPr>
        <w:t>Os clientes EHA que migram para os Serviços Online sucessores receberão um número total de licenças de</w:t>
      </w:r>
      <w:r w:rsidR="00792983" w:rsidRPr="00C71DAC">
        <w:rPr>
          <w:rFonts w:eastAsia="Calibri" w:cs="Tahoma"/>
          <w:iCs/>
          <w:color w:val="000000"/>
          <w:lang w:val="pt-BR"/>
        </w:rPr>
        <w:t> </w:t>
      </w:r>
      <w:r w:rsidRPr="00C71DAC">
        <w:rPr>
          <w:rFonts w:eastAsia="Calibri" w:cs="Tahoma"/>
          <w:iCs/>
          <w:color w:val="000000"/>
          <w:lang w:val="pt-BR"/>
        </w:rPr>
        <w:t>reposição para os Serviços Online sucessores igual ao número total de licenças EHA qualificadas e complementares, como pode ser visto na tabela a seguir.</w:t>
      </w:r>
      <w:r w:rsidR="005A52A2" w:rsidRPr="00C71DAC">
        <w:rPr>
          <w:rFonts w:eastAsia="Calibri" w:cs="Tahoma"/>
          <w:iCs/>
          <w:color w:val="000000"/>
          <w:lang w:val="pt-BR"/>
        </w:rPr>
        <w:t xml:space="preserve"> </w:t>
      </w:r>
      <w:r w:rsidRPr="00C71DAC">
        <w:rPr>
          <w:rFonts w:eastAsia="Calibri" w:cs="Tahoma"/>
          <w:iCs/>
          <w:color w:val="000000"/>
          <w:lang w:val="pt-BR"/>
        </w:rPr>
        <w:t xml:space="preserve">Essas licenças de reposição expirarão no final do período de assinatura, coincidindo com a migração do cliente de EHA para os Serviços Online sucessores. </w:t>
      </w:r>
    </w:p>
    <w:p w:rsidR="00EC1F23" w:rsidRPr="00C71DAC" w:rsidRDefault="00EC1F23" w:rsidP="00E62BC4">
      <w:pPr>
        <w:ind w:left="720"/>
        <w:rPr>
          <w:lang w:val="pt-BR"/>
        </w:rPr>
      </w:pPr>
    </w:p>
    <w:p w:rsidR="002512D3" w:rsidRPr="00C71DAC" w:rsidRDefault="00EC1F23" w:rsidP="003165D6">
      <w:pPr>
        <w:ind w:left="720"/>
        <w:rPr>
          <w:lang w:val="pt-BR"/>
        </w:rPr>
      </w:pPr>
      <w:r w:rsidRPr="00C71DAC">
        <w:rPr>
          <w:rFonts w:eastAsia="Calibri" w:cs="Tahoma"/>
          <w:iCs/>
          <w:color w:val="000000"/>
          <w:lang w:val="pt-BR"/>
        </w:rPr>
        <w:t>As SLs de Usuário do Exchange Online Plano 2 concedidas sob esta oferta de migração deverão ser atribuídas ao usuário para os quais as SLs de Usuário do Exchange Online Standard, Exchange Online Plano</w:t>
      </w:r>
      <w:r w:rsidR="00792983" w:rsidRPr="00C71DAC">
        <w:rPr>
          <w:rFonts w:eastAsia="Calibri" w:cs="Tahoma"/>
          <w:iCs/>
          <w:color w:val="000000"/>
          <w:lang w:val="pt-BR"/>
        </w:rPr>
        <w:t> </w:t>
      </w:r>
      <w:r w:rsidRPr="00C71DAC">
        <w:rPr>
          <w:rFonts w:eastAsia="Calibri" w:cs="Tahoma"/>
          <w:iCs/>
          <w:color w:val="000000"/>
          <w:lang w:val="pt-BR"/>
        </w:rPr>
        <w:t>2, BPOS Standard, Office 365 Enterprise E1, BPOS Deskless, Exchange Online Deskless ou Quiosque do Exchange Online são atribuídas.</w:t>
      </w:r>
      <w:r w:rsidR="005A52A2" w:rsidRPr="00C71DAC">
        <w:rPr>
          <w:rFonts w:eastAsia="Calibri" w:cs="Tahoma"/>
          <w:iCs/>
          <w:color w:val="000000"/>
          <w:lang w:val="pt-BR"/>
        </w:rPr>
        <w:t xml:space="preserve"> </w:t>
      </w:r>
      <w:r w:rsidRPr="00C71DAC">
        <w:rPr>
          <w:rFonts w:eastAsia="Calibri" w:cs="Tahoma"/>
          <w:iCs/>
          <w:color w:val="000000"/>
          <w:lang w:val="pt-BR"/>
        </w:rPr>
        <w:t xml:space="preserve">Se a SL de Usuário correspondente for reatribuída a um novo usuário, então o Exchange Online Plano 2 também deverá ser realocada para o mesmo novo usuário. </w:t>
      </w:r>
    </w:p>
    <w:p w:rsidR="00EC1F23" w:rsidRPr="00C71DAC" w:rsidRDefault="00EC1F23" w:rsidP="00EC1F23">
      <w:pPr>
        <w:rPr>
          <w:lang w:val="pt-BR"/>
        </w:rPr>
      </w:pPr>
    </w:p>
    <w:p w:rsidR="00ED5B61" w:rsidRPr="00C71DAC" w:rsidRDefault="00ED5B61" w:rsidP="00EC1F23">
      <w:pPr>
        <w:rPr>
          <w:lang w:val="pt-BR"/>
        </w:rPr>
      </w:pPr>
    </w:p>
    <w:p w:rsidR="00ED5B61" w:rsidRPr="00C71DAC" w:rsidRDefault="00ED5B61" w:rsidP="00EC1F23">
      <w:pPr>
        <w:rPr>
          <w:lang w:val="pt-BR"/>
        </w:rPr>
      </w:pPr>
    </w:p>
    <w:p w:rsidR="00ED5B61" w:rsidRPr="00C71DAC" w:rsidRDefault="00ED5B61" w:rsidP="00EC1F23">
      <w:pPr>
        <w:rPr>
          <w:lang w:val="pt-BR"/>
        </w:rPr>
      </w:pPr>
    </w:p>
    <w:p w:rsidR="00ED5B61" w:rsidRPr="00C71DAC" w:rsidRDefault="00ED5B61" w:rsidP="00EC1F23">
      <w:pPr>
        <w:rPr>
          <w:lang w:val="pt-BR"/>
        </w:rPr>
      </w:pPr>
    </w:p>
    <w:p w:rsidR="00ED5B61" w:rsidRPr="00C71DAC" w:rsidRDefault="00ED5B61" w:rsidP="00EC1F23">
      <w:pPr>
        <w:rPr>
          <w:lang w:val="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3420"/>
      </w:tblGrid>
      <w:tr w:rsidR="00EC1F23" w:rsidRPr="00C71DAC" w:rsidTr="00C066F9">
        <w:trPr>
          <w:jc w:val="center"/>
        </w:trPr>
        <w:tc>
          <w:tcPr>
            <w:tcW w:w="7740" w:type="dxa"/>
            <w:gridSpan w:val="2"/>
            <w:shd w:val="clear" w:color="auto" w:fill="FABF8F"/>
          </w:tcPr>
          <w:p w:rsidR="00EC1F23" w:rsidRPr="00C71DAC" w:rsidRDefault="00EC1F23" w:rsidP="00022FBE">
            <w:pPr>
              <w:jc w:val="center"/>
              <w:rPr>
                <w:rFonts w:eastAsia="Calibri" w:cs="Tahoma"/>
                <w:b/>
                <w:iCs/>
                <w:color w:val="000000"/>
                <w:lang w:val="pt-BR"/>
              </w:rPr>
            </w:pPr>
            <w:r w:rsidRPr="00C71DAC">
              <w:rPr>
                <w:rFonts w:eastAsia="Calibri" w:cs="Tahoma"/>
                <w:b/>
                <w:iCs/>
                <w:color w:val="000000"/>
                <w:lang w:val="pt-BR"/>
              </w:rPr>
              <w:t>Outorga da Licença de Migração</w:t>
            </w:r>
          </w:p>
        </w:tc>
      </w:tr>
      <w:tr w:rsidR="00EC1F23" w:rsidRPr="00653421" w:rsidTr="001A7718">
        <w:trPr>
          <w:jc w:val="center"/>
        </w:trPr>
        <w:tc>
          <w:tcPr>
            <w:tcW w:w="4320" w:type="dxa"/>
            <w:shd w:val="clear" w:color="auto" w:fill="auto"/>
          </w:tcPr>
          <w:p w:rsidR="00EC1F23" w:rsidRPr="00653421" w:rsidRDefault="00EC1F23" w:rsidP="00022FBE">
            <w:pPr>
              <w:jc w:val="center"/>
              <w:rPr>
                <w:rFonts w:eastAsia="Calibri" w:cs="Tahoma"/>
                <w:iCs/>
                <w:color w:val="000000"/>
              </w:rPr>
            </w:pPr>
            <w:r w:rsidRPr="00653421">
              <w:rPr>
                <w:rFonts w:eastAsia="Calibri" w:cs="Tahoma"/>
                <w:iCs/>
                <w:color w:val="000000"/>
              </w:rPr>
              <w:t>Posição da licença qualificada</w:t>
            </w:r>
          </w:p>
        </w:tc>
        <w:tc>
          <w:tcPr>
            <w:tcW w:w="3420" w:type="dxa"/>
            <w:shd w:val="clear" w:color="auto" w:fill="auto"/>
          </w:tcPr>
          <w:p w:rsidR="00EC1F23" w:rsidRPr="00653421" w:rsidRDefault="00EC1F23" w:rsidP="00022FBE">
            <w:pPr>
              <w:jc w:val="center"/>
              <w:rPr>
                <w:rFonts w:eastAsia="Calibri" w:cs="Tahoma"/>
                <w:iCs/>
                <w:color w:val="000000"/>
              </w:rPr>
            </w:pPr>
            <w:r w:rsidRPr="00653421">
              <w:rPr>
                <w:rFonts w:eastAsia="Calibri" w:cs="Tahoma"/>
                <w:iCs/>
                <w:color w:val="000000"/>
              </w:rPr>
              <w:t>Outorga de Licença</w:t>
            </w:r>
          </w:p>
        </w:tc>
      </w:tr>
      <w:tr w:rsidR="00EC1F23" w:rsidRPr="00C71DAC" w:rsidTr="001A7718">
        <w:trPr>
          <w:jc w:val="center"/>
        </w:trPr>
        <w:tc>
          <w:tcPr>
            <w:tcW w:w="4320" w:type="dxa"/>
            <w:shd w:val="clear" w:color="auto" w:fill="auto"/>
          </w:tcPr>
          <w:p w:rsidR="00EE53FF" w:rsidRPr="00C71DAC" w:rsidRDefault="00EE53FF" w:rsidP="001051D1">
            <w:pPr>
              <w:spacing w:before="60" w:after="60"/>
              <w:ind w:left="158" w:right="346"/>
              <w:rPr>
                <w:lang w:val="pt-BR"/>
              </w:rPr>
            </w:pPr>
            <w:r w:rsidRPr="00C71DAC">
              <w:rPr>
                <w:rFonts w:eastAsia="Calibri" w:cs="Tahoma"/>
                <w:iCs/>
                <w:color w:val="000000"/>
                <w:lang w:val="pt-BR"/>
              </w:rPr>
              <w:lastRenderedPageBreak/>
              <w:t>SL de Usuário EHA (usada junto com uma CAL do Exchange na instalação)</w:t>
            </w:r>
          </w:p>
          <w:p w:rsidR="00EC1F23" w:rsidRPr="00C71DAC" w:rsidRDefault="00EC1F23" w:rsidP="001051D1">
            <w:pPr>
              <w:spacing w:before="60" w:after="60"/>
              <w:ind w:left="158" w:right="346"/>
              <w:rPr>
                <w:lang w:val="pt-BR"/>
              </w:rPr>
            </w:pPr>
            <w:r w:rsidRPr="00C71DAC">
              <w:rPr>
                <w:rFonts w:eastAsia="Calibri" w:cs="Tahoma"/>
                <w:iCs/>
                <w:color w:val="000000"/>
                <w:lang w:val="pt-BR"/>
              </w:rPr>
              <w:t>A SL de Usuário do EHA (usada com SLs de Usuário para Exchange Online Standard, Exchange Online Plano</w:t>
            </w:r>
          </w:p>
          <w:p w:rsidR="00EC1F23" w:rsidRPr="00C71DAC" w:rsidRDefault="00EC1F23" w:rsidP="001051D1">
            <w:pPr>
              <w:spacing w:before="60" w:after="60"/>
              <w:ind w:left="158" w:right="346"/>
              <w:rPr>
                <w:rFonts w:eastAsia="Calibri" w:cs="Tahoma"/>
                <w:iCs/>
                <w:color w:val="000000"/>
                <w:lang w:val="fr-FR"/>
              </w:rPr>
            </w:pPr>
            <w:r w:rsidRPr="00C71DAC">
              <w:rPr>
                <w:rFonts w:eastAsia="Calibri" w:cs="Tahoma"/>
                <w:iCs/>
                <w:color w:val="000000"/>
                <w:lang w:val="fr-FR"/>
              </w:rPr>
              <w:t>2, BPOS Standard, Office 365 E1, BPOS Deskless, Exchange Online Deskless ou Quiosque do Exchange Online)</w:t>
            </w:r>
          </w:p>
        </w:tc>
        <w:tc>
          <w:tcPr>
            <w:tcW w:w="3420" w:type="dxa"/>
            <w:shd w:val="clear" w:color="auto" w:fill="auto"/>
          </w:tcPr>
          <w:p w:rsidR="00EC1F23" w:rsidRPr="00C71DAC" w:rsidRDefault="00EC1F23" w:rsidP="001051D1">
            <w:pPr>
              <w:numPr>
                <w:ilvl w:val="0"/>
                <w:numId w:val="58"/>
              </w:numPr>
              <w:spacing w:before="60" w:after="60"/>
              <w:ind w:right="342"/>
              <w:rPr>
                <w:rFonts w:eastAsia="Calibri" w:cs="Tahoma"/>
                <w:iCs/>
                <w:color w:val="000000"/>
                <w:lang w:val="pt-BR"/>
              </w:rPr>
            </w:pPr>
            <w:r w:rsidRPr="00C71DAC">
              <w:rPr>
                <w:rFonts w:eastAsia="Calibri" w:cs="Tahoma"/>
                <w:iCs/>
                <w:color w:val="000000"/>
                <w:lang w:val="pt-BR"/>
              </w:rPr>
              <w:t>SL de Usuário do Exchange Online Plano 2</w:t>
            </w:r>
          </w:p>
        </w:tc>
      </w:tr>
    </w:tbl>
    <w:p w:rsidR="001A7718" w:rsidRPr="00C71DAC" w:rsidRDefault="001A7718" w:rsidP="0084072C">
      <w:pPr>
        <w:rPr>
          <w:lang w:val="pt-BR"/>
        </w:rPr>
      </w:pPr>
    </w:p>
    <w:p w:rsidR="00DD39C7" w:rsidRPr="00C71DAC" w:rsidRDefault="00DD39C7" w:rsidP="0084072C">
      <w:pPr>
        <w:spacing w:after="60"/>
        <w:ind w:left="720"/>
        <w:rPr>
          <w:lang w:val="pt-BR"/>
        </w:rPr>
      </w:pPr>
      <w:r w:rsidRPr="00C71DAC">
        <w:rPr>
          <w:b/>
          <w:color w:val="000000"/>
          <w:lang w:val="pt-BR"/>
        </w:rPr>
        <w:t>Uso Contínuo do Exchange Hosted Archive (EHA) com Assinaturas Ativas para Business Productivity Online Subscription (BPOS) e Exchange Online Standard</w:t>
      </w:r>
    </w:p>
    <w:p w:rsidR="00DD39C7" w:rsidRPr="00C71DAC" w:rsidRDefault="00DD39C7" w:rsidP="00DD39C7">
      <w:pPr>
        <w:ind w:left="720"/>
        <w:rPr>
          <w:lang w:val="pt-BR"/>
        </w:rPr>
      </w:pPr>
      <w:r w:rsidRPr="00C71DAC">
        <w:rPr>
          <w:iCs/>
          <w:color w:val="000000"/>
          <w:lang w:val="pt-BR"/>
        </w:rPr>
        <w:t>Os clientes com assinaturas EHA que estão expirando que ainda não foram migrados para o Office 365 e que estão atualmente implementados no BPOS ou Exchange Online Standard podem continuar a usar o EHA depois da expiração de sua assinatura e até (i) sua migração para o Office 365 ou (ii) expiração de sua assinatura do BPOS ou Exchange Online Standard, o que acontecer primeiro.</w:t>
      </w:r>
      <w:r w:rsidR="005A52A2" w:rsidRPr="00C71DAC">
        <w:rPr>
          <w:iCs/>
          <w:color w:val="000000"/>
          <w:lang w:val="pt-BR"/>
        </w:rPr>
        <w:t xml:space="preserve"> </w:t>
      </w:r>
      <w:r w:rsidRPr="00C71DAC">
        <w:rPr>
          <w:iCs/>
          <w:color w:val="000000"/>
          <w:lang w:val="pt-BR"/>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w:t>
      </w:r>
      <w:r w:rsidR="005A52A2" w:rsidRPr="00C71DAC">
        <w:rPr>
          <w:iCs/>
          <w:color w:val="000000"/>
          <w:lang w:val="pt-BR"/>
        </w:rPr>
        <w:t xml:space="preserve"> </w:t>
      </w:r>
      <w:r w:rsidRPr="00C71DAC">
        <w:rPr>
          <w:iCs/>
          <w:color w:val="000000"/>
          <w:lang w:val="pt-BR"/>
        </w:rPr>
        <w:t>O EHA é licenciado no estado em que se encontra sem nenhum tipo de garantia.</w:t>
      </w:r>
      <w:r w:rsidR="005A52A2" w:rsidRPr="00C71DAC">
        <w:rPr>
          <w:iCs/>
          <w:color w:val="000000"/>
          <w:lang w:val="pt-BR"/>
        </w:rPr>
        <w:t xml:space="preserve"> </w:t>
      </w:r>
    </w:p>
    <w:p w:rsidR="00DD39C7" w:rsidRPr="00C71DAC" w:rsidRDefault="00DD39C7" w:rsidP="00DD39C7">
      <w:pPr>
        <w:ind w:left="720"/>
        <w:rPr>
          <w:lang w:val="pt-BR"/>
        </w:rPr>
      </w:pPr>
    </w:p>
    <w:p w:rsidR="00023FE7" w:rsidRPr="00C71DAC" w:rsidRDefault="00023FE7" w:rsidP="00B52F10">
      <w:pPr>
        <w:pStyle w:val="Heading2"/>
        <w:rPr>
          <w:rFonts w:ascii="Tahoma" w:hAnsi="Tahoma" w:cs="Tahoma"/>
          <w:sz w:val="18"/>
          <w:szCs w:val="18"/>
          <w:lang w:val="pt-BR"/>
        </w:rPr>
      </w:pPr>
    </w:p>
    <w:p w:rsidR="00827D38" w:rsidRPr="00C71DAC" w:rsidRDefault="00F66FB0" w:rsidP="00B52F10">
      <w:pPr>
        <w:pStyle w:val="Heading2"/>
        <w:ind w:left="0"/>
        <w:rPr>
          <w:lang w:val="da-DK"/>
        </w:rPr>
      </w:pPr>
      <w:bookmarkStart w:id="1245" w:name="_46_Exchange_Hosted"/>
      <w:bookmarkStart w:id="1246" w:name="_47_Exchange_Hosted"/>
      <w:bookmarkStart w:id="1247" w:name="_Toc336338307"/>
      <w:bookmarkStart w:id="1248" w:name="_Toc353470953"/>
      <w:bookmarkStart w:id="1249" w:name="Srv_39ExchangeOnDeskWork"/>
      <w:bookmarkEnd w:id="1245"/>
      <w:bookmarkEnd w:id="1246"/>
      <w:r w:rsidRPr="00C71DAC">
        <w:rPr>
          <w:rFonts w:ascii="Tahoma" w:hAnsi="Tahoma" w:cs="Tahoma"/>
          <w:color w:val="E25B00"/>
          <w:sz w:val="22"/>
          <w:szCs w:val="22"/>
          <w:vertAlign w:val="superscript"/>
          <w:lang w:val="da-DK"/>
        </w:rPr>
        <w:t>47</w:t>
      </w:r>
      <w:r w:rsidRPr="00C71DAC">
        <w:rPr>
          <w:rFonts w:ascii="Tahoma" w:hAnsi="Tahoma" w:cs="Tahoma"/>
          <w:sz w:val="22"/>
          <w:szCs w:val="22"/>
          <w:lang w:val="da-DK"/>
        </w:rPr>
        <w:t xml:space="preserve"> </w:t>
      </w:r>
      <w:r w:rsidRPr="00C71DAC">
        <w:rPr>
          <w:rFonts w:ascii="Tahoma" w:hAnsi="Tahoma" w:cs="Tahoma"/>
          <w:color w:val="F66400"/>
          <w:sz w:val="22"/>
          <w:szCs w:val="22"/>
          <w:lang w:val="da-DK"/>
        </w:rPr>
        <w:t>Exchange Hosted Encryption (SL de Usuário)</w:t>
      </w:r>
      <w:bookmarkEnd w:id="1247"/>
      <w:bookmarkEnd w:id="1248"/>
    </w:p>
    <w:p w:rsidR="00827D38" w:rsidRPr="00C71DAC" w:rsidRDefault="00827D38" w:rsidP="00827D38">
      <w:pPr>
        <w:ind w:left="900"/>
        <w:rPr>
          <w:lang w:val="da-DK"/>
        </w:rPr>
      </w:pPr>
    </w:p>
    <w:p w:rsidR="00827D38" w:rsidRPr="00C71DAC" w:rsidRDefault="00827D38" w:rsidP="00E62BC4">
      <w:pPr>
        <w:ind w:left="720"/>
        <w:rPr>
          <w:lang w:val="pt-BR"/>
        </w:rPr>
      </w:pPr>
      <w:r w:rsidRPr="00C71DAC">
        <w:rPr>
          <w:lang w:val="pt-BR"/>
        </w:rPr>
        <w:t>Os clientes deverão usar o mesmo registro de contrato Select, registro de contrato Enterprise ou contrato Open Value ativo para fazer pedidos subsequentes ao pedido inicial.</w:t>
      </w:r>
    </w:p>
    <w:p w:rsidR="00827D38" w:rsidRPr="00C71DAC" w:rsidRDefault="00827D38" w:rsidP="00E62BC4">
      <w:pPr>
        <w:ind w:left="720"/>
        <w:rPr>
          <w:lang w:val="pt-BR"/>
        </w:rPr>
      </w:pPr>
    </w:p>
    <w:p w:rsidR="00023FE7" w:rsidRPr="00C71DAC" w:rsidRDefault="00827D38" w:rsidP="00E62BC4">
      <w:pPr>
        <w:ind w:left="720"/>
        <w:rPr>
          <w:lang w:val="pt-BR"/>
        </w:rPr>
      </w:pPr>
      <w:r w:rsidRPr="00C71DAC">
        <w:rPr>
          <w:lang w:val="pt-BR"/>
        </w:rPr>
        <w:t xml:space="preserve">Consulte a </w:t>
      </w:r>
      <w:hyperlink w:anchor="_Section_5_–" w:history="1">
        <w:r w:rsidRPr="00C71DAC">
          <w:rPr>
            <w:rStyle w:val="Hyperlink"/>
            <w:lang w:val="pt-BR"/>
          </w:rPr>
          <w:t>Seção 5</w:t>
        </w:r>
      </w:hyperlink>
      <w:r w:rsidRPr="00C71DAC">
        <w:rPr>
          <w:lang w:val="pt-BR"/>
        </w:rPr>
        <w:t xml:space="preserve"> para obter informações sobre os termos de pagamento e preços dos serviços online.</w:t>
      </w:r>
    </w:p>
    <w:p w:rsidR="00827D38" w:rsidRPr="00C71DAC" w:rsidRDefault="00827D38" w:rsidP="00827D38">
      <w:pPr>
        <w:ind w:left="900"/>
        <w:rPr>
          <w:lang w:val="pt-BR"/>
        </w:rPr>
      </w:pPr>
    </w:p>
    <w:p w:rsidR="00827D38" w:rsidRPr="00C71DAC" w:rsidRDefault="00827D38" w:rsidP="00827D38">
      <w:pPr>
        <w:ind w:left="900"/>
        <w:rPr>
          <w:lang w:val="pt-BR"/>
        </w:rPr>
      </w:pPr>
    </w:p>
    <w:p w:rsidR="00023FE7" w:rsidRPr="00C71DAC" w:rsidRDefault="00F66FB0">
      <w:pPr>
        <w:pStyle w:val="Heading3"/>
        <w:rPr>
          <w:lang w:val="pt-BR"/>
        </w:rPr>
      </w:pPr>
      <w:bookmarkStart w:id="1250" w:name="_48_Quiosque_do"/>
      <w:bookmarkStart w:id="1251" w:name="_Toc336338308"/>
      <w:bookmarkStart w:id="1252" w:name="_Toc353470954"/>
      <w:bookmarkStart w:id="1253" w:name="Srv_40ExchangeOnDeskWork"/>
      <w:bookmarkStart w:id="1254" w:name="Srv_45ExchangeOnDeskWork"/>
      <w:bookmarkEnd w:id="1250"/>
      <w:r w:rsidRPr="00C71DAC">
        <w:rPr>
          <w:rFonts w:ascii="Tahoma" w:hAnsi="Tahoma"/>
          <w:caps/>
          <w:color w:val="F66400"/>
          <w:sz w:val="22"/>
          <w:vertAlign w:val="superscript"/>
          <w:lang w:val="pt-BR"/>
        </w:rPr>
        <w:t>48</w:t>
      </w:r>
      <w:r w:rsidRPr="00C71DAC">
        <w:rPr>
          <w:rFonts w:ascii="Tahoma" w:hAnsi="Tahoma"/>
          <w:color w:val="F66400"/>
          <w:sz w:val="22"/>
          <w:lang w:val="pt-BR"/>
        </w:rPr>
        <w:t xml:space="preserve"> Quiosque do Exchange Online (SL de Usuário)</w:t>
      </w:r>
      <w:bookmarkEnd w:id="1251"/>
      <w:bookmarkEnd w:id="1252"/>
    </w:p>
    <w:bookmarkEnd w:id="1249"/>
    <w:bookmarkEnd w:id="1253"/>
    <w:bookmarkEnd w:id="1254"/>
    <w:p w:rsidR="00023FE7" w:rsidRPr="00C71DAC" w:rsidRDefault="00023FE7">
      <w:pPr>
        <w:pStyle w:val="EndnoteText"/>
        <w:rPr>
          <w:lang w:val="pt-BR"/>
        </w:rPr>
      </w:pPr>
    </w:p>
    <w:p w:rsidR="00040ADC" w:rsidRPr="00C71DAC" w:rsidRDefault="00040ADC" w:rsidP="00E62BC4">
      <w:pPr>
        <w:ind w:left="720"/>
        <w:rPr>
          <w:lang w:val="pt-BR"/>
        </w:rPr>
      </w:pPr>
      <w:r w:rsidRPr="00C71DAC">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p>
    <w:p w:rsidR="00040ADC" w:rsidRPr="00C71DAC" w:rsidRDefault="00040ADC" w:rsidP="00E62BC4">
      <w:pPr>
        <w:ind w:left="720"/>
        <w:rPr>
          <w:lang w:val="pt-BR"/>
        </w:rPr>
      </w:pPr>
    </w:p>
    <w:p w:rsidR="00040ADC" w:rsidRPr="00C71DAC" w:rsidRDefault="00040ADC" w:rsidP="00E62BC4">
      <w:pPr>
        <w:ind w:left="720"/>
        <w:rPr>
          <w:lang w:val="pt-BR"/>
        </w:rPr>
      </w:pPr>
      <w:r w:rsidRPr="00C71DAC">
        <w:rPr>
          <w:rFonts w:cs="Tahoma"/>
          <w:color w:val="000000"/>
          <w:szCs w:val="18"/>
          <w:lang w:val="pt-BR"/>
        </w:rPr>
        <w:t>O Quiosque do Exchange Online era conhecido anteriormente como Exchange Online Deskless Worker.</w:t>
      </w:r>
    </w:p>
    <w:p w:rsidR="00352135" w:rsidRPr="00C71DAC" w:rsidRDefault="00352135" w:rsidP="00E62BC4">
      <w:pPr>
        <w:ind w:left="720"/>
        <w:rPr>
          <w:lang w:val="pt-BR"/>
        </w:rPr>
      </w:pPr>
    </w:p>
    <w:p w:rsidR="00702931" w:rsidRPr="00C71DAC" w:rsidRDefault="00702931" w:rsidP="00AF3B19">
      <w:pPr>
        <w:spacing w:after="60"/>
        <w:ind w:left="720"/>
        <w:rPr>
          <w:lang w:val="pt-BR"/>
        </w:rPr>
      </w:pPr>
      <w:r w:rsidRPr="00C71DAC">
        <w:rPr>
          <w:rFonts w:eastAsia="Calibri" w:cs="Tahoma"/>
          <w:b/>
          <w:color w:val="000000"/>
          <w:szCs w:val="18"/>
          <w:lang w:val="pt-BR"/>
        </w:rPr>
        <w:t>Nuvem da Comunidade do Governo (apenas para os Estados Unidos)</w:t>
      </w:r>
    </w:p>
    <w:p w:rsidR="00702931" w:rsidRPr="00C71DAC" w:rsidRDefault="00702931" w:rsidP="00E62BC4">
      <w:pPr>
        <w:ind w:left="720"/>
        <w:rPr>
          <w:lang w:val="pt-BR"/>
        </w:rPr>
      </w:pPr>
      <w:r w:rsidRPr="00C71DAC">
        <w:rPr>
          <w:rFonts w:eastAsia="Calibri" w:cs="Tahoma"/>
          <w:color w:val="000000"/>
          <w:szCs w:val="18"/>
          <w:lang w:val="pt-BR"/>
        </w:rPr>
        <w:t>Alguns serviços online na família de produtos do Office 365 (incluindo Quiosque do Exchange Online) são oferecidos como serviços de nuvem da comunidade do governo e serviços de nuvem da comunidade não governamental.</w:t>
      </w:r>
      <w:r w:rsidR="005A52A2" w:rsidRPr="00C71DAC">
        <w:rPr>
          <w:rFonts w:eastAsia="Calibri" w:cs="Tahoma"/>
          <w:color w:val="000000"/>
          <w:szCs w:val="18"/>
          <w:lang w:val="pt-BR"/>
        </w:rPr>
        <w:t xml:space="preserve"> </w:t>
      </w:r>
      <w:r w:rsidRPr="00C71DAC">
        <w:rPr>
          <w:rFonts w:eastAsia="Calibri" w:cs="Tahoma"/>
          <w:color w:val="000000"/>
          <w:szCs w:val="18"/>
          <w:lang w:val="pt-BR"/>
        </w:rPr>
        <w:t>Os clientes podem ser provisionados como um ou outro, mas não com uma mistura dos dois.</w:t>
      </w:r>
      <w:r w:rsidR="005A52A2" w:rsidRPr="00C71DAC">
        <w:rPr>
          <w:rFonts w:eastAsia="Calibri" w:cs="Tahoma"/>
          <w:color w:val="000000"/>
          <w:szCs w:val="18"/>
          <w:lang w:val="pt-BR"/>
        </w:rPr>
        <w:t xml:space="preserve"> </w:t>
      </w:r>
      <w:r w:rsidRPr="00C71DAC">
        <w:rPr>
          <w:rFonts w:eastAsia="Calibri" w:cs="Tahoma"/>
          <w:color w:val="000000"/>
          <w:szCs w:val="18"/>
          <w:lang w:val="pt-BR"/>
        </w:rPr>
        <w:t>Os Serviços Online projetados como nuvem de comunidade do governo não podem ser implantados no</w:t>
      </w:r>
      <w:r w:rsidR="00392523" w:rsidRPr="00C71DAC">
        <w:rPr>
          <w:rFonts w:eastAsia="Calibri" w:cs="Tahoma"/>
          <w:color w:val="000000"/>
          <w:szCs w:val="18"/>
          <w:lang w:val="pt-BR"/>
        </w:rPr>
        <w:t> </w:t>
      </w:r>
      <w:r w:rsidRPr="00C71DAC">
        <w:rPr>
          <w:rFonts w:eastAsia="Calibri" w:cs="Tahoma"/>
          <w:color w:val="000000"/>
          <w:szCs w:val="18"/>
          <w:lang w:val="pt-BR"/>
        </w:rPr>
        <w:t>mesmo domínio que os serviços de nuvem da comunidade não governamental específicos.</w:t>
      </w:r>
      <w:r w:rsidR="005A52A2" w:rsidRPr="00C71DAC">
        <w:rPr>
          <w:rFonts w:eastAsia="Calibri" w:cs="Tahoma"/>
          <w:color w:val="000000"/>
          <w:szCs w:val="18"/>
          <w:lang w:val="pt-BR"/>
        </w:rPr>
        <w:t xml:space="preserve"> </w:t>
      </w:r>
      <w:r w:rsidRPr="00C71DAC">
        <w:rPr>
          <w:rFonts w:eastAsia="Calibri" w:cs="Tahoma"/>
          <w:color w:val="000000"/>
          <w:szCs w:val="18"/>
          <w:lang w:val="pt-BR"/>
        </w:rPr>
        <w:t>Esta limitação se estende a qualquer serviço online que faça parte da família de produtos do Office 365, incluindo Exchange Online, SharePoint Online e Lync Online.</w:t>
      </w:r>
      <w:r w:rsidR="005A52A2" w:rsidRPr="00C71DAC">
        <w:rPr>
          <w:rFonts w:eastAsia="Calibri" w:cs="Tahoma"/>
          <w:color w:val="000000"/>
          <w:szCs w:val="18"/>
          <w:lang w:val="pt-BR"/>
        </w:rPr>
        <w:t xml:space="preserve"> </w:t>
      </w:r>
    </w:p>
    <w:p w:rsidR="00702931" w:rsidRPr="00C71DAC" w:rsidRDefault="00702931" w:rsidP="00E62BC4">
      <w:pPr>
        <w:ind w:left="720"/>
        <w:rPr>
          <w:lang w:val="pt-BR"/>
        </w:rPr>
      </w:pPr>
    </w:p>
    <w:p w:rsidR="00702931" w:rsidRPr="00C71DAC" w:rsidRDefault="00702931" w:rsidP="00E62BC4">
      <w:pPr>
        <w:ind w:left="720"/>
        <w:rPr>
          <w:lang w:val="pt-BR"/>
        </w:rPr>
      </w:pPr>
      <w:r w:rsidRPr="00C71DAC">
        <w:rPr>
          <w:rFonts w:eastAsia="Calibri" w:cs="Tahoma"/>
          <w:color w:val="000000"/>
          <w:szCs w:val="18"/>
          <w:lang w:val="pt-BR"/>
        </w:rPr>
        <w:t>Assim que um serviço online é provisionado na nuvem de comunidade do governo, ele permanecerá lá pela duração da vigência da assinatura.</w:t>
      </w:r>
      <w:r w:rsidR="005A52A2" w:rsidRPr="00C71DAC">
        <w:rPr>
          <w:rFonts w:eastAsia="Calibri" w:cs="Tahoma"/>
          <w:color w:val="000000"/>
          <w:szCs w:val="18"/>
          <w:lang w:val="pt-BR"/>
        </w:rPr>
        <w:t xml:space="preserve"> </w:t>
      </w:r>
      <w:r w:rsidRPr="00C71DAC">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5A52A2" w:rsidRPr="00C71DAC">
        <w:rPr>
          <w:rFonts w:eastAsia="Calibri" w:cs="Tahoma"/>
          <w:color w:val="000000"/>
          <w:szCs w:val="18"/>
          <w:lang w:val="pt-BR"/>
        </w:rPr>
        <w:t xml:space="preserve"> </w:t>
      </w:r>
      <w:r w:rsidRPr="00C71DAC">
        <w:rPr>
          <w:rFonts w:eastAsia="Calibri" w:cs="Tahoma"/>
          <w:color w:val="000000"/>
          <w:szCs w:val="18"/>
          <w:lang w:val="pt-BR"/>
        </w:rPr>
        <w:t>Os Direitos de Uso para serviços de nuvem da comunidade do governo</w:t>
      </w:r>
      <w:r w:rsidR="00392523" w:rsidRPr="00C71DAC">
        <w:rPr>
          <w:rFonts w:eastAsia="Calibri" w:cs="Tahoma"/>
          <w:color w:val="000000"/>
          <w:szCs w:val="18"/>
          <w:lang w:val="pt-BR"/>
        </w:rPr>
        <w:t> </w:t>
      </w:r>
      <w:r w:rsidRPr="00C71DAC">
        <w:rPr>
          <w:rFonts w:eastAsia="Calibri" w:cs="Tahoma"/>
          <w:color w:val="000000"/>
          <w:szCs w:val="18"/>
          <w:lang w:val="pt-BR"/>
        </w:rPr>
        <w:t>são equivalentes àqueles dos seus diversos locatários padrão.</w:t>
      </w:r>
      <w:r w:rsidR="005A52A2" w:rsidRPr="00C71DAC">
        <w:rPr>
          <w:rFonts w:eastAsia="Calibri" w:cs="Tahoma"/>
          <w:color w:val="000000"/>
          <w:szCs w:val="18"/>
          <w:lang w:val="pt-BR"/>
        </w:rPr>
        <w:t xml:space="preserve"> </w:t>
      </w:r>
    </w:p>
    <w:p w:rsidR="00C066F9" w:rsidRPr="00C71DAC" w:rsidRDefault="00C066F9" w:rsidP="00C066F9">
      <w:pPr>
        <w:ind w:left="720"/>
        <w:rPr>
          <w:lang w:val="pt-BR"/>
        </w:rPr>
      </w:pPr>
      <w:bookmarkStart w:id="1255" w:name="Srv_41ExchangeSvr07EntCAL"/>
    </w:p>
    <w:p w:rsidR="00371299" w:rsidRPr="00C71DAC" w:rsidRDefault="00F66FB0" w:rsidP="00B17EFB">
      <w:pPr>
        <w:pStyle w:val="Heading3"/>
        <w:rPr>
          <w:lang w:val="pt-BR"/>
        </w:rPr>
      </w:pPr>
      <w:bookmarkStart w:id="1256" w:name="_48_Exchange_Online"/>
      <w:bookmarkStart w:id="1257" w:name="_Toc336338309"/>
      <w:bookmarkStart w:id="1258" w:name="_Toc353470955"/>
      <w:bookmarkStart w:id="1259" w:name="Srv_46ExhangeOnlinePlan1"/>
      <w:bookmarkStart w:id="1260" w:name="Srv_42ExchangeSvr2010EntCAL"/>
      <w:bookmarkStart w:id="1261" w:name="Srv_47ExchangeSvr2010EntCAL"/>
      <w:bookmarkEnd w:id="1256"/>
      <w:r w:rsidRPr="00C71DAC">
        <w:rPr>
          <w:rFonts w:ascii="Tahoma" w:hAnsi="Tahoma" w:cs="Tahoma"/>
          <w:caps/>
          <w:color w:val="F66400"/>
          <w:sz w:val="22"/>
          <w:szCs w:val="22"/>
          <w:vertAlign w:val="superscript"/>
          <w:lang w:val="pt-BR"/>
        </w:rPr>
        <w:t>49</w:t>
      </w:r>
      <w:r w:rsidRPr="00C71DAC">
        <w:rPr>
          <w:rFonts w:ascii="Tahoma" w:hAnsi="Tahoma" w:cs="Tahoma"/>
          <w:color w:val="F66400"/>
          <w:sz w:val="22"/>
          <w:szCs w:val="22"/>
          <w:lang w:val="pt-BR"/>
        </w:rPr>
        <w:t xml:space="preserve"> Exchange Online Plano 1</w:t>
      </w:r>
      <w:bookmarkEnd w:id="1257"/>
      <w:bookmarkEnd w:id="1258"/>
    </w:p>
    <w:bookmarkEnd w:id="1259"/>
    <w:p w:rsidR="00371299" w:rsidRPr="00C71DAC" w:rsidRDefault="00371299" w:rsidP="00371299">
      <w:pPr>
        <w:outlineLvl w:val="2"/>
        <w:rPr>
          <w:lang w:val="pt-BR"/>
        </w:rPr>
      </w:pPr>
    </w:p>
    <w:p w:rsidR="00371299" w:rsidRPr="00C71DAC" w:rsidRDefault="00371299" w:rsidP="00371299">
      <w:pPr>
        <w:ind w:left="720"/>
        <w:contextualSpacing/>
        <w:rPr>
          <w:rFonts w:cs="Tahoma"/>
          <w:lang w:val="pt-BR"/>
        </w:rPr>
      </w:pPr>
      <w:r w:rsidRPr="00C71DAC">
        <w:rPr>
          <w:rFonts w:cs="Tahoma"/>
          <w:szCs w:val="20"/>
          <w:lang w:val="pt-BR"/>
        </w:rPr>
        <w:lastRenderedPageBreak/>
        <w:t>O Exchange Online Plano 1 era conhecido anteriormente como Exchange Online Standard.</w:t>
      </w:r>
    </w:p>
    <w:p w:rsidR="00A61080" w:rsidRPr="00C71DAC" w:rsidRDefault="00A61080" w:rsidP="00C066F9">
      <w:pPr>
        <w:ind w:left="720"/>
        <w:contextualSpacing/>
        <w:rPr>
          <w:rFonts w:cs="Tahoma"/>
          <w:lang w:val="pt-BR"/>
        </w:rPr>
      </w:pPr>
    </w:p>
    <w:p w:rsidR="00A61080" w:rsidRPr="00C71DAC" w:rsidRDefault="00A61080" w:rsidP="00A61080">
      <w:pPr>
        <w:ind w:left="720"/>
        <w:rPr>
          <w:rFonts w:cs="Tahoma"/>
          <w:lang w:val="pt-BR"/>
        </w:rPr>
      </w:pPr>
      <w:r w:rsidRPr="00C71DAC">
        <w:rPr>
          <w:rFonts w:eastAsia="Calibri" w:cs="Tahoma"/>
          <w:color w:val="000000"/>
          <w:szCs w:val="18"/>
          <w:lang w:val="pt-BR"/>
        </w:rPr>
        <w:t>Não obstante quaisquer disposições em contrário nos Direitos de Uso de Produto, uma SL de Usuário do</w:t>
      </w:r>
      <w:r w:rsidR="00792983" w:rsidRPr="00C71DAC">
        <w:rPr>
          <w:rFonts w:eastAsia="Calibri" w:cs="Tahoma"/>
          <w:color w:val="000000"/>
          <w:szCs w:val="18"/>
          <w:lang w:val="pt-BR"/>
        </w:rPr>
        <w:t> </w:t>
      </w:r>
      <w:r w:rsidRPr="00C71DAC">
        <w:rPr>
          <w:rFonts w:eastAsia="Calibri" w:cs="Tahoma"/>
          <w:color w:val="000000"/>
          <w:szCs w:val="18"/>
          <w:lang w:val="pt-BR"/>
        </w:rPr>
        <w:t>Exchange Online Plano 1 comprada sob um Contrato para Campus e School não permite acesso ao Exchange Server.</w:t>
      </w:r>
    </w:p>
    <w:p w:rsidR="00B23BE6" w:rsidRPr="00C71DAC" w:rsidRDefault="00B23BE6" w:rsidP="00A61080">
      <w:pPr>
        <w:ind w:left="720"/>
        <w:rPr>
          <w:rFonts w:cs="Tahoma"/>
          <w:lang w:val="pt-BR"/>
        </w:rPr>
      </w:pPr>
    </w:p>
    <w:p w:rsidR="00702931" w:rsidRPr="00C71DAC" w:rsidRDefault="00702931" w:rsidP="0067725A">
      <w:pPr>
        <w:spacing w:after="60"/>
        <w:ind w:left="720"/>
        <w:rPr>
          <w:rFonts w:cs="Tahoma"/>
          <w:lang w:val="pt-BR"/>
        </w:rPr>
      </w:pPr>
      <w:r w:rsidRPr="00C71DAC">
        <w:rPr>
          <w:rFonts w:eastAsia="Calibri" w:cs="Tahoma"/>
          <w:b/>
          <w:color w:val="000000"/>
          <w:szCs w:val="18"/>
          <w:lang w:val="pt-BR"/>
        </w:rPr>
        <w:t>Nuvem da Comunidade do Governo (Apenas para os Estados Unidos)</w:t>
      </w:r>
    </w:p>
    <w:p w:rsidR="00702931" w:rsidRPr="00C71DAC" w:rsidRDefault="00702931" w:rsidP="00702931">
      <w:pPr>
        <w:ind w:left="720"/>
        <w:rPr>
          <w:rFonts w:cs="Tahoma"/>
          <w:lang w:val="pt-BR"/>
        </w:rPr>
      </w:pPr>
      <w:r w:rsidRPr="00C71DAC">
        <w:rPr>
          <w:rFonts w:eastAsia="Calibri"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5A52A2" w:rsidRPr="00C71DAC">
        <w:rPr>
          <w:rFonts w:eastAsia="Calibri" w:cs="Tahoma"/>
          <w:color w:val="000000"/>
          <w:szCs w:val="18"/>
          <w:lang w:val="pt-BR"/>
        </w:rPr>
        <w:t xml:space="preserve"> </w:t>
      </w:r>
      <w:r w:rsidRPr="00C71DAC">
        <w:rPr>
          <w:rFonts w:eastAsia="Calibri" w:cs="Tahoma"/>
          <w:color w:val="000000"/>
          <w:szCs w:val="18"/>
          <w:lang w:val="pt-BR"/>
        </w:rPr>
        <w:t>Os clientes podem ser provisionados como um ou outro, mas não com uma mistura dos dois.</w:t>
      </w:r>
      <w:r w:rsidR="005A52A2" w:rsidRPr="00C71DAC">
        <w:rPr>
          <w:rFonts w:eastAsia="Calibri" w:cs="Tahoma"/>
          <w:color w:val="000000"/>
          <w:szCs w:val="18"/>
          <w:lang w:val="pt-BR"/>
        </w:rPr>
        <w:t xml:space="preserve"> </w:t>
      </w:r>
      <w:r w:rsidRPr="00C71DAC">
        <w:rPr>
          <w:rFonts w:eastAsia="Calibri" w:cs="Tahoma"/>
          <w:color w:val="000000"/>
          <w:szCs w:val="18"/>
          <w:lang w:val="pt-BR"/>
        </w:rPr>
        <w:t>Os Serviços Online projetados como nuvem de comunidade do governo não podem ser implantados no</w:t>
      </w:r>
      <w:r w:rsidR="00792983" w:rsidRPr="00C71DAC">
        <w:rPr>
          <w:rFonts w:eastAsia="Calibri" w:cs="Tahoma"/>
          <w:color w:val="000000"/>
          <w:szCs w:val="18"/>
          <w:lang w:val="pt-BR"/>
        </w:rPr>
        <w:t> </w:t>
      </w:r>
      <w:r w:rsidRPr="00C71DAC">
        <w:rPr>
          <w:rFonts w:eastAsia="Calibri" w:cs="Tahoma"/>
          <w:color w:val="000000"/>
          <w:szCs w:val="18"/>
          <w:lang w:val="pt-BR"/>
        </w:rPr>
        <w:t>mesmo domínio que os serviços de nuvem da comunidade não governamental específicos.</w:t>
      </w:r>
      <w:r w:rsidR="005A52A2" w:rsidRPr="00C71DAC">
        <w:rPr>
          <w:rFonts w:eastAsia="Calibri" w:cs="Tahoma"/>
          <w:color w:val="000000"/>
          <w:szCs w:val="18"/>
          <w:lang w:val="pt-BR"/>
        </w:rPr>
        <w:t xml:space="preserve"> </w:t>
      </w:r>
      <w:r w:rsidRPr="00C71DAC">
        <w:rPr>
          <w:rFonts w:eastAsia="Calibri" w:cs="Tahoma"/>
          <w:color w:val="000000"/>
          <w:szCs w:val="18"/>
          <w:lang w:val="pt-BR"/>
        </w:rPr>
        <w:t>Esta limitação se estende a qualquer serviço online que faça parte da família de produtos do Office 365, incluindo Exchange Online, SharePoint Online e Lync Online.</w:t>
      </w:r>
      <w:r w:rsidR="005A52A2" w:rsidRPr="00C71DAC">
        <w:rPr>
          <w:rFonts w:eastAsia="Calibri" w:cs="Tahoma"/>
          <w:color w:val="000000"/>
          <w:szCs w:val="18"/>
          <w:lang w:val="pt-BR"/>
        </w:rPr>
        <w:t xml:space="preserve"> </w:t>
      </w:r>
    </w:p>
    <w:p w:rsidR="00702931" w:rsidRPr="00C71DAC" w:rsidRDefault="00702931" w:rsidP="00702931">
      <w:pPr>
        <w:ind w:left="720"/>
        <w:rPr>
          <w:rFonts w:cs="Tahoma"/>
          <w:lang w:val="pt-BR"/>
        </w:rPr>
      </w:pPr>
    </w:p>
    <w:p w:rsidR="00702931" w:rsidRPr="00C71DAC" w:rsidRDefault="00702931" w:rsidP="00702931">
      <w:pPr>
        <w:ind w:left="720"/>
        <w:rPr>
          <w:rFonts w:cs="Tahoma"/>
          <w:lang w:val="pt-BR"/>
        </w:rPr>
      </w:pPr>
      <w:r w:rsidRPr="00C71DAC">
        <w:rPr>
          <w:rFonts w:eastAsia="Calibri" w:cs="Tahoma"/>
          <w:color w:val="000000"/>
          <w:szCs w:val="18"/>
          <w:lang w:val="pt-BR"/>
        </w:rPr>
        <w:t>Assim que um serviço online é provisionado na nuvem de comunidade do governo, ele permanecerá lá pela</w:t>
      </w:r>
      <w:r w:rsidR="00792983" w:rsidRPr="00C71DAC">
        <w:rPr>
          <w:rFonts w:eastAsia="Calibri" w:cs="Tahoma"/>
          <w:color w:val="000000"/>
          <w:szCs w:val="18"/>
          <w:lang w:val="pt-BR"/>
        </w:rPr>
        <w:t> </w:t>
      </w:r>
      <w:r w:rsidRPr="00C71DAC">
        <w:rPr>
          <w:rFonts w:eastAsia="Calibri" w:cs="Tahoma"/>
          <w:color w:val="000000"/>
          <w:szCs w:val="18"/>
          <w:lang w:val="pt-BR"/>
        </w:rPr>
        <w:t>duração da vigência da assinatura.</w:t>
      </w:r>
      <w:r w:rsidR="005A52A2" w:rsidRPr="00C71DAC">
        <w:rPr>
          <w:rFonts w:eastAsia="Calibri" w:cs="Tahoma"/>
          <w:color w:val="000000"/>
          <w:szCs w:val="18"/>
          <w:lang w:val="pt-BR"/>
        </w:rPr>
        <w:t xml:space="preserve"> </w:t>
      </w:r>
      <w:r w:rsidRPr="00C71DAC">
        <w:rPr>
          <w:rFonts w:eastAsia="Calibri" w:cs="Tahoma"/>
          <w:color w:val="000000"/>
          <w:szCs w:val="18"/>
          <w:lang w:val="pt-BR"/>
        </w:rPr>
        <w:t>Clientes que são instituições governamentais federais, estaduais, locais ou tribais dos Estados Unidos devem fazer parte de um Registro Enterprise do Governo Americano ou</w:t>
      </w:r>
      <w:r w:rsidR="00792983" w:rsidRPr="00C71DAC">
        <w:rPr>
          <w:rFonts w:eastAsia="Calibri" w:cs="Tahoma"/>
          <w:color w:val="000000"/>
          <w:szCs w:val="18"/>
          <w:lang w:val="pt-BR"/>
        </w:rPr>
        <w:t> </w:t>
      </w:r>
      <w:r w:rsidRPr="00C71DAC">
        <w:rPr>
          <w:rFonts w:eastAsia="Calibri" w:cs="Tahoma"/>
          <w:color w:val="000000"/>
          <w:szCs w:val="18"/>
          <w:lang w:val="pt-BR"/>
        </w:rPr>
        <w:t>Registro Enterprise Subscription para estar qualificado para comprar serviços online designados como nuvem da comunidade do governo.</w:t>
      </w:r>
      <w:r w:rsidR="005A52A2" w:rsidRPr="00C71DAC">
        <w:rPr>
          <w:rFonts w:eastAsia="Calibri" w:cs="Tahoma"/>
          <w:color w:val="000000"/>
          <w:szCs w:val="18"/>
          <w:lang w:val="pt-BR"/>
        </w:rPr>
        <w:t xml:space="preserve"> </w:t>
      </w:r>
      <w:r w:rsidRPr="00C71DAC">
        <w:rPr>
          <w:rFonts w:eastAsia="Calibri" w:cs="Tahoma"/>
          <w:color w:val="000000"/>
          <w:szCs w:val="18"/>
          <w:lang w:val="pt-BR"/>
        </w:rPr>
        <w:t>Os Direitos de Uso para serviços de nuvem da comunidade do governo são equivalentes àqueles dos seus diversos locatários padrão.</w:t>
      </w:r>
      <w:r w:rsidR="005A52A2" w:rsidRPr="00C71DAC">
        <w:rPr>
          <w:rFonts w:eastAsia="Calibri" w:cs="Tahoma"/>
          <w:color w:val="000000"/>
          <w:szCs w:val="18"/>
          <w:lang w:val="pt-BR"/>
        </w:rPr>
        <w:t xml:space="preserve"> </w:t>
      </w:r>
    </w:p>
    <w:p w:rsidR="00B23BE6" w:rsidRPr="00C71DAC" w:rsidRDefault="00B23BE6" w:rsidP="00A61080">
      <w:pPr>
        <w:ind w:left="720"/>
        <w:rPr>
          <w:rFonts w:cs="Tahoma"/>
          <w:lang w:val="pt-BR"/>
        </w:rPr>
      </w:pPr>
    </w:p>
    <w:p w:rsidR="00D70D2C" w:rsidRPr="00C71DAC" w:rsidRDefault="00D70D2C" w:rsidP="00A61080">
      <w:pPr>
        <w:ind w:left="720"/>
        <w:rPr>
          <w:rFonts w:cs="Tahoma"/>
          <w:lang w:val="pt-BR"/>
        </w:rPr>
      </w:pPr>
    </w:p>
    <w:p w:rsidR="00D70D2C" w:rsidRPr="00C71DAC" w:rsidRDefault="00F66FB0" w:rsidP="00D70D2C">
      <w:pPr>
        <w:pStyle w:val="Heading2"/>
        <w:ind w:left="0"/>
        <w:rPr>
          <w:lang w:val="pt-BR"/>
        </w:rPr>
      </w:pPr>
      <w:bookmarkStart w:id="1262" w:name="_49_Exchange_Online"/>
      <w:bookmarkStart w:id="1263" w:name="_50_Exchange_Online"/>
      <w:bookmarkStart w:id="1264" w:name="_Toc353470956"/>
      <w:bookmarkStart w:id="1265" w:name="Srv_50ExchangeOnlinePlan2"/>
      <w:bookmarkEnd w:id="1262"/>
      <w:bookmarkEnd w:id="1263"/>
      <w:r w:rsidRPr="00C71DAC">
        <w:rPr>
          <w:rFonts w:ascii="Tahoma" w:hAnsi="Tahoma" w:cs="Tahoma"/>
          <w:caps/>
          <w:color w:val="F66400"/>
          <w:sz w:val="22"/>
          <w:szCs w:val="20"/>
          <w:vertAlign w:val="superscript"/>
          <w:lang w:val="pt-BR"/>
        </w:rPr>
        <w:t>50</w:t>
      </w:r>
      <w:r w:rsidRPr="00C71DAC">
        <w:rPr>
          <w:rFonts w:ascii="Tahoma" w:hAnsi="Tahoma" w:cs="Tahoma"/>
          <w:color w:val="F66400"/>
          <w:sz w:val="22"/>
          <w:szCs w:val="20"/>
          <w:lang w:val="pt-BR"/>
        </w:rPr>
        <w:t xml:space="preserve"> Exchange Online Plano 2</w:t>
      </w:r>
      <w:bookmarkEnd w:id="1264"/>
    </w:p>
    <w:bookmarkEnd w:id="1265"/>
    <w:p w:rsidR="00D70D2C" w:rsidRPr="00C71DAC" w:rsidRDefault="00D70D2C" w:rsidP="00D70D2C">
      <w:pPr>
        <w:outlineLvl w:val="2"/>
        <w:rPr>
          <w:lang w:val="pt-BR"/>
        </w:rPr>
      </w:pPr>
    </w:p>
    <w:p w:rsidR="00D70D2C" w:rsidRPr="00C71DAC" w:rsidRDefault="00D70D2C" w:rsidP="00D70D2C">
      <w:pPr>
        <w:pStyle w:val="ListParagraph"/>
        <w:rPr>
          <w:lang w:val="pt-BR"/>
        </w:rPr>
      </w:pPr>
      <w:r w:rsidRPr="00C71DAC">
        <w:rPr>
          <w:rFonts w:ascii="Tahoma" w:hAnsi="Tahoma" w:cs="Tahoma"/>
          <w:color w:val="000000"/>
          <w:sz w:val="18"/>
          <w:szCs w:val="18"/>
          <w:lang w:val="pt-BR"/>
        </w:rPr>
        <w:t>O Exchange Online Plan 2 é um serviço online sucessor do Exchange Hosted Archive.</w:t>
      </w:r>
    </w:p>
    <w:p w:rsidR="00D70D2C" w:rsidRPr="00C71DAC" w:rsidRDefault="00D70D2C" w:rsidP="001A7718">
      <w:pPr>
        <w:outlineLvl w:val="2"/>
        <w:rPr>
          <w:lang w:val="pt-BR"/>
        </w:rPr>
      </w:pPr>
    </w:p>
    <w:p w:rsidR="00D70D2C" w:rsidRPr="00C71DAC" w:rsidRDefault="00D70D2C" w:rsidP="00D70D2C">
      <w:pPr>
        <w:ind w:left="720"/>
        <w:rPr>
          <w:lang w:val="pt-BR"/>
        </w:rPr>
      </w:pPr>
      <w:r w:rsidRPr="00C71DAC">
        <w:rPr>
          <w:rFonts w:cs="Tahoma"/>
          <w:color w:val="000000"/>
          <w:szCs w:val="18"/>
          <w:lang w:val="pt-BR"/>
        </w:rPr>
        <w:t>Se você renovar a partir do Exchange Hosted Archive no Exchange Online Plano 2 e ainda não tiver migrado para o Exchange Online Plano 2,</w:t>
      </w:r>
      <w:r w:rsidRPr="00C71DAC">
        <w:rPr>
          <w:color w:val="000000"/>
          <w:lang w:val="pt-BR"/>
        </w:rPr>
        <w:t xml:space="preserve"> seus usuários licenciados poderão continuar usando o serviço Exchange Hosted Archive sujeito aos termos do PUR de março de 2011 antes da migração para o Exchange Online Plano 2 e a expiração da sua assinatura do Exchange Online Plano 2.</w:t>
      </w:r>
    </w:p>
    <w:p w:rsidR="00702931" w:rsidRPr="00C71DAC" w:rsidRDefault="00702931" w:rsidP="00D70D2C">
      <w:pPr>
        <w:ind w:left="720"/>
        <w:rPr>
          <w:lang w:val="pt-BR"/>
        </w:rPr>
      </w:pPr>
    </w:p>
    <w:p w:rsidR="00702931" w:rsidRPr="00C71DAC" w:rsidRDefault="00702931" w:rsidP="0067725A">
      <w:pPr>
        <w:spacing w:after="60"/>
        <w:ind w:left="720"/>
        <w:rPr>
          <w:lang w:val="pt-BR"/>
        </w:rPr>
      </w:pPr>
      <w:r w:rsidRPr="00C71DAC">
        <w:rPr>
          <w:rFonts w:eastAsia="Calibri" w:cs="Tahoma"/>
          <w:b/>
          <w:color w:val="000000"/>
          <w:szCs w:val="18"/>
          <w:lang w:val="pt-BR"/>
        </w:rPr>
        <w:t>Nuvem da Comunidade do Governo (Apenas para os Estados Unidos)</w:t>
      </w:r>
    </w:p>
    <w:p w:rsidR="00702931" w:rsidRPr="00C71DAC" w:rsidRDefault="00702931" w:rsidP="00702931">
      <w:pPr>
        <w:ind w:left="720"/>
        <w:rPr>
          <w:lang w:val="pt-BR"/>
        </w:rPr>
      </w:pPr>
      <w:r w:rsidRPr="00C71DAC">
        <w:rPr>
          <w:rFonts w:eastAsia="Calibri"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5A52A2" w:rsidRPr="00C71DAC">
        <w:rPr>
          <w:rFonts w:eastAsia="Calibri" w:cs="Tahoma"/>
          <w:color w:val="000000"/>
          <w:szCs w:val="18"/>
          <w:lang w:val="pt-BR"/>
        </w:rPr>
        <w:t xml:space="preserve"> </w:t>
      </w:r>
      <w:r w:rsidRPr="00C71DAC">
        <w:rPr>
          <w:rFonts w:eastAsia="Calibri" w:cs="Tahoma"/>
          <w:color w:val="000000"/>
          <w:szCs w:val="18"/>
          <w:lang w:val="pt-BR"/>
        </w:rPr>
        <w:t>Os clientes podem ser provisionados como um ou outro, mas não com uma mistura dos dois.</w:t>
      </w:r>
      <w:r w:rsidR="005A52A2" w:rsidRPr="00C71DAC">
        <w:rPr>
          <w:rFonts w:eastAsia="Calibri" w:cs="Tahoma"/>
          <w:color w:val="000000"/>
          <w:szCs w:val="18"/>
          <w:lang w:val="pt-BR"/>
        </w:rPr>
        <w:t xml:space="preserve"> </w:t>
      </w:r>
      <w:r w:rsidRPr="00C71DAC">
        <w:rPr>
          <w:rFonts w:eastAsia="Calibri" w:cs="Tahoma"/>
          <w:color w:val="000000"/>
          <w:szCs w:val="18"/>
          <w:lang w:val="pt-BR"/>
        </w:rPr>
        <w:t>Os Serviços Online projetados como nuvem de comunidade do governo não podem ser implantados no</w:t>
      </w:r>
      <w:r w:rsidR="00792983" w:rsidRPr="00C71DAC">
        <w:rPr>
          <w:rFonts w:eastAsia="Calibri" w:cs="Tahoma"/>
          <w:color w:val="000000"/>
          <w:szCs w:val="18"/>
          <w:lang w:val="pt-BR"/>
        </w:rPr>
        <w:t> </w:t>
      </w:r>
      <w:r w:rsidRPr="00C71DAC">
        <w:rPr>
          <w:rFonts w:eastAsia="Calibri" w:cs="Tahoma"/>
          <w:color w:val="000000"/>
          <w:szCs w:val="18"/>
          <w:lang w:val="pt-BR"/>
        </w:rPr>
        <w:t>mesmo domínio que os serviços de nuvem da comunidade não governamental específicos.</w:t>
      </w:r>
      <w:r w:rsidR="005A52A2" w:rsidRPr="00C71DAC">
        <w:rPr>
          <w:rFonts w:eastAsia="Calibri" w:cs="Tahoma"/>
          <w:color w:val="000000"/>
          <w:szCs w:val="18"/>
          <w:lang w:val="pt-BR"/>
        </w:rPr>
        <w:t xml:space="preserve"> </w:t>
      </w:r>
      <w:r w:rsidRPr="00C71DAC">
        <w:rPr>
          <w:rFonts w:eastAsia="Calibri" w:cs="Tahoma"/>
          <w:color w:val="000000"/>
          <w:szCs w:val="18"/>
          <w:lang w:val="pt-BR"/>
        </w:rPr>
        <w:t>Esta limitação se estende a qualquer serviço online que faça parte da família de produtos do Office 365, incluindo Exchange Online, SharePoint Online e Lync Online.</w:t>
      </w:r>
      <w:r w:rsidR="005A52A2" w:rsidRPr="00C71DAC">
        <w:rPr>
          <w:rFonts w:eastAsia="Calibri" w:cs="Tahoma"/>
          <w:color w:val="000000"/>
          <w:szCs w:val="18"/>
          <w:lang w:val="pt-BR"/>
        </w:rPr>
        <w:t xml:space="preserve"> </w:t>
      </w:r>
    </w:p>
    <w:p w:rsidR="00702931" w:rsidRPr="00C71DAC" w:rsidRDefault="00702931" w:rsidP="00702931">
      <w:pPr>
        <w:ind w:left="720"/>
        <w:rPr>
          <w:lang w:val="pt-BR"/>
        </w:rPr>
      </w:pPr>
    </w:p>
    <w:p w:rsidR="00B2460D" w:rsidRPr="00C71DAC" w:rsidRDefault="00702931" w:rsidP="00697E59">
      <w:pPr>
        <w:ind w:left="720"/>
        <w:rPr>
          <w:lang w:val="pt-BR"/>
        </w:rPr>
      </w:pPr>
      <w:r w:rsidRPr="00C71DAC">
        <w:rPr>
          <w:rFonts w:eastAsia="Calibri" w:cs="Tahoma"/>
          <w:color w:val="000000"/>
          <w:szCs w:val="18"/>
          <w:lang w:val="pt-BR"/>
        </w:rPr>
        <w:t>Assim que um serviço online é provisionado na nuvem de comunidade do governo, ele permanecerá lá pela</w:t>
      </w:r>
      <w:r w:rsidR="00792983" w:rsidRPr="00C71DAC">
        <w:rPr>
          <w:rFonts w:eastAsia="Calibri" w:cs="Tahoma"/>
          <w:color w:val="000000"/>
          <w:szCs w:val="18"/>
          <w:lang w:val="pt-BR"/>
        </w:rPr>
        <w:t> </w:t>
      </w:r>
      <w:r w:rsidRPr="00C71DAC">
        <w:rPr>
          <w:rFonts w:eastAsia="Calibri" w:cs="Tahoma"/>
          <w:color w:val="000000"/>
          <w:szCs w:val="18"/>
          <w:lang w:val="pt-BR"/>
        </w:rPr>
        <w:t>duração da vigência da assinatura.</w:t>
      </w:r>
      <w:r w:rsidR="005A52A2" w:rsidRPr="00C71DAC">
        <w:rPr>
          <w:rFonts w:eastAsia="Calibri" w:cs="Tahoma"/>
          <w:color w:val="000000"/>
          <w:szCs w:val="18"/>
          <w:lang w:val="pt-BR"/>
        </w:rPr>
        <w:t xml:space="preserve"> </w:t>
      </w:r>
      <w:r w:rsidRPr="00C71DAC">
        <w:rPr>
          <w:rFonts w:eastAsia="Calibri" w:cs="Tahoma"/>
          <w:color w:val="000000"/>
          <w:szCs w:val="18"/>
          <w:lang w:val="pt-BR"/>
        </w:rPr>
        <w:t>Clientes que são instituições governamentais federais, estaduais, locais ou tribais dos Estados Unidos devem fazer parte de um Registro Enterprise do Governo Americano ou</w:t>
      </w:r>
      <w:r w:rsidR="00792983" w:rsidRPr="00C71DAC">
        <w:rPr>
          <w:rFonts w:eastAsia="Calibri" w:cs="Tahoma"/>
          <w:color w:val="000000"/>
          <w:szCs w:val="18"/>
          <w:lang w:val="pt-BR"/>
        </w:rPr>
        <w:t> </w:t>
      </w:r>
      <w:r w:rsidRPr="00C71DAC">
        <w:rPr>
          <w:rFonts w:eastAsia="Calibri" w:cs="Tahoma"/>
          <w:color w:val="000000"/>
          <w:szCs w:val="18"/>
          <w:lang w:val="pt-BR"/>
        </w:rPr>
        <w:t>Registro Enterprise Subscription para estar qualificado para comprar serviços online designados como nuvem da comunidade do governo.</w:t>
      </w:r>
      <w:r w:rsidR="005A52A2" w:rsidRPr="00C71DAC">
        <w:rPr>
          <w:rFonts w:eastAsia="Calibri" w:cs="Tahoma"/>
          <w:color w:val="000000"/>
          <w:szCs w:val="18"/>
          <w:lang w:val="pt-BR"/>
        </w:rPr>
        <w:t xml:space="preserve"> </w:t>
      </w:r>
      <w:r w:rsidRPr="00C71DAC">
        <w:rPr>
          <w:rFonts w:eastAsia="Calibri" w:cs="Tahoma"/>
          <w:color w:val="000000"/>
          <w:szCs w:val="18"/>
          <w:lang w:val="pt-BR"/>
        </w:rPr>
        <w:t>Os Direitos de Uso para serviços de nuvem da comunidade do governo são equivalentes àqueles dos seus diversos locatários padrão.</w:t>
      </w:r>
      <w:r w:rsidR="005A52A2" w:rsidRPr="00C71DAC">
        <w:rPr>
          <w:rFonts w:eastAsia="Calibri" w:cs="Tahoma"/>
          <w:color w:val="000000"/>
          <w:szCs w:val="18"/>
          <w:lang w:val="pt-BR"/>
        </w:rPr>
        <w:t xml:space="preserve"> </w:t>
      </w:r>
      <w:bookmarkStart w:id="1266" w:name="_51_Exchange_Server"/>
      <w:bookmarkEnd w:id="1255"/>
      <w:bookmarkEnd w:id="1260"/>
      <w:bookmarkEnd w:id="1261"/>
      <w:bookmarkEnd w:id="1266"/>
    </w:p>
    <w:p w:rsidR="00023FE7" w:rsidRPr="00C71DAC" w:rsidRDefault="00023FE7" w:rsidP="00C066F9">
      <w:pPr>
        <w:pStyle w:val="EndnoteText"/>
        <w:ind w:left="1620" w:hanging="900"/>
        <w:rPr>
          <w:lang w:val="pt-BR"/>
        </w:rPr>
      </w:pPr>
      <w:bookmarkStart w:id="1267" w:name="Srv_43ExchangeSvr2010"/>
    </w:p>
    <w:p w:rsidR="00C066F9" w:rsidRPr="00C71DAC" w:rsidRDefault="00C066F9" w:rsidP="00C066F9">
      <w:pPr>
        <w:pStyle w:val="EndnoteText"/>
        <w:ind w:left="1620" w:hanging="900"/>
        <w:rPr>
          <w:lang w:val="pt-BR"/>
        </w:rPr>
      </w:pPr>
    </w:p>
    <w:p w:rsidR="00453CAC" w:rsidRPr="00C71DAC" w:rsidRDefault="00F66FB0" w:rsidP="009D3013">
      <w:pPr>
        <w:pStyle w:val="Heading2"/>
        <w:ind w:left="0"/>
        <w:rPr>
          <w:lang w:val="pt-BR"/>
        </w:rPr>
      </w:pPr>
      <w:bookmarkStart w:id="1268" w:name="_49_Exchange_Server"/>
      <w:bookmarkStart w:id="1269" w:name="_51_50_Exchange"/>
      <w:bookmarkStart w:id="1270" w:name="_51_Exchange_Online"/>
      <w:bookmarkStart w:id="1271" w:name="_Toc353470957"/>
      <w:bookmarkStart w:id="1272" w:name="_Toc336338311"/>
      <w:bookmarkStart w:id="1273" w:name="Srv_50ExchangeServer2010StdCAL"/>
      <w:bookmarkEnd w:id="1267"/>
      <w:bookmarkEnd w:id="1268"/>
      <w:bookmarkEnd w:id="1269"/>
      <w:bookmarkEnd w:id="1270"/>
      <w:r w:rsidRPr="00C71DAC">
        <w:rPr>
          <w:rFonts w:ascii="Tahoma" w:hAnsi="Tahoma" w:cs="Tahoma"/>
          <w:caps/>
          <w:color w:val="FA6500"/>
          <w:sz w:val="22"/>
          <w:vertAlign w:val="superscript"/>
          <w:lang w:val="pt-BR"/>
        </w:rPr>
        <w:t xml:space="preserve">51 </w:t>
      </w:r>
      <w:r w:rsidRPr="00C71DAC">
        <w:rPr>
          <w:rFonts w:ascii="Tahoma" w:hAnsi="Tahoma" w:cs="Tahoma"/>
          <w:color w:val="F66400"/>
          <w:sz w:val="22"/>
          <w:szCs w:val="20"/>
          <w:lang w:val="pt-BR"/>
        </w:rPr>
        <w:t>Exchange Online Protection (SL de Usuário)</w:t>
      </w:r>
      <w:bookmarkEnd w:id="1271"/>
    </w:p>
    <w:p w:rsidR="00453CAC" w:rsidRPr="00C71DAC" w:rsidRDefault="00453CAC" w:rsidP="00453CAC">
      <w:pPr>
        <w:ind w:left="720"/>
        <w:rPr>
          <w:lang w:val="pt-BR"/>
        </w:rPr>
      </w:pPr>
    </w:p>
    <w:p w:rsidR="007D4770" w:rsidRPr="00C71DAC" w:rsidRDefault="007D4770" w:rsidP="00453CAC">
      <w:pPr>
        <w:ind w:left="720"/>
        <w:rPr>
          <w:lang w:val="pt-BR"/>
        </w:rPr>
      </w:pPr>
      <w:r w:rsidRPr="00C71DAC">
        <w:rPr>
          <w:rFonts w:cs="Tahoma"/>
          <w:szCs w:val="18"/>
          <w:lang w:val="pt-BR"/>
        </w:rPr>
        <w:t>Como esse serviço online é provisionado por domínio, todos os usuários em qualquer domínio coberto precisarão de SLs de Usuário.</w:t>
      </w:r>
      <w:r w:rsidR="005A52A2" w:rsidRPr="00C71DAC">
        <w:rPr>
          <w:rFonts w:cs="Tahoma"/>
          <w:szCs w:val="18"/>
          <w:lang w:val="pt-BR"/>
        </w:rPr>
        <w:t xml:space="preserve"> </w:t>
      </w:r>
      <w:r w:rsidRPr="00C71DAC">
        <w:rPr>
          <w:rFonts w:cs="Tahoma"/>
          <w:szCs w:val="18"/>
          <w:lang w:val="pt-BR"/>
        </w:rPr>
        <w:t>Os clientes que desejarem o serviço para um subconjunto de sua base de usuários poderão criar subdomínios para um provisionamento mais direcionado.</w:t>
      </w:r>
      <w:r w:rsidR="005A52A2" w:rsidRPr="00C71DAC">
        <w:rPr>
          <w:rFonts w:cs="Tahoma"/>
          <w:szCs w:val="18"/>
          <w:lang w:val="pt-BR"/>
        </w:rPr>
        <w:t xml:space="preserve"> </w:t>
      </w:r>
      <w:r w:rsidRPr="00C71DAC">
        <w:rPr>
          <w:rFonts w:cs="Tahoma"/>
          <w:szCs w:val="18"/>
          <w:lang w:val="pt-BR"/>
        </w:rPr>
        <w:t>Somente os usuários no subdomínio coberto precisarão de SLs de Usuário.</w:t>
      </w:r>
    </w:p>
    <w:p w:rsidR="001A7718" w:rsidRPr="00C71DAC" w:rsidRDefault="001A7718" w:rsidP="001A7718">
      <w:pPr>
        <w:pStyle w:val="EndnoteText"/>
        <w:ind w:left="1620" w:hanging="900"/>
        <w:rPr>
          <w:lang w:val="pt-BR"/>
        </w:rPr>
      </w:pPr>
      <w:bookmarkStart w:id="1274" w:name="_52_51_Exchange"/>
      <w:bookmarkStart w:id="1275" w:name="_52_Exchange_Server"/>
      <w:bookmarkStart w:id="1276" w:name="_Toc353470958"/>
      <w:bookmarkEnd w:id="1274"/>
      <w:bookmarkEnd w:id="1275"/>
    </w:p>
    <w:p w:rsidR="009D3013" w:rsidRPr="00C71DAC" w:rsidRDefault="00F66FB0" w:rsidP="009D3013">
      <w:pPr>
        <w:pStyle w:val="Heading2"/>
        <w:ind w:left="0"/>
        <w:rPr>
          <w:lang w:val="fr-FR"/>
        </w:rPr>
      </w:pPr>
      <w:r w:rsidRPr="00C71DAC">
        <w:rPr>
          <w:rFonts w:ascii="Tahoma" w:hAnsi="Tahoma" w:cs="Tahoma"/>
          <w:caps/>
          <w:color w:val="FA6500"/>
          <w:sz w:val="22"/>
          <w:vertAlign w:val="superscript"/>
          <w:lang w:val="fr-FR"/>
        </w:rPr>
        <w:t xml:space="preserve">52 </w:t>
      </w:r>
      <w:r w:rsidRPr="00C71DAC">
        <w:rPr>
          <w:rFonts w:ascii="Tahoma" w:hAnsi="Tahoma" w:cs="Tahoma"/>
          <w:color w:val="FA6500"/>
          <w:sz w:val="22"/>
          <w:lang w:val="fr-FR"/>
        </w:rPr>
        <w:t xml:space="preserve">Exchange Server 2013 Enterprise e </w:t>
      </w:r>
      <w:bookmarkEnd w:id="1272"/>
      <w:r w:rsidRPr="00C71DAC">
        <w:rPr>
          <w:rFonts w:ascii="Tahoma" w:hAnsi="Tahoma" w:cs="Tahoma"/>
          <w:color w:val="FA6500"/>
          <w:sz w:val="22"/>
          <w:lang w:val="fr-FR"/>
        </w:rPr>
        <w:t>Standard Editions</w:t>
      </w:r>
      <w:bookmarkEnd w:id="1276"/>
    </w:p>
    <w:p w:rsidR="009D3013" w:rsidRPr="00C71DAC" w:rsidRDefault="009D3013" w:rsidP="009D3013">
      <w:pPr>
        <w:ind w:left="720"/>
        <w:rPr>
          <w:lang w:val="fr-FR"/>
        </w:rPr>
      </w:pPr>
    </w:p>
    <w:p w:rsidR="009D3013" w:rsidRPr="00C71DAC" w:rsidRDefault="009D3013" w:rsidP="009D3013">
      <w:pPr>
        <w:ind w:left="720"/>
        <w:rPr>
          <w:lang w:val="pt-BR"/>
        </w:rPr>
      </w:pPr>
      <w:r w:rsidRPr="00C71DAC">
        <w:rPr>
          <w:rFonts w:cs="Tahoma"/>
          <w:color w:val="000000"/>
          <w:szCs w:val="18"/>
          <w:lang w:val="pt-BR"/>
        </w:rPr>
        <w:lastRenderedPageBreak/>
        <w:t>Exchange Server 2013 é a versão mais recente do Exchange Server.</w:t>
      </w:r>
    </w:p>
    <w:p w:rsidR="009D3013" w:rsidRPr="00C71DAC" w:rsidRDefault="009D3013" w:rsidP="0067725A">
      <w:pPr>
        <w:rPr>
          <w:lang w:val="pt-BR"/>
        </w:rPr>
      </w:pPr>
    </w:p>
    <w:p w:rsidR="009D3013" w:rsidRPr="00C71DAC" w:rsidRDefault="009D3013" w:rsidP="0067725A">
      <w:pPr>
        <w:spacing w:after="60"/>
        <w:ind w:left="720"/>
        <w:rPr>
          <w:lang w:val="pt-BR"/>
        </w:rPr>
      </w:pPr>
      <w:r w:rsidRPr="00C71DAC">
        <w:rPr>
          <w:rFonts w:cs="Tahoma"/>
          <w:b/>
          <w:color w:val="000000"/>
          <w:szCs w:val="18"/>
          <w:lang w:val="pt-BR"/>
        </w:rPr>
        <w:t>Outorga de Licença para Clientes do External Connector do Exchange Server 2010</w:t>
      </w:r>
    </w:p>
    <w:p w:rsidR="009D3013" w:rsidRPr="00C71DAC" w:rsidRDefault="009D3013" w:rsidP="00273672">
      <w:pPr>
        <w:ind w:left="720" w:right="180"/>
        <w:rPr>
          <w:lang w:val="pt-BR"/>
        </w:rPr>
      </w:pPr>
      <w:r w:rsidRPr="00C71DAC">
        <w:rPr>
          <w:rFonts w:cs="Tahoma"/>
          <w:color w:val="000000"/>
          <w:szCs w:val="18"/>
          <w:lang w:val="pt-BR"/>
        </w:rPr>
        <w:t xml:space="preserve">A versão 2010 do External Connector License </w:t>
      </w:r>
      <w:bookmarkStart w:id="1277" w:name="Srv_42ExchangeSvr07"/>
      <w:bookmarkStart w:id="1278" w:name="Srv_48ExchangeSvr2010"/>
      <w:r w:rsidRPr="00C71DAC">
        <w:rPr>
          <w:rFonts w:cs="Tahoma"/>
          <w:color w:val="000000"/>
          <w:szCs w:val="18"/>
          <w:lang w:val="pt-BR"/>
        </w:rPr>
        <w:t xml:space="preserve">do Exchange Server 2010 </w:t>
      </w:r>
      <w:bookmarkEnd w:id="1277"/>
      <w:bookmarkEnd w:id="1278"/>
      <w:r w:rsidRPr="00C71DAC">
        <w:rPr>
          <w:rFonts w:cs="Tahoma"/>
          <w:color w:val="000000"/>
          <w:szCs w:val="18"/>
          <w:lang w:val="pt-BR"/>
        </w:rPr>
        <w:t>é a versão final dessa licença.</w:t>
      </w:r>
      <w:r w:rsidR="005A52A2" w:rsidRPr="00C71DAC">
        <w:rPr>
          <w:rFonts w:cs="Tahoma"/>
          <w:color w:val="000000"/>
          <w:szCs w:val="18"/>
          <w:lang w:val="pt-BR"/>
        </w:rPr>
        <w:t xml:space="preserve"> </w:t>
      </w:r>
      <w:r w:rsidRPr="00C71DAC">
        <w:rPr>
          <w:rFonts w:cs="Tahoma"/>
          <w:color w:val="000000"/>
          <w:szCs w:val="18"/>
          <w:lang w:val="pt-BR"/>
        </w:rPr>
        <w:t xml:space="preserve">Tendo isso em vista, os clientes com External Connector Licenses do Exchange Server 2010 com cobertura do Software Assurance ativa a partir de 1º de dezembro de 2012 estarão qualificados </w:t>
      </w:r>
      <w:r w:rsidR="00273672" w:rsidRPr="00C71DAC">
        <w:rPr>
          <w:rFonts w:cs="Tahoma"/>
          <w:color w:val="000000"/>
          <w:szCs w:val="18"/>
          <w:lang w:val="pt-BR"/>
        </w:rPr>
        <w:br/>
      </w:r>
      <w:r w:rsidRPr="00C71DAC">
        <w:rPr>
          <w:rFonts w:cs="Tahoma"/>
          <w:color w:val="000000"/>
          <w:szCs w:val="18"/>
          <w:lang w:val="pt-BR"/>
        </w:rPr>
        <w:t>para a outorga de licença a seguir.</w:t>
      </w:r>
    </w:p>
    <w:p w:rsidR="009D3013" w:rsidRPr="00C71DAC" w:rsidRDefault="009D3013" w:rsidP="009D3013">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9D3013" w:rsidRPr="00653421" w:rsidTr="00792983">
        <w:trPr>
          <w:trHeight w:val="332"/>
        </w:trPr>
        <w:tc>
          <w:tcPr>
            <w:tcW w:w="4680" w:type="dxa"/>
            <w:shd w:val="clear" w:color="auto" w:fill="FABF8F"/>
          </w:tcPr>
          <w:p w:rsidR="009D3013" w:rsidRPr="00653421" w:rsidRDefault="009D3013" w:rsidP="002C3AB1">
            <w:pPr>
              <w:rPr>
                <w:rFonts w:cs="Tahoma"/>
                <w:b/>
                <w:color w:val="000000"/>
                <w:szCs w:val="18"/>
              </w:rPr>
            </w:pPr>
            <w:r w:rsidRPr="00653421">
              <w:rPr>
                <w:rFonts w:cs="Tahoma"/>
                <w:b/>
                <w:color w:val="000000"/>
                <w:szCs w:val="18"/>
              </w:rPr>
              <w:t>Licença Qualificada</w:t>
            </w:r>
          </w:p>
        </w:tc>
        <w:tc>
          <w:tcPr>
            <w:tcW w:w="3420" w:type="dxa"/>
            <w:shd w:val="clear" w:color="auto" w:fill="FABF8F"/>
          </w:tcPr>
          <w:p w:rsidR="009D3013" w:rsidRPr="00653421" w:rsidRDefault="009D3013" w:rsidP="002C3AB1">
            <w:pPr>
              <w:rPr>
                <w:rFonts w:cs="Tahoma"/>
                <w:b/>
                <w:color w:val="000000"/>
                <w:szCs w:val="18"/>
              </w:rPr>
            </w:pPr>
            <w:r w:rsidRPr="00653421">
              <w:rPr>
                <w:rFonts w:cs="Tahoma"/>
                <w:b/>
                <w:color w:val="000000"/>
                <w:szCs w:val="18"/>
              </w:rPr>
              <w:t>Licença Complementar e Benefícios</w:t>
            </w:r>
          </w:p>
        </w:tc>
      </w:tr>
      <w:tr w:rsidR="009D3013" w:rsidRPr="00C71DAC" w:rsidTr="00792983">
        <w:trPr>
          <w:trHeight w:val="70"/>
        </w:trPr>
        <w:tc>
          <w:tcPr>
            <w:tcW w:w="4680" w:type="dxa"/>
            <w:shd w:val="clear" w:color="auto" w:fill="auto"/>
          </w:tcPr>
          <w:p w:rsidR="009D3013" w:rsidRPr="00C71DAC" w:rsidRDefault="009D3013" w:rsidP="002C3AB1">
            <w:pPr>
              <w:rPr>
                <w:rFonts w:cs="Tahoma"/>
                <w:color w:val="000000"/>
                <w:szCs w:val="18"/>
                <w:lang w:val="pt-BR"/>
              </w:rPr>
            </w:pPr>
            <w:r w:rsidRPr="00C71DAC">
              <w:rPr>
                <w:rFonts w:cs="Tahoma"/>
                <w:color w:val="000000"/>
                <w:szCs w:val="18"/>
                <w:lang w:val="pt-BR"/>
              </w:rPr>
              <w:t>Conector Externo do Exchange Server 2010 com Software Assurance ativo em 1º de dezembro de 2012</w:t>
            </w:r>
          </w:p>
        </w:tc>
        <w:tc>
          <w:tcPr>
            <w:tcW w:w="3420" w:type="dxa"/>
            <w:shd w:val="clear" w:color="auto" w:fill="auto"/>
          </w:tcPr>
          <w:p w:rsidR="009D3013" w:rsidRPr="00C71DAC" w:rsidRDefault="009D3013" w:rsidP="002C3AB1">
            <w:pPr>
              <w:rPr>
                <w:rFonts w:cs="Tahoma"/>
                <w:color w:val="000000"/>
                <w:szCs w:val="18"/>
                <w:lang w:val="pt-BR"/>
              </w:rPr>
            </w:pPr>
            <w:r w:rsidRPr="00C71DAC">
              <w:rPr>
                <w:rFonts w:cs="Tahoma"/>
                <w:color w:val="000000"/>
                <w:szCs w:val="18"/>
                <w:lang w:val="pt-BR"/>
              </w:rPr>
              <w:t>Licença do Exchange Server 2013 Enterprise</w:t>
            </w:r>
          </w:p>
        </w:tc>
      </w:tr>
    </w:tbl>
    <w:p w:rsidR="009D3013" w:rsidRPr="00C71DAC" w:rsidRDefault="009D3013" w:rsidP="0067725A">
      <w:pPr>
        <w:rPr>
          <w:lang w:val="pt-BR"/>
        </w:rPr>
      </w:pPr>
    </w:p>
    <w:p w:rsidR="009D3013" w:rsidRPr="00C71DAC" w:rsidRDefault="009D3013" w:rsidP="009D3013">
      <w:pPr>
        <w:ind w:left="720"/>
        <w:rPr>
          <w:lang w:val="pt-BR"/>
        </w:rPr>
      </w:pPr>
      <w:r w:rsidRPr="00C71DAC">
        <w:rPr>
          <w:rFonts w:cs="Tahoma"/>
          <w:color w:val="000000"/>
          <w:szCs w:val="18"/>
          <w:lang w:val="pt-BR"/>
        </w:rPr>
        <w:t>Os termos e as condições a seguir se aplicam à outorga de licença acima:</w:t>
      </w:r>
    </w:p>
    <w:p w:rsidR="009D3013" w:rsidRPr="00C71DAC" w:rsidRDefault="009D3013" w:rsidP="009D3013">
      <w:pPr>
        <w:ind w:left="720"/>
        <w:rPr>
          <w:lang w:val="pt-BR"/>
        </w:rPr>
      </w:pPr>
    </w:p>
    <w:p w:rsidR="009D3013" w:rsidRPr="00C71DAC" w:rsidRDefault="009D3013" w:rsidP="005427B6">
      <w:pPr>
        <w:numPr>
          <w:ilvl w:val="0"/>
          <w:numId w:val="124"/>
        </w:numPr>
        <w:spacing w:after="60"/>
        <w:ind w:left="1440"/>
        <w:rPr>
          <w:lang w:val="pt-BR"/>
        </w:rPr>
      </w:pPr>
      <w:r w:rsidRPr="00C71DAC">
        <w:rPr>
          <w:rFonts w:cs="Tahoma"/>
          <w:bCs/>
          <w:color w:val="000000"/>
          <w:szCs w:val="18"/>
          <w:lang w:val="pt-BR"/>
        </w:rPr>
        <w:t>Caminho de Migração</w:t>
      </w:r>
      <w:r w:rsidRPr="00C71DAC">
        <w:rPr>
          <w:rFonts w:cs="Tahoma"/>
          <w:color w:val="000000"/>
          <w:szCs w:val="18"/>
          <w:lang w:val="pt-BR"/>
        </w:rPr>
        <w:t xml:space="preserve">: </w:t>
      </w:r>
      <w:r w:rsidR="00392523" w:rsidRPr="00C71DAC">
        <w:rPr>
          <w:rFonts w:cs="Tahoma"/>
          <w:color w:val="000000"/>
          <w:szCs w:val="18"/>
          <w:lang w:val="pt-BR"/>
        </w:rPr>
        <w:t>O</w:t>
      </w:r>
      <w:r w:rsidRPr="00C71DAC">
        <w:rPr>
          <w:rFonts w:cs="Tahoma"/>
          <w:color w:val="000000"/>
          <w:szCs w:val="18"/>
          <w:lang w:val="pt-BR"/>
        </w:rPr>
        <w:t>s clientes com cobertura do Software Assurance ativa para uma determinada Licença Qualificada a partir de 1º de dezembro de 2012 e mediante o lançamento do Exchange Server 2013 estão qualificados para atualizar e usar o software Exchange Server 2013 sob a Licença Complementar em vez do software Exchange Server 2010 sob a Licença Qualificada do Conector Externo correspondente.</w:t>
      </w:r>
      <w:r w:rsidR="005A52A2" w:rsidRPr="00C71DAC">
        <w:rPr>
          <w:rFonts w:cs="Tahoma"/>
          <w:color w:val="000000"/>
          <w:szCs w:val="18"/>
          <w:lang w:val="pt-BR"/>
        </w:rPr>
        <w:t xml:space="preserve"> </w:t>
      </w:r>
    </w:p>
    <w:p w:rsidR="009D3013" w:rsidRPr="00C71DAC" w:rsidRDefault="009D3013" w:rsidP="005427B6">
      <w:pPr>
        <w:numPr>
          <w:ilvl w:val="0"/>
          <w:numId w:val="124"/>
        </w:numPr>
        <w:spacing w:after="60"/>
        <w:ind w:left="1440"/>
        <w:rPr>
          <w:lang w:val="pt-BR"/>
        </w:rPr>
      </w:pPr>
      <w:r w:rsidRPr="00C71DAC">
        <w:rPr>
          <w:rFonts w:cs="Tahoma"/>
          <w:color w:val="000000"/>
          <w:szCs w:val="18"/>
          <w:lang w:val="pt-BR"/>
        </w:rPr>
        <w:t>Direitos de uso: O direito de usar o software sob as Licenças Complementares nessa oferta expirará quando o direito de usar o software sob as Licenças Qualificadas expirar.</w:t>
      </w:r>
      <w:r w:rsidR="005A52A2" w:rsidRPr="00C71DAC">
        <w:rPr>
          <w:rFonts w:cs="Tahoma"/>
          <w:color w:val="000000"/>
          <w:szCs w:val="18"/>
          <w:lang w:val="pt-BR"/>
        </w:rPr>
        <w:t xml:space="preserve"> </w:t>
      </w:r>
      <w:r w:rsidRPr="00C71DAC">
        <w:rPr>
          <w:rFonts w:cs="Tahoma"/>
          <w:color w:val="000000"/>
          <w:szCs w:val="18"/>
          <w:lang w:val="pt-BR"/>
        </w:rPr>
        <w:t>O uso desse software é regido pelos direitos de uso do software e pelos termos e condições do contrato de licenciamento por volume do cliente.</w:t>
      </w:r>
      <w:r w:rsidR="005A52A2" w:rsidRPr="00C71DAC">
        <w:rPr>
          <w:rFonts w:cs="Tahoma"/>
          <w:color w:val="000000"/>
          <w:szCs w:val="18"/>
          <w:lang w:val="pt-BR"/>
        </w:rPr>
        <w:t xml:space="preserve"> </w:t>
      </w:r>
      <w:r w:rsidRPr="00C71DAC">
        <w:rPr>
          <w:rFonts w:cs="Tahoma"/>
          <w:color w:val="000000"/>
          <w:szCs w:val="18"/>
          <w:lang w:val="pt-BR"/>
        </w:rPr>
        <w:t>Essa nota de condição do produto e a evidência do cliente da</w:t>
      </w:r>
      <w:r w:rsidR="00792983" w:rsidRPr="00C71DAC">
        <w:rPr>
          <w:rFonts w:cs="Tahoma"/>
          <w:color w:val="000000"/>
          <w:szCs w:val="18"/>
          <w:lang w:val="pt-BR"/>
        </w:rPr>
        <w:t> </w:t>
      </w:r>
      <w:r w:rsidRPr="00C71DAC">
        <w:rPr>
          <w:rFonts w:cs="Tahoma"/>
          <w:color w:val="000000"/>
          <w:szCs w:val="18"/>
          <w:lang w:val="pt-BR"/>
        </w:rPr>
        <w:t>Licença Qualificada e do Software Assurance do cliente juntas comprovam o direito de usar o</w:t>
      </w:r>
      <w:r w:rsidR="00792983" w:rsidRPr="00C71DAC">
        <w:rPr>
          <w:rFonts w:cs="Tahoma"/>
          <w:color w:val="000000"/>
          <w:szCs w:val="18"/>
          <w:lang w:val="pt-BR"/>
        </w:rPr>
        <w:t> </w:t>
      </w:r>
      <w:r w:rsidRPr="00C71DAC">
        <w:rPr>
          <w:rFonts w:cs="Tahoma"/>
          <w:color w:val="000000"/>
          <w:szCs w:val="18"/>
          <w:lang w:val="pt-BR"/>
        </w:rPr>
        <w:t>software sob a Licença Complementar nessa oferta.</w:t>
      </w:r>
      <w:r w:rsidR="005A52A2" w:rsidRPr="00C71DAC">
        <w:rPr>
          <w:rFonts w:cs="Tahoma"/>
          <w:color w:val="000000"/>
          <w:szCs w:val="18"/>
          <w:lang w:val="pt-BR"/>
        </w:rPr>
        <w:t xml:space="preserve"> </w:t>
      </w:r>
    </w:p>
    <w:p w:rsidR="009D3013" w:rsidRPr="00C71DAC" w:rsidRDefault="009D3013" w:rsidP="005427B6">
      <w:pPr>
        <w:numPr>
          <w:ilvl w:val="0"/>
          <w:numId w:val="8"/>
        </w:numPr>
        <w:spacing w:after="60"/>
        <w:ind w:left="1440"/>
        <w:rPr>
          <w:lang w:val="pt-BR"/>
        </w:rPr>
      </w:pPr>
      <w:r w:rsidRPr="00C71DAC">
        <w:rPr>
          <w:rFonts w:cs="Tahoma"/>
          <w:color w:val="000000"/>
          <w:szCs w:val="18"/>
          <w:lang w:val="pt-BR"/>
        </w:rPr>
        <w:t>Licença e Software Assurance (L&amp;SA): A Licença Complementar inclui a cobertura do Software Assurance.</w:t>
      </w:r>
      <w:r w:rsidR="005A52A2" w:rsidRPr="00C71DAC">
        <w:rPr>
          <w:rFonts w:cs="Tahoma"/>
          <w:color w:val="000000"/>
          <w:szCs w:val="18"/>
          <w:lang w:val="pt-BR"/>
        </w:rPr>
        <w:t xml:space="preserve"> </w:t>
      </w:r>
      <w:r w:rsidRPr="00C71DAC">
        <w:rPr>
          <w:rFonts w:cs="Tahoma"/>
          <w:color w:val="000000"/>
          <w:szCs w:val="18"/>
          <w:lang w:val="pt-BR"/>
        </w:rPr>
        <w:t>A cobertura do Software Assurance sobre a Licença Complementar expirará quando a</w:t>
      </w:r>
      <w:r w:rsidR="00792983" w:rsidRPr="00C71DAC">
        <w:rPr>
          <w:rFonts w:cs="Tahoma"/>
          <w:color w:val="000000"/>
          <w:szCs w:val="18"/>
          <w:lang w:val="pt-BR"/>
        </w:rPr>
        <w:t> </w:t>
      </w:r>
      <w:r w:rsidRPr="00C71DAC">
        <w:rPr>
          <w:rFonts w:cs="Tahoma"/>
          <w:color w:val="000000"/>
          <w:szCs w:val="18"/>
          <w:lang w:val="pt-BR"/>
        </w:rPr>
        <w:t>cobertura da Licença Qualificada expirar.</w:t>
      </w:r>
      <w:r w:rsidR="005A52A2" w:rsidRPr="00C71DAC">
        <w:rPr>
          <w:rFonts w:cs="Tahoma"/>
          <w:color w:val="000000"/>
          <w:szCs w:val="18"/>
          <w:lang w:val="pt-BR"/>
        </w:rPr>
        <w:t xml:space="preserve"> </w:t>
      </w:r>
      <w:r w:rsidRPr="00C71DAC">
        <w:rPr>
          <w:rFonts w:cs="Tahoma"/>
          <w:color w:val="000000"/>
          <w:szCs w:val="18"/>
          <w:lang w:val="pt-BR"/>
        </w:rPr>
        <w:t>No término da cobertura do Software Assurance para</w:t>
      </w:r>
      <w:r w:rsidR="00792983" w:rsidRPr="00C71DAC">
        <w:rPr>
          <w:rFonts w:cs="Tahoma"/>
          <w:color w:val="000000"/>
          <w:szCs w:val="18"/>
          <w:lang w:val="pt-BR"/>
        </w:rPr>
        <w:t> </w:t>
      </w:r>
      <w:r w:rsidRPr="00C71DAC">
        <w:rPr>
          <w:rFonts w:cs="Tahoma"/>
          <w:color w:val="000000"/>
          <w:szCs w:val="18"/>
          <w:lang w:val="pt-BR"/>
        </w:rPr>
        <w:t>a</w:t>
      </w:r>
      <w:r w:rsidR="00792983" w:rsidRPr="00C71DAC">
        <w:rPr>
          <w:rFonts w:cs="Tahoma"/>
          <w:color w:val="000000"/>
          <w:szCs w:val="18"/>
          <w:lang w:val="pt-BR"/>
        </w:rPr>
        <w:t> </w:t>
      </w:r>
      <w:r w:rsidRPr="00C71DAC">
        <w:rPr>
          <w:rFonts w:cs="Tahoma"/>
          <w:color w:val="000000"/>
          <w:szCs w:val="18"/>
          <w:lang w:val="pt-BR"/>
        </w:rPr>
        <w:t>Licença Qualificada, o cliente poderá renovar o Software Assurance para a Licença Complementar sem precisar adquirir uma nova licença separadamente.</w:t>
      </w:r>
    </w:p>
    <w:p w:rsidR="009D3013" w:rsidRPr="00C71DAC" w:rsidRDefault="009D3013" w:rsidP="005427B6">
      <w:pPr>
        <w:numPr>
          <w:ilvl w:val="0"/>
          <w:numId w:val="125"/>
        </w:numPr>
        <w:spacing w:after="60"/>
        <w:ind w:left="1440"/>
        <w:rPr>
          <w:lang w:val="pt-BR"/>
        </w:rPr>
      </w:pPr>
      <w:r w:rsidRPr="00C71DAC">
        <w:rPr>
          <w:rFonts w:eastAsia="Calibri" w:cs="Tahoma"/>
          <w:color w:val="000000"/>
          <w:szCs w:val="18"/>
          <w:lang w:val="pt-BR"/>
        </w:rPr>
        <w:t>Adequações (“true-ups”)</w:t>
      </w:r>
      <w:r w:rsidRPr="00C71DAC">
        <w:rPr>
          <w:rFonts w:eastAsia="Calibri" w:cs="Tahoma"/>
          <w:b/>
          <w:color w:val="000000"/>
          <w:szCs w:val="18"/>
          <w:lang w:val="pt-BR"/>
        </w:rPr>
        <w:t>:</w:t>
      </w:r>
      <w:r w:rsidR="005A52A2" w:rsidRPr="00C71DAC">
        <w:rPr>
          <w:rFonts w:eastAsia="Calibri" w:cs="Tahoma"/>
          <w:color w:val="000000"/>
          <w:szCs w:val="18"/>
          <w:lang w:val="pt-BR"/>
        </w:rPr>
        <w:t xml:space="preserve"> </w:t>
      </w:r>
      <w:r w:rsidRPr="00C71DAC">
        <w:rPr>
          <w:rFonts w:eastAsia="Calibri" w:cs="Tahoma"/>
          <w:color w:val="000000"/>
          <w:szCs w:val="18"/>
          <w:lang w:val="pt-BR"/>
        </w:rPr>
        <w:t xml:space="preserve">Para os clientes do Contrato Enterprise qualificados para essas licenças complementares e esses direitos conforme descrito acima, as licenças do Conector Externo do Exchange Server 2010 adquiridas como parte de um processo de adequação (“true-ups”) </w:t>
      </w:r>
      <w:r w:rsidRPr="00C71DAC">
        <w:rPr>
          <w:rFonts w:cs="Tahoma"/>
          <w:color w:val="000000"/>
          <w:szCs w:val="18"/>
          <w:lang w:val="pt-BR"/>
        </w:rPr>
        <w:t>anuais do</w:t>
      </w:r>
      <w:r w:rsidR="00792983" w:rsidRPr="00C71DAC">
        <w:rPr>
          <w:rFonts w:cs="Tahoma"/>
          <w:color w:val="000000"/>
          <w:szCs w:val="18"/>
          <w:lang w:val="pt-BR"/>
        </w:rPr>
        <w:t> </w:t>
      </w:r>
      <w:r w:rsidRPr="00C71DAC">
        <w:rPr>
          <w:rFonts w:cs="Tahoma"/>
          <w:color w:val="000000"/>
          <w:szCs w:val="18"/>
          <w:lang w:val="pt-BR"/>
        </w:rPr>
        <w:t>cliente também são Licenças Qualificadas.</w:t>
      </w:r>
    </w:p>
    <w:p w:rsidR="009D3013" w:rsidRPr="00C71DAC" w:rsidRDefault="009D3013" w:rsidP="005427B6">
      <w:pPr>
        <w:numPr>
          <w:ilvl w:val="0"/>
          <w:numId w:val="125"/>
        </w:numPr>
        <w:spacing w:after="60"/>
        <w:ind w:left="1440"/>
        <w:rPr>
          <w:lang w:val="pt-BR"/>
        </w:rPr>
      </w:pPr>
      <w:r w:rsidRPr="00C71DAC">
        <w:rPr>
          <w:rFonts w:cs="Tahoma"/>
          <w:color w:val="000000"/>
          <w:szCs w:val="18"/>
          <w:lang w:val="pt-BR"/>
        </w:rPr>
        <w:t>Contratos Subscription:</w:t>
      </w:r>
      <w:r w:rsidR="005A52A2" w:rsidRPr="00C71DAC">
        <w:rPr>
          <w:rFonts w:cs="Tahoma"/>
          <w:color w:val="000000"/>
          <w:szCs w:val="18"/>
          <w:lang w:val="pt-BR"/>
        </w:rPr>
        <w:t xml:space="preserve"> </w:t>
      </w:r>
      <w:r w:rsidRPr="00C71DAC">
        <w:rPr>
          <w:rFonts w:cs="Tahoma"/>
          <w:color w:val="000000"/>
          <w:szCs w:val="18"/>
          <w:lang w:val="pt-BR"/>
        </w:rPr>
        <w:t xml:space="preserve">Para Enterprise Subscription, </w:t>
      </w:r>
      <w:r w:rsidRPr="00C71DAC">
        <w:rPr>
          <w:rFonts w:cs="Tahoma"/>
          <w:szCs w:val="18"/>
          <w:lang w:val="pt-BR"/>
        </w:rPr>
        <w:t>Open Value Subscription, Campus e School, Enrollment for Education Solutions e Open Value Subscription – Education Solutions, os mesmos direitos serão outorgados temporariamente sob as mesmas condições</w:t>
      </w:r>
      <w:r w:rsidRPr="00C71DAC">
        <w:rPr>
          <w:rFonts w:cs="Tahoma"/>
          <w:color w:val="000000"/>
          <w:szCs w:val="18"/>
          <w:lang w:val="pt-BR"/>
        </w:rPr>
        <w:t xml:space="preserve"> até o final do prazo do registro atual (ou prazo do contrato no caso do Open Value).</w:t>
      </w:r>
      <w:r w:rsidR="005A52A2" w:rsidRPr="00C71DAC">
        <w:rPr>
          <w:rFonts w:cs="Tahoma"/>
          <w:color w:val="000000"/>
          <w:szCs w:val="18"/>
          <w:lang w:val="pt-BR"/>
        </w:rPr>
        <w:t xml:space="preserve"> </w:t>
      </w:r>
      <w:r w:rsidRPr="00C71DAC">
        <w:rPr>
          <w:rFonts w:cs="Tahoma"/>
          <w:color w:val="000000"/>
          <w:szCs w:val="18"/>
          <w:lang w:val="pt-BR"/>
        </w:rPr>
        <w:t>O cliente deverá manter uma cobertura contínua da assinatura.</w:t>
      </w:r>
      <w:r w:rsidR="005A52A2" w:rsidRPr="00C71DAC">
        <w:rPr>
          <w:rFonts w:cs="Tahoma"/>
          <w:color w:val="000000"/>
          <w:szCs w:val="18"/>
          <w:lang w:val="pt-BR"/>
        </w:rPr>
        <w:t xml:space="preserve"> </w:t>
      </w:r>
      <w:bookmarkStart w:id="1279" w:name="_Toc336338313"/>
      <w:r w:rsidRPr="00C71DAC">
        <w:rPr>
          <w:rFonts w:cs="Tahoma"/>
          <w:color w:val="000000"/>
          <w:szCs w:val="18"/>
          <w:lang w:val="pt-BR"/>
        </w:rPr>
        <w:t>Esses direitos só se tornarão permanentes se a opção de compra</w:t>
      </w:r>
      <w:r w:rsidR="00792983" w:rsidRPr="00C71DAC">
        <w:rPr>
          <w:rFonts w:cs="Tahoma"/>
          <w:color w:val="000000"/>
          <w:szCs w:val="18"/>
          <w:lang w:val="pt-BR"/>
        </w:rPr>
        <w:t> </w:t>
      </w:r>
      <w:r w:rsidRPr="00C71DAC">
        <w:rPr>
          <w:rFonts w:cs="Tahoma"/>
          <w:color w:val="000000"/>
          <w:szCs w:val="18"/>
          <w:lang w:val="pt-BR"/>
        </w:rPr>
        <w:t>(“buy-out”) for exercida e continuarão sujeitos a todos os termos e condições do contrato de licença do cliente.</w:t>
      </w:r>
    </w:p>
    <w:p w:rsidR="009D3013" w:rsidRPr="00C71DAC" w:rsidRDefault="009D3013" w:rsidP="005427B6">
      <w:pPr>
        <w:numPr>
          <w:ilvl w:val="0"/>
          <w:numId w:val="126"/>
        </w:numPr>
        <w:spacing w:after="60"/>
        <w:ind w:left="1440"/>
        <w:rPr>
          <w:lang w:val="pt-BR"/>
        </w:rPr>
      </w:pPr>
      <w:r w:rsidRPr="00C71DAC">
        <w:rPr>
          <w:rFonts w:cs="Tahoma"/>
          <w:szCs w:val="18"/>
          <w:lang w:val="pt-BR"/>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rsidR="009D3013" w:rsidRPr="00C71DAC" w:rsidRDefault="009D3013" w:rsidP="005427B6">
      <w:pPr>
        <w:pStyle w:val="ListParagraph"/>
        <w:numPr>
          <w:ilvl w:val="0"/>
          <w:numId w:val="105"/>
        </w:numPr>
        <w:spacing w:after="60"/>
        <w:ind w:left="1980"/>
        <w:contextualSpacing w:val="0"/>
        <w:rPr>
          <w:rFonts w:ascii="Tahoma" w:hAnsi="Tahoma" w:cs="Tahoma"/>
          <w:sz w:val="18"/>
          <w:szCs w:val="18"/>
          <w:lang w:val="pt-BR"/>
        </w:rPr>
      </w:pPr>
      <w:r w:rsidRPr="00C71DAC">
        <w:rPr>
          <w:rFonts w:ascii="Tahoma" w:hAnsi="Tahoma" w:cs="Tahoma"/>
          <w:sz w:val="18"/>
          <w:szCs w:val="18"/>
          <w:lang w:val="pt-BR"/>
        </w:rPr>
        <w:t>Os mesmos direitos serão concedidos temporariamente sob as mesmas condições até o</w:t>
      </w:r>
      <w:r w:rsidR="00392523" w:rsidRPr="00C71DAC">
        <w:rPr>
          <w:rFonts w:ascii="Tahoma" w:hAnsi="Tahoma" w:cs="Tahoma"/>
          <w:sz w:val="18"/>
          <w:szCs w:val="18"/>
          <w:lang w:val="pt-BR"/>
        </w:rPr>
        <w:t> </w:t>
      </w:r>
      <w:r w:rsidRPr="00C71DAC">
        <w:rPr>
          <w:rFonts w:ascii="Tahoma" w:hAnsi="Tahoma" w:cs="Tahoma"/>
          <w:sz w:val="18"/>
          <w:szCs w:val="18"/>
          <w:lang w:val="pt-BR"/>
        </w:rPr>
        <w:t>final</w:t>
      </w:r>
      <w:r w:rsidR="00792983" w:rsidRPr="00C71DAC">
        <w:rPr>
          <w:rFonts w:ascii="Tahoma" w:hAnsi="Tahoma" w:cs="Tahoma"/>
          <w:sz w:val="18"/>
          <w:szCs w:val="18"/>
          <w:lang w:val="pt-BR"/>
        </w:rPr>
        <w:t> </w:t>
      </w:r>
      <w:r w:rsidRPr="00C71DAC">
        <w:rPr>
          <w:rFonts w:ascii="Tahoma" w:hAnsi="Tahoma" w:cs="Tahoma"/>
          <w:sz w:val="18"/>
          <w:szCs w:val="18"/>
          <w:lang w:val="pt-BR"/>
        </w:rPr>
        <w:t xml:space="preserve">dos seus contratos Enrollment for Education Solutions ou Open Value Subscription – Education Solutions, respectivamente. </w:t>
      </w:r>
    </w:p>
    <w:p w:rsidR="0073424F" w:rsidRPr="00C71DAC" w:rsidRDefault="0073424F" w:rsidP="005427B6">
      <w:pPr>
        <w:pStyle w:val="ListParagraph"/>
        <w:numPr>
          <w:ilvl w:val="0"/>
          <w:numId w:val="105"/>
        </w:numPr>
        <w:spacing w:after="60"/>
        <w:ind w:left="1980"/>
        <w:contextualSpacing w:val="0"/>
        <w:rPr>
          <w:rFonts w:ascii="Tahoma" w:hAnsi="Tahoma" w:cs="Tahoma"/>
          <w:sz w:val="18"/>
          <w:szCs w:val="18"/>
          <w:lang w:val="pt-BR"/>
        </w:rPr>
      </w:pPr>
      <w:r w:rsidRPr="00C71DAC">
        <w:rPr>
          <w:rFonts w:ascii="Tahoma" w:hAnsi="Tahoma" w:cs="Tahoma"/>
          <w:sz w:val="18"/>
          <w:szCs w:val="18"/>
          <w:lang w:val="pt-BR"/>
        </w:rPr>
        <w:t>Esses direitos só se tornarão permanentes se a opção de compra (“buy-out”) for exercida e</w:t>
      </w:r>
      <w:r w:rsidR="00792983" w:rsidRPr="00C71DAC">
        <w:rPr>
          <w:rFonts w:ascii="Tahoma" w:hAnsi="Tahoma" w:cs="Tahoma"/>
          <w:sz w:val="18"/>
          <w:szCs w:val="18"/>
          <w:lang w:val="pt-BR"/>
        </w:rPr>
        <w:t> </w:t>
      </w:r>
      <w:r w:rsidRPr="00C71DAC">
        <w:rPr>
          <w:rFonts w:ascii="Tahoma" w:hAnsi="Tahoma" w:cs="Tahoma"/>
          <w:sz w:val="18"/>
          <w:szCs w:val="18"/>
          <w:lang w:val="pt-BR"/>
        </w:rPr>
        <w:t>continuarão sujeitos a todos os termos e condições do contrato de licença do cliente.</w:t>
      </w:r>
    </w:p>
    <w:p w:rsidR="004069A4" w:rsidRPr="00C71DAC" w:rsidRDefault="004069A4" w:rsidP="009D3013">
      <w:pPr>
        <w:pStyle w:val="EndnoteText"/>
        <w:ind w:left="540"/>
        <w:rPr>
          <w:lang w:val="pt-BR"/>
        </w:rPr>
      </w:pPr>
    </w:p>
    <w:p w:rsidR="00792983" w:rsidRPr="00C71DAC" w:rsidRDefault="00792983" w:rsidP="009D3013">
      <w:pPr>
        <w:pStyle w:val="EndnoteText"/>
        <w:ind w:left="540"/>
        <w:rPr>
          <w:lang w:val="pt-BR"/>
        </w:rPr>
      </w:pPr>
    </w:p>
    <w:p w:rsidR="009D3013" w:rsidRPr="00C71DAC" w:rsidRDefault="009D3013" w:rsidP="009D3013">
      <w:pPr>
        <w:pStyle w:val="EndnoteText"/>
        <w:ind w:left="540"/>
        <w:rPr>
          <w:lang w:val="pt-BR"/>
        </w:rPr>
      </w:pPr>
    </w:p>
    <w:p w:rsidR="004069A4" w:rsidRPr="00C71DAC" w:rsidRDefault="00F66FB0" w:rsidP="004069A4">
      <w:pPr>
        <w:pStyle w:val="Heading3"/>
        <w:rPr>
          <w:lang w:val="pt-BR"/>
        </w:rPr>
      </w:pPr>
      <w:bookmarkStart w:id="1280" w:name="_50_Exchange_Server"/>
      <w:bookmarkStart w:id="1281" w:name="_53_52_Exchange"/>
      <w:bookmarkStart w:id="1282" w:name="_53_CAL_Padrão"/>
      <w:bookmarkStart w:id="1283" w:name="_Toc353470959"/>
      <w:bookmarkEnd w:id="1280"/>
      <w:bookmarkEnd w:id="1281"/>
      <w:bookmarkEnd w:id="1282"/>
      <w:r w:rsidRPr="00C71DAC">
        <w:rPr>
          <w:rFonts w:ascii="Tahoma" w:hAnsi="Tahoma"/>
          <w:caps/>
          <w:color w:val="F66400"/>
          <w:sz w:val="22"/>
          <w:vertAlign w:val="superscript"/>
          <w:lang w:val="pt-BR"/>
        </w:rPr>
        <w:t>53</w:t>
      </w:r>
      <w:r w:rsidRPr="00C71DAC">
        <w:rPr>
          <w:rFonts w:ascii="Tahoma" w:hAnsi="Tahoma"/>
          <w:color w:val="F66400"/>
          <w:sz w:val="22"/>
          <w:lang w:val="pt-BR"/>
        </w:rPr>
        <w:t xml:space="preserve"> CAL Padrão do Exchange Server 2010</w:t>
      </w:r>
      <w:bookmarkEnd w:id="1279"/>
      <w:bookmarkEnd w:id="1283"/>
    </w:p>
    <w:bookmarkEnd w:id="1273"/>
    <w:p w:rsidR="004069A4" w:rsidRPr="00C71DAC" w:rsidRDefault="004069A4" w:rsidP="004069A4">
      <w:pPr>
        <w:rPr>
          <w:lang w:val="pt-BR"/>
        </w:rPr>
      </w:pPr>
    </w:p>
    <w:p w:rsidR="004069A4" w:rsidRPr="00C71DAC" w:rsidRDefault="004069A4" w:rsidP="005427B6">
      <w:pPr>
        <w:spacing w:after="60"/>
        <w:ind w:left="720"/>
        <w:rPr>
          <w:lang w:val="pt-BR"/>
        </w:rPr>
      </w:pPr>
      <w:r w:rsidRPr="00C71DAC">
        <w:rPr>
          <w:rFonts w:cs="Tahoma"/>
          <w:b/>
          <w:color w:val="000000"/>
          <w:szCs w:val="18"/>
          <w:lang w:val="pt-BR"/>
        </w:rPr>
        <w:lastRenderedPageBreak/>
        <w:t>Pastas Padrão Gerenciadas licenciadas com a CAL do Exchange Server 2010 Standard</w:t>
      </w:r>
    </w:p>
    <w:p w:rsidR="004069A4" w:rsidRPr="00C71DAC" w:rsidRDefault="004069A4" w:rsidP="00E62BC4">
      <w:pPr>
        <w:ind w:left="720"/>
        <w:rPr>
          <w:lang w:val="pt-BR"/>
        </w:rPr>
      </w:pPr>
      <w:r w:rsidRPr="00C71DAC">
        <w:rPr>
          <w:rFonts w:cs="Tahoma"/>
          <w:color w:val="000000"/>
          <w:szCs w:val="18"/>
          <w:lang w:val="pt-BR"/>
        </w:rPr>
        <w:t>O direito de acessar a funcionalidade de Pasta Padrão Gerenciada do Exchange Server 2010 é conferido sob</w:t>
      </w:r>
      <w:r w:rsidR="00792983" w:rsidRPr="00C71DAC">
        <w:rPr>
          <w:rFonts w:cs="Tahoma"/>
          <w:color w:val="000000"/>
          <w:szCs w:val="18"/>
          <w:lang w:val="pt-BR"/>
        </w:rPr>
        <w:t> </w:t>
      </w:r>
      <w:r w:rsidRPr="00C71DAC">
        <w:rPr>
          <w:rFonts w:cs="Tahoma"/>
          <w:color w:val="000000"/>
          <w:szCs w:val="18"/>
          <w:lang w:val="pt-BR"/>
        </w:rPr>
        <w:t>a CAL do Exchange Server 2010 Standard e CALs equivalentes.</w:t>
      </w:r>
      <w:r w:rsidR="005A52A2" w:rsidRPr="00C71DAC">
        <w:rPr>
          <w:rFonts w:cs="Tahoma"/>
          <w:color w:val="000000"/>
          <w:szCs w:val="18"/>
          <w:lang w:val="pt-BR"/>
        </w:rPr>
        <w:t xml:space="preserve"> </w:t>
      </w:r>
      <w:r w:rsidRPr="00C71DAC">
        <w:rPr>
          <w:rFonts w:cs="Tahoma"/>
          <w:color w:val="000000"/>
          <w:szCs w:val="18"/>
          <w:lang w:val="pt-BR"/>
        </w:rPr>
        <w:t xml:space="preserve">Uma CAL do Exchange Server 2010 Enterprise ou equivalente é necessária para acessar a funcionalidade de Pasta Personalizada Gerenciada, mas não a de Pasta Padrão Gerenciada. </w:t>
      </w:r>
    </w:p>
    <w:p w:rsidR="004069A4" w:rsidRPr="00C71DAC" w:rsidRDefault="004069A4" w:rsidP="00E62BC4">
      <w:pPr>
        <w:ind w:left="720"/>
        <w:rPr>
          <w:lang w:val="pt-BR"/>
        </w:rPr>
      </w:pPr>
    </w:p>
    <w:p w:rsidR="00031547" w:rsidRPr="00C71DAC" w:rsidRDefault="00031547" w:rsidP="005427B6">
      <w:pPr>
        <w:spacing w:after="60"/>
        <w:ind w:left="720"/>
        <w:rPr>
          <w:lang w:val="pt-BR"/>
        </w:rPr>
      </w:pPr>
      <w:r w:rsidRPr="00C71DAC">
        <w:rPr>
          <w:rFonts w:cs="Tahoma"/>
          <w:b/>
          <w:color w:val="000000"/>
          <w:szCs w:val="18"/>
          <w:lang w:val="pt-BR"/>
        </w:rPr>
        <w:t>Pesquisa em Várias Caixas de Correio Licenciadas com a CAL Padrão do Exchange Server 2010</w:t>
      </w:r>
    </w:p>
    <w:p w:rsidR="00031547" w:rsidRPr="00C71DAC" w:rsidRDefault="00031547" w:rsidP="00BA1490">
      <w:pPr>
        <w:ind w:left="720"/>
        <w:rPr>
          <w:lang w:val="pt-BR"/>
        </w:rPr>
      </w:pPr>
      <w:r w:rsidRPr="00C71DAC">
        <w:rPr>
          <w:rFonts w:cs="Tahoma"/>
          <w:bCs/>
          <w:szCs w:val="20"/>
          <w:lang w:val="pt-BR"/>
        </w:rPr>
        <w:t>Estamos atualizando os direitos de uso do Exchange Server 2010 para refletir que o direito de acessar a funcionalidade de Pesquisa Cruzada em Caixa de Correio no Exchange Server 2010 é conferido de acordo com as CALs Padrão do Exchange Server 2010 e CALs equivalentes. Essa atualização é aplicável a todas as</w:t>
      </w:r>
      <w:r w:rsidR="00792983" w:rsidRPr="00C71DAC">
        <w:rPr>
          <w:rFonts w:cs="Tahoma"/>
          <w:bCs/>
          <w:szCs w:val="20"/>
          <w:lang w:val="pt-BR"/>
        </w:rPr>
        <w:t> </w:t>
      </w:r>
      <w:r w:rsidRPr="00C71DAC">
        <w:rPr>
          <w:rFonts w:cs="Tahoma"/>
          <w:bCs/>
          <w:szCs w:val="20"/>
          <w:lang w:val="pt-BR"/>
        </w:rPr>
        <w:t>licenças do Exchange Server 2010.</w:t>
      </w:r>
    </w:p>
    <w:p w:rsidR="004D0019" w:rsidRPr="00C71DAC" w:rsidRDefault="004D0019" w:rsidP="00E62BC4">
      <w:pPr>
        <w:ind w:left="720"/>
        <w:rPr>
          <w:lang w:val="pt-BR"/>
        </w:rPr>
      </w:pPr>
    </w:p>
    <w:p w:rsidR="004069A4" w:rsidRPr="00C71DAC" w:rsidRDefault="004069A4" w:rsidP="005427B6">
      <w:pPr>
        <w:spacing w:after="60"/>
        <w:ind w:left="720"/>
        <w:rPr>
          <w:lang w:val="pt-BR"/>
        </w:rPr>
      </w:pPr>
      <w:r w:rsidRPr="00C71DAC">
        <w:rPr>
          <w:rFonts w:cs="Tahoma"/>
          <w:b/>
          <w:color w:val="000000"/>
          <w:szCs w:val="18"/>
          <w:lang w:val="pt-BR"/>
        </w:rPr>
        <w:t>CALs Somente para Aluno (Licença Academic Open e Academic Select)</w:t>
      </w:r>
    </w:p>
    <w:p w:rsidR="004069A4" w:rsidRPr="00C71DAC" w:rsidRDefault="004069A4" w:rsidP="00E62BC4">
      <w:pPr>
        <w:ind w:left="720"/>
        <w:rPr>
          <w:lang w:val="pt-BR"/>
        </w:rPr>
      </w:pPr>
      <w:r w:rsidRPr="00C71DAC">
        <w:rPr>
          <w:rFonts w:cs="Tahoma"/>
          <w:szCs w:val="20"/>
          <w:lang w:val="pt-BR"/>
        </w:rPr>
        <w:t>As CALs Somente para Aluno estão restritas a PCs de propriedade de um aluno ou de uma instituição licenciados dedicados a um aluno individual e NÃO se destinam ao uso em laboratórios ou salas de aula.</w:t>
      </w:r>
    </w:p>
    <w:p w:rsidR="00DD14E6" w:rsidRPr="00C71DAC" w:rsidRDefault="00DD14E6" w:rsidP="005427B6">
      <w:pPr>
        <w:rPr>
          <w:lang w:val="pt-BR"/>
        </w:rPr>
      </w:pPr>
      <w:bookmarkStart w:id="1284" w:name="Srv_43ExchangeSvr07StdCAL"/>
      <w:bookmarkStart w:id="1285" w:name="Srv_44ExchangeSvr2010StdCAL"/>
    </w:p>
    <w:p w:rsidR="005427B6" w:rsidRPr="00C71DAC" w:rsidRDefault="005427B6" w:rsidP="005427B6">
      <w:pPr>
        <w:rPr>
          <w:lang w:val="pt-BR"/>
        </w:rPr>
      </w:pPr>
    </w:p>
    <w:p w:rsidR="00CC1B99" w:rsidRPr="00C71DAC" w:rsidRDefault="00F66FB0" w:rsidP="00CC1B99">
      <w:pPr>
        <w:pStyle w:val="Heading3"/>
        <w:rPr>
          <w:lang w:val="pt-BR"/>
        </w:rPr>
      </w:pPr>
      <w:bookmarkStart w:id="1286" w:name="_53_Forefront_Endpoint"/>
      <w:bookmarkStart w:id="1287" w:name="_54_Forefront_Endpoint"/>
      <w:bookmarkStart w:id="1288" w:name="_Toc336338314"/>
      <w:bookmarkStart w:id="1289" w:name="_Toc353470960"/>
      <w:bookmarkStart w:id="1290" w:name="Srv_51ForfrontEndpointProtection"/>
      <w:bookmarkStart w:id="1291" w:name="Srv_50ForfrontEndpointProtection"/>
      <w:bookmarkStart w:id="1292" w:name="Srv_42ExchangeSvr07StdCAL"/>
      <w:bookmarkEnd w:id="1286"/>
      <w:bookmarkEnd w:id="1287"/>
      <w:r w:rsidRPr="00C71DAC">
        <w:rPr>
          <w:rFonts w:ascii="Tahoma" w:hAnsi="Tahoma"/>
          <w:caps/>
          <w:color w:val="F66400"/>
          <w:sz w:val="22"/>
          <w:vertAlign w:val="superscript"/>
          <w:lang w:val="pt-BR"/>
        </w:rPr>
        <w:t>54</w:t>
      </w:r>
      <w:r w:rsidRPr="00C71DAC">
        <w:rPr>
          <w:rFonts w:ascii="Tahoma" w:hAnsi="Tahoma"/>
          <w:color w:val="F66400"/>
          <w:sz w:val="22"/>
          <w:lang w:val="pt-BR"/>
        </w:rPr>
        <w:t xml:space="preserve"> Forefront Endpoint Protection</w:t>
      </w:r>
      <w:bookmarkEnd w:id="1288"/>
      <w:bookmarkEnd w:id="1289"/>
    </w:p>
    <w:bookmarkEnd w:id="1290"/>
    <w:bookmarkEnd w:id="1291"/>
    <w:p w:rsidR="00CC1B99" w:rsidRPr="00C71DAC" w:rsidRDefault="00CC1B99" w:rsidP="00E62BC4">
      <w:pPr>
        <w:ind w:left="720"/>
        <w:rPr>
          <w:lang w:val="pt-BR"/>
        </w:rPr>
      </w:pPr>
    </w:p>
    <w:p w:rsidR="008A1A57" w:rsidRPr="00C71DAC" w:rsidRDefault="008A1A57" w:rsidP="00E62BC4">
      <w:pPr>
        <w:tabs>
          <w:tab w:val="left" w:pos="1920"/>
        </w:tabs>
        <w:ind w:left="720"/>
        <w:rPr>
          <w:lang w:val="pt-BR"/>
        </w:rPr>
      </w:pPr>
      <w:r w:rsidRPr="00C71DAC">
        <w:rPr>
          <w:lang w:val="pt-BR"/>
        </w:rPr>
        <w:t xml:space="preserve">A partir de 1º de abril de 2012, o </w:t>
      </w:r>
      <w:r w:rsidRPr="00C71DAC">
        <w:rPr>
          <w:rFonts w:eastAsia="Calibri" w:cs="Tahoma"/>
          <w:szCs w:val="18"/>
          <w:lang w:val="pt-BR"/>
        </w:rPr>
        <w:t xml:space="preserve">Forefront Endpoint Protection, como uma oferta para proteção do cliente, será substituído pelo </w:t>
      </w:r>
      <w:r w:rsidRPr="00C71DAC">
        <w:rPr>
          <w:lang w:val="pt-BR"/>
        </w:rPr>
        <w:t>System Center 2012 Endpoint Protection. O System Center 2012 Endpoint Protection, como uma oferta independente, confere direitos de uso apenas para proteger os dispositivos do cliente. Os</w:t>
      </w:r>
      <w:r w:rsidR="00392523" w:rsidRPr="00C71DAC">
        <w:rPr>
          <w:lang w:val="pt-BR"/>
        </w:rPr>
        <w:t> </w:t>
      </w:r>
      <w:r w:rsidRPr="00C71DAC">
        <w:rPr>
          <w:lang w:val="pt-BR"/>
        </w:rPr>
        <w:t>direitos de uso para proteger dispositivos de servidor podem ser adquiridos somente por meio da aquisição das licenças de gerenciamento do System Center 2012 Standard ou Datacenter.</w:t>
      </w:r>
    </w:p>
    <w:p w:rsidR="008A1A57" w:rsidRPr="00C71DAC" w:rsidRDefault="008A1A57" w:rsidP="00E62BC4">
      <w:pPr>
        <w:tabs>
          <w:tab w:val="left" w:pos="1920"/>
        </w:tabs>
        <w:ind w:left="720"/>
        <w:rPr>
          <w:lang w:val="pt-BR"/>
        </w:rPr>
      </w:pPr>
    </w:p>
    <w:p w:rsidR="008A1A57" w:rsidRPr="00C71DAC" w:rsidRDefault="008A1A57" w:rsidP="00E62BC4">
      <w:pPr>
        <w:tabs>
          <w:tab w:val="left" w:pos="1920"/>
        </w:tabs>
        <w:ind w:left="720"/>
        <w:rPr>
          <w:lang w:val="pt-BR"/>
        </w:rPr>
      </w:pPr>
      <w:r w:rsidRPr="00C71DAC">
        <w:rPr>
          <w:rFonts w:eastAsia="Calibri" w:cs="Tahoma"/>
          <w:szCs w:val="18"/>
          <w:lang w:val="pt-BR"/>
        </w:rPr>
        <w:t xml:space="preserve">Os usuários com assinaturas do Forefront Endpoint Protection </w:t>
      </w:r>
      <w:r w:rsidRPr="00C71DAC">
        <w:rPr>
          <w:lang w:val="pt-BR"/>
        </w:rPr>
        <w:t>e que ajudam o serviço a proteger os dispositivos do cliente, podem fazer atualização para o System Center 2012 Endpoint Protection para a</w:t>
      </w:r>
      <w:r w:rsidR="00792983" w:rsidRPr="00C71DAC">
        <w:rPr>
          <w:lang w:val="pt-BR"/>
        </w:rPr>
        <w:t> </w:t>
      </w:r>
      <w:r w:rsidRPr="00C71DAC">
        <w:rPr>
          <w:lang w:val="pt-BR"/>
        </w:rPr>
        <w:t>mesma finalidade.</w:t>
      </w:r>
    </w:p>
    <w:p w:rsidR="008A1A57" w:rsidRPr="00C71DAC" w:rsidRDefault="008A1A57" w:rsidP="00E62BC4">
      <w:pPr>
        <w:tabs>
          <w:tab w:val="left" w:pos="1920"/>
        </w:tabs>
        <w:ind w:left="720"/>
        <w:rPr>
          <w:lang w:val="pt-BR"/>
        </w:rPr>
      </w:pPr>
    </w:p>
    <w:p w:rsidR="008A1A57" w:rsidRPr="00C71DAC" w:rsidRDefault="008A1A57" w:rsidP="00E62BC4">
      <w:pPr>
        <w:tabs>
          <w:tab w:val="left" w:pos="1920"/>
        </w:tabs>
        <w:ind w:left="720"/>
        <w:rPr>
          <w:lang w:val="pt-BR"/>
        </w:rPr>
      </w:pPr>
      <w:r w:rsidRPr="00C71DAC">
        <w:rPr>
          <w:rFonts w:eastAsia="Calibri" w:cs="Tahoma"/>
          <w:szCs w:val="18"/>
          <w:lang w:val="pt-BR"/>
        </w:rPr>
        <w:t>Os usuários com assinaturas ativas do Forefront Endpoint Protection</w:t>
      </w:r>
      <w:r w:rsidRPr="00C71DAC">
        <w:rPr>
          <w:lang w:val="pt-BR"/>
        </w:rPr>
        <w:t xml:space="preserve"> e que ajudam o serviço a proteger os</w:t>
      </w:r>
      <w:r w:rsidR="00792983" w:rsidRPr="00C71DAC">
        <w:rPr>
          <w:lang w:val="pt-BR"/>
        </w:rPr>
        <w:t> </w:t>
      </w:r>
      <w:r w:rsidRPr="00C71DAC">
        <w:rPr>
          <w:lang w:val="pt-BR"/>
        </w:rPr>
        <w:t>dispositivos do servidor, podem continuar usando o serviço Forefront Endpoint Protection.</w:t>
      </w:r>
    </w:p>
    <w:p w:rsidR="008A1A57" w:rsidRPr="00C71DAC" w:rsidRDefault="008A1A57" w:rsidP="00E62BC4">
      <w:pPr>
        <w:ind w:left="720"/>
        <w:rPr>
          <w:lang w:val="pt-BR"/>
        </w:rPr>
      </w:pPr>
    </w:p>
    <w:p w:rsidR="008A1A57" w:rsidRPr="00C71DAC" w:rsidRDefault="008A1A57" w:rsidP="00E62BC4">
      <w:pPr>
        <w:ind w:left="720"/>
        <w:rPr>
          <w:lang w:val="pt-BR"/>
        </w:rPr>
      </w:pPr>
      <w:r w:rsidRPr="00C71DAC">
        <w:rPr>
          <w:rFonts w:eastAsia="Calibri" w:cs="Tahoma"/>
          <w:szCs w:val="18"/>
          <w:lang w:val="pt-BR"/>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r w:rsidR="005A52A2" w:rsidRPr="00C71DAC">
        <w:rPr>
          <w:rFonts w:eastAsia="Calibri" w:cs="Tahoma"/>
          <w:szCs w:val="18"/>
          <w:lang w:val="pt-BR"/>
        </w:rPr>
        <w:t xml:space="preserve"> </w:t>
      </w:r>
    </w:p>
    <w:p w:rsidR="008A1A57" w:rsidRPr="00C71DAC" w:rsidRDefault="008A1A57" w:rsidP="00E62BC4">
      <w:pPr>
        <w:ind w:left="720"/>
        <w:rPr>
          <w:lang w:val="pt-BR"/>
        </w:rPr>
      </w:pPr>
    </w:p>
    <w:p w:rsidR="008A1A57" w:rsidRPr="00C71DAC" w:rsidRDefault="005427B6" w:rsidP="005427B6">
      <w:pPr>
        <w:spacing w:after="60"/>
        <w:ind w:left="720"/>
        <w:rPr>
          <w:lang w:val="pt-BR"/>
        </w:rPr>
      </w:pPr>
      <w:r w:rsidRPr="00C71DAC">
        <w:rPr>
          <w:rFonts w:eastAsia="Calibri" w:cs="Tahoma"/>
          <w:b/>
          <w:szCs w:val="18"/>
          <w:lang w:val="pt-BR"/>
        </w:rPr>
        <w:t>Uso Doméstico</w:t>
      </w:r>
    </w:p>
    <w:p w:rsidR="008A1A57" w:rsidRPr="00C71DAC" w:rsidRDefault="008A1A57" w:rsidP="00E62BC4">
      <w:pPr>
        <w:ind w:left="720"/>
        <w:rPr>
          <w:lang w:val="pt-BR"/>
        </w:rPr>
      </w:pPr>
      <w:r w:rsidRPr="00C71DAC">
        <w:rPr>
          <w:rFonts w:eastAsia="Calibri" w:cs="Tahoma"/>
          <w:szCs w:val="18"/>
          <w:lang w:val="pt-BR"/>
        </w:rPr>
        <w:t>Os clientes com as Licenças de Assinatura do Usuário atuais para qualificação do Forefront Endpoint Protection 2010 como programa de Uso Doméstico.</w:t>
      </w:r>
    </w:p>
    <w:p w:rsidR="00BA1490" w:rsidRPr="00C71DAC" w:rsidRDefault="00BA1490" w:rsidP="00BA1490">
      <w:pPr>
        <w:rPr>
          <w:lang w:val="pt-BR"/>
        </w:rPr>
      </w:pPr>
      <w:bookmarkStart w:id="1293" w:name="_Toc254758297"/>
      <w:bookmarkStart w:id="1294" w:name="Srv_44ForefrontOnSecforExch"/>
      <w:bookmarkStart w:id="1295" w:name="Srv_43ForefrontOnSecforExch"/>
      <w:bookmarkEnd w:id="1284"/>
      <w:bookmarkEnd w:id="1285"/>
      <w:bookmarkEnd w:id="1292"/>
    </w:p>
    <w:p w:rsidR="00BA1490" w:rsidRPr="00C71DAC" w:rsidRDefault="00BA1490" w:rsidP="00BA1490">
      <w:pPr>
        <w:rPr>
          <w:lang w:val="pt-BR"/>
        </w:rPr>
      </w:pPr>
    </w:p>
    <w:p w:rsidR="009E4FDD" w:rsidRPr="00C71DAC" w:rsidRDefault="00F66FB0" w:rsidP="009E4FDD">
      <w:pPr>
        <w:pStyle w:val="Heading3"/>
        <w:rPr>
          <w:lang w:val="pt-BR"/>
        </w:rPr>
      </w:pPr>
      <w:bookmarkStart w:id="1296" w:name="_54_Forefront_Identity"/>
      <w:bookmarkStart w:id="1297" w:name="_Toc336338315"/>
      <w:bookmarkStart w:id="1298" w:name="_Toc353470961"/>
      <w:bookmarkStart w:id="1299" w:name="Srv_43ForefrontIdMgr2010"/>
      <w:bookmarkStart w:id="1300" w:name="Srv_48ForefrontIdMgr2010"/>
      <w:bookmarkStart w:id="1301" w:name="Srv_45ForefrontIdMgr2010"/>
      <w:bookmarkEnd w:id="1296"/>
      <w:r w:rsidRPr="00C71DAC">
        <w:rPr>
          <w:rFonts w:ascii="Tahoma" w:hAnsi="Tahoma"/>
          <w:caps/>
          <w:color w:val="F66400"/>
          <w:sz w:val="22"/>
          <w:vertAlign w:val="superscript"/>
          <w:lang w:val="pt-BR"/>
        </w:rPr>
        <w:t xml:space="preserve">55 </w:t>
      </w:r>
      <w:r w:rsidRPr="00C71DAC">
        <w:rPr>
          <w:rFonts w:ascii="Tahoma" w:hAnsi="Tahoma"/>
          <w:color w:val="F66400"/>
          <w:sz w:val="22"/>
          <w:lang w:val="pt-BR"/>
        </w:rPr>
        <w:t>Forefront Identity Manager 2010</w:t>
      </w:r>
      <w:bookmarkEnd w:id="1293"/>
      <w:r w:rsidRPr="00C71DAC">
        <w:rPr>
          <w:rFonts w:ascii="Tahoma" w:hAnsi="Tahoma"/>
          <w:color w:val="F66400"/>
          <w:sz w:val="22"/>
          <w:lang w:val="pt-BR"/>
        </w:rPr>
        <w:t xml:space="preserve"> R2</w:t>
      </w:r>
      <w:bookmarkEnd w:id="1297"/>
      <w:bookmarkEnd w:id="1298"/>
    </w:p>
    <w:bookmarkEnd w:id="1299"/>
    <w:bookmarkEnd w:id="1300"/>
    <w:bookmarkEnd w:id="1301"/>
    <w:p w:rsidR="009E4FDD" w:rsidRPr="00C71DAC" w:rsidRDefault="009E4FDD" w:rsidP="009E4FDD">
      <w:pPr>
        <w:ind w:left="720"/>
        <w:rPr>
          <w:lang w:val="pt-BR"/>
        </w:rPr>
      </w:pPr>
    </w:p>
    <w:p w:rsidR="009E4FDD" w:rsidRPr="00C71DAC" w:rsidRDefault="009E4FDD" w:rsidP="005427B6">
      <w:pPr>
        <w:spacing w:after="60"/>
        <w:ind w:left="720"/>
        <w:rPr>
          <w:lang w:val="pt-BR"/>
        </w:rPr>
      </w:pPr>
      <w:r w:rsidRPr="00C71DAC">
        <w:rPr>
          <w:rFonts w:cs="Tahoma"/>
          <w:b/>
          <w:color w:val="000000"/>
          <w:szCs w:val="18"/>
          <w:lang w:val="pt-BR"/>
        </w:rPr>
        <w:t>Versão</w:t>
      </w:r>
    </w:p>
    <w:p w:rsidR="009E4FDD" w:rsidRPr="00C71DAC" w:rsidRDefault="009E4FDD" w:rsidP="005427B6">
      <w:pPr>
        <w:ind w:left="720"/>
        <w:rPr>
          <w:lang w:val="pt-BR"/>
        </w:rPr>
      </w:pPr>
      <w:r w:rsidRPr="00C71DAC">
        <w:rPr>
          <w:rFonts w:cs="Tahoma"/>
          <w:color w:val="000000"/>
          <w:szCs w:val="18"/>
          <w:lang w:val="pt-BR"/>
        </w:rPr>
        <w:t>O Forefront Identity Manager 2010 R2 é a próxima versão do Forefront Identity Manager 2010.</w:t>
      </w:r>
    </w:p>
    <w:p w:rsidR="005427B6" w:rsidRPr="00C71DAC" w:rsidRDefault="005427B6" w:rsidP="005427B6">
      <w:pPr>
        <w:rPr>
          <w:lang w:val="pt-BR"/>
        </w:rPr>
      </w:pPr>
    </w:p>
    <w:p w:rsidR="005427B6" w:rsidRPr="00C71DAC" w:rsidRDefault="005427B6" w:rsidP="005427B6">
      <w:pPr>
        <w:rPr>
          <w:lang w:val="pt-BR"/>
        </w:rPr>
      </w:pPr>
    </w:p>
    <w:p w:rsidR="00936C19" w:rsidRPr="00653421" w:rsidRDefault="00F66FB0" w:rsidP="005427B6">
      <w:pPr>
        <w:pStyle w:val="Heading2"/>
        <w:ind w:left="0"/>
      </w:pPr>
      <w:bookmarkStart w:id="1302" w:name="_55_Forefront_Identity"/>
      <w:bookmarkStart w:id="1303" w:name="_56_Forefront_Identity"/>
      <w:bookmarkStart w:id="1304" w:name="_Toc336338316"/>
      <w:bookmarkStart w:id="1305" w:name="Srv_54ForefrontIDMgrWinLiveEd"/>
      <w:bookmarkStart w:id="1306" w:name="_Toc353470962"/>
      <w:bookmarkStart w:id="1307" w:name="Srv_46ForefrontOnlineProforExch"/>
      <w:bookmarkEnd w:id="1302"/>
      <w:bookmarkEnd w:id="1303"/>
      <w:r w:rsidRPr="00653421">
        <w:rPr>
          <w:rFonts w:ascii="Tahoma" w:hAnsi="Tahoma" w:cs="Tahoma"/>
          <w:caps/>
          <w:color w:val="F26200"/>
          <w:sz w:val="20"/>
          <w:vertAlign w:val="superscript"/>
        </w:rPr>
        <w:t>56</w:t>
      </w:r>
      <w:r w:rsidRPr="00653421">
        <w:rPr>
          <w:rFonts w:ascii="Tahoma" w:hAnsi="Tahoma" w:cs="Tahoma"/>
          <w:color w:val="F26200"/>
        </w:rPr>
        <w:t xml:space="preserve"> </w:t>
      </w:r>
      <w:r w:rsidRPr="00653421">
        <w:rPr>
          <w:rFonts w:ascii="Tahoma" w:hAnsi="Tahoma" w:cs="Tahoma"/>
          <w:color w:val="F26200"/>
          <w:sz w:val="22"/>
        </w:rPr>
        <w:t>Forefront Identity Manager 2010 – Windows Live Edition</w:t>
      </w:r>
      <w:bookmarkEnd w:id="1304"/>
      <w:bookmarkEnd w:id="1305"/>
      <w:bookmarkEnd w:id="1306"/>
    </w:p>
    <w:p w:rsidR="005427B6" w:rsidRPr="00653421" w:rsidRDefault="005427B6" w:rsidP="005427B6"/>
    <w:p w:rsidR="005D346C" w:rsidRPr="00653421" w:rsidRDefault="005D346C" w:rsidP="005427B6">
      <w:pPr>
        <w:spacing w:after="60"/>
        <w:ind w:left="720"/>
      </w:pPr>
      <w:r w:rsidRPr="00653421">
        <w:rPr>
          <w:rFonts w:cs="Tahoma"/>
          <w:b/>
          <w:color w:val="000000"/>
          <w:szCs w:val="18"/>
        </w:rPr>
        <w:t>Versão</w:t>
      </w:r>
    </w:p>
    <w:p w:rsidR="005D346C" w:rsidRPr="00653421" w:rsidRDefault="005D346C" w:rsidP="00E62BC4">
      <w:pPr>
        <w:ind w:left="720"/>
      </w:pPr>
      <w:r w:rsidRPr="00653421">
        <w:rPr>
          <w:color w:val="000000"/>
        </w:rPr>
        <w:t>O Forefront Identity Manager 2010 – Windows Live Edition é a próxima versão do Identity Lifecycle Manager 2007 – Windows Live Edition</w:t>
      </w:r>
    </w:p>
    <w:p w:rsidR="00273685" w:rsidRPr="00653421" w:rsidRDefault="00F66FB0" w:rsidP="001170C1">
      <w:pPr>
        <w:pStyle w:val="Heading3"/>
        <w:ind w:left="243" w:hanging="243"/>
      </w:pPr>
      <w:bookmarkStart w:id="1308" w:name="_54_Forefront_Protection"/>
      <w:bookmarkStart w:id="1309" w:name="_55_Forefront_Protection"/>
      <w:bookmarkStart w:id="1310" w:name="_57_Forefront_Protection"/>
      <w:bookmarkStart w:id="1311" w:name="_Toc336338318"/>
      <w:bookmarkStart w:id="1312" w:name="_Toc353470963"/>
      <w:bookmarkStart w:id="1313" w:name="Srv_44ForefrontSecforExcSharep"/>
      <w:bookmarkStart w:id="1314" w:name="Srv_45ForefrontSecforExcSharep"/>
      <w:bookmarkStart w:id="1315" w:name="Srv_48ForefrontProtectionSuite"/>
      <w:bookmarkEnd w:id="1294"/>
      <w:bookmarkEnd w:id="1295"/>
      <w:bookmarkEnd w:id="1307"/>
      <w:bookmarkEnd w:id="1308"/>
      <w:bookmarkEnd w:id="1309"/>
      <w:bookmarkEnd w:id="1310"/>
      <w:r w:rsidRPr="00653421">
        <w:rPr>
          <w:rFonts w:ascii="Tahoma" w:hAnsi="Tahoma"/>
          <w:caps/>
          <w:color w:val="F66400"/>
          <w:sz w:val="22"/>
          <w:vertAlign w:val="superscript"/>
        </w:rPr>
        <w:lastRenderedPageBreak/>
        <w:t>57</w:t>
      </w:r>
      <w:r w:rsidRPr="00653421">
        <w:rPr>
          <w:rFonts w:ascii="Tahoma" w:hAnsi="Tahoma"/>
          <w:color w:val="F66400"/>
          <w:sz w:val="22"/>
        </w:rPr>
        <w:t xml:space="preserve"> Forefront Protection 2010 para Exchange Server (SL de Usuário e Dispositivo), Forefront Protection 2010 para SharePoint (SL de Usuário e Dispositivo)</w:t>
      </w:r>
      <w:bookmarkEnd w:id="1311"/>
      <w:r w:rsidRPr="00653421">
        <w:rPr>
          <w:rFonts w:ascii="Tahoma" w:hAnsi="Tahoma"/>
          <w:color w:val="F66400"/>
          <w:sz w:val="22"/>
        </w:rPr>
        <w:t xml:space="preserve"> e Forefront Protection 2010 para Sites de Internet (SL Complementar)</w:t>
      </w:r>
      <w:bookmarkEnd w:id="1312"/>
    </w:p>
    <w:bookmarkEnd w:id="1313"/>
    <w:bookmarkEnd w:id="1314"/>
    <w:p w:rsidR="00273685" w:rsidRPr="00653421" w:rsidRDefault="00273685" w:rsidP="00792983">
      <w:pPr>
        <w:spacing w:line="180" w:lineRule="exact"/>
        <w:ind w:left="720"/>
      </w:pPr>
    </w:p>
    <w:p w:rsidR="00273685" w:rsidRPr="00653421" w:rsidRDefault="00273685" w:rsidP="00273685">
      <w:pPr>
        <w:ind w:left="720"/>
      </w:pPr>
      <w:r w:rsidRPr="00653421">
        <w:rPr>
          <w:rFonts w:cs="Tahoma"/>
          <w:bCs/>
          <w:color w:val="000000"/>
          <w:szCs w:val="18"/>
        </w:rPr>
        <w:t>Forefront Protection 2010 para SharePoint, Forefront Protection 2010 para Exchange Server e Forefront Protection 2010 para Sites de Internet não estarão mais disponíveis a partir de 1º de dezembro de 2012. Os</w:t>
      </w:r>
      <w:r w:rsidR="00792983" w:rsidRPr="00653421">
        <w:rPr>
          <w:rFonts w:cs="Tahoma"/>
          <w:bCs/>
          <w:color w:val="000000"/>
          <w:szCs w:val="18"/>
        </w:rPr>
        <w:t> </w:t>
      </w:r>
      <w:r w:rsidRPr="00653421">
        <w:rPr>
          <w:rFonts w:cs="Tahoma"/>
          <w:bCs/>
          <w:color w:val="000000"/>
          <w:szCs w:val="18"/>
        </w:rPr>
        <w:t xml:space="preserve">clientes existentes com assinaturas ativas para os serviços online a partir de 30 de novembro de 2012 poderão continuar a usar os serviços online até 31 de dezembro de 2015. </w:t>
      </w:r>
      <w:r w:rsidRPr="00653421">
        <w:t>Os clientes existentes também poderão adicionar novos usuários, conforme necessário, sem qualquer exigência de pedidos de Licenças adicionais de Assinaturas do Usuário.</w:t>
      </w:r>
      <w:r w:rsidR="005A52A2" w:rsidRPr="00653421">
        <w:t xml:space="preserve"> </w:t>
      </w:r>
      <w:r w:rsidRPr="00653421">
        <w:rPr>
          <w:rFonts w:cs="Tahoma"/>
          <w:bCs/>
          <w:color w:val="000000"/>
          <w:szCs w:val="18"/>
        </w:rPr>
        <w:t>O uso contínuo dos serviços online permanece sujeito aos termos e às</w:t>
      </w:r>
      <w:r w:rsidR="00792983" w:rsidRPr="00653421">
        <w:rPr>
          <w:rFonts w:cs="Tahoma"/>
          <w:bCs/>
          <w:color w:val="000000"/>
          <w:szCs w:val="18"/>
        </w:rPr>
        <w:t> </w:t>
      </w:r>
      <w:r w:rsidRPr="00653421">
        <w:rPr>
          <w:rFonts w:cs="Tahoma"/>
          <w:bCs/>
          <w:color w:val="000000"/>
          <w:szCs w:val="18"/>
        </w:rPr>
        <w:t>condições do Contrato de Licenciamento por Volume do cliente, dos direitos de uso do produto do serviço</w:t>
      </w:r>
      <w:r w:rsidR="00792983" w:rsidRPr="00653421">
        <w:rPr>
          <w:rFonts w:cs="Tahoma"/>
          <w:bCs/>
          <w:color w:val="000000"/>
          <w:szCs w:val="18"/>
        </w:rPr>
        <w:t> </w:t>
      </w:r>
      <w:r w:rsidRPr="00653421">
        <w:rPr>
          <w:rFonts w:cs="Tahoma"/>
          <w:bCs/>
          <w:color w:val="000000"/>
          <w:szCs w:val="18"/>
        </w:rPr>
        <w:t xml:space="preserve">online e dos termos e das condições aqui. </w:t>
      </w:r>
    </w:p>
    <w:p w:rsidR="00273685" w:rsidRPr="00653421" w:rsidRDefault="00273685" w:rsidP="00792983">
      <w:pPr>
        <w:spacing w:line="180" w:lineRule="exact"/>
        <w:ind w:left="720"/>
      </w:pPr>
    </w:p>
    <w:p w:rsidR="00273685" w:rsidRPr="00653421" w:rsidRDefault="00273685" w:rsidP="00221A57">
      <w:pPr>
        <w:spacing w:after="60"/>
        <w:ind w:left="720"/>
      </w:pPr>
      <w:r w:rsidRPr="00653421">
        <w:rPr>
          <w:rFonts w:cs="Tahoma"/>
          <w:b/>
          <w:szCs w:val="20"/>
        </w:rPr>
        <w:t>Direito de migração para o Forefront Protection 2010 for Exchange Server</w:t>
      </w:r>
    </w:p>
    <w:p w:rsidR="00273685" w:rsidRPr="00653421" w:rsidRDefault="00273685" w:rsidP="00221A57">
      <w:pPr>
        <w:ind w:left="720"/>
      </w:pPr>
      <w:r w:rsidRPr="00653421">
        <w:rPr>
          <w:rFonts w:cs="Tahoma"/>
          <w:color w:val="000000"/>
          <w:szCs w:val="20"/>
        </w:rPr>
        <w:t>Os clientes de licenças por volume que adquiriram uma licença para o Forefront Protection 2010 for Exchange Server estão qualificados para usar o Antigen para Exchange, o Antigen para Gateways SMTP e o</w:t>
      </w:r>
      <w:r w:rsidR="00792983" w:rsidRPr="00653421">
        <w:rPr>
          <w:rFonts w:cs="Tahoma"/>
          <w:color w:val="000000"/>
          <w:szCs w:val="20"/>
        </w:rPr>
        <w:t> </w:t>
      </w:r>
      <w:r w:rsidRPr="00653421">
        <w:rPr>
          <w:rFonts w:cs="Tahoma"/>
          <w:color w:val="000000"/>
          <w:szCs w:val="20"/>
        </w:rPr>
        <w:t>Antigen Spam Manager no lugar do Forefront Protection 2010 for Exchange Server.</w:t>
      </w:r>
      <w:r w:rsidR="005A52A2" w:rsidRPr="00653421">
        <w:rPr>
          <w:rFonts w:cs="Tahoma"/>
          <w:color w:val="000000"/>
          <w:szCs w:val="20"/>
        </w:rPr>
        <w:t xml:space="preserve"> </w:t>
      </w:r>
      <w:r w:rsidRPr="00653421">
        <w:rPr>
          <w:rFonts w:cs="Tahoma"/>
          <w:color w:val="000000"/>
          <w:szCs w:val="20"/>
        </w:rPr>
        <w:t>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expirarão quando os direitos sob a licença do Forefront Protection 2010 for Exchange Server expirarem.</w:t>
      </w:r>
    </w:p>
    <w:p w:rsidR="00273685" w:rsidRPr="00653421" w:rsidRDefault="00273685" w:rsidP="00792983">
      <w:pPr>
        <w:spacing w:line="180" w:lineRule="exact"/>
        <w:ind w:left="720"/>
      </w:pPr>
    </w:p>
    <w:p w:rsidR="00273685" w:rsidRPr="00653421" w:rsidRDefault="00273685" w:rsidP="00221A57">
      <w:pPr>
        <w:ind w:left="720"/>
      </w:pPr>
      <w:r w:rsidRPr="00653421">
        <w:rPr>
          <w:rFonts w:cs="Tahoma"/>
          <w:color w:val="000000"/>
          <w:szCs w:val="20"/>
        </w:rPr>
        <w:t>*O direito de usar o Antigen no lugar do Forefront Security não se aplica aos clientes que inicialmente adquirirem licenças para um ou mais dos serviços Antigen e migrarem para o Forefront Protection 2010 for Exchange Server.</w:t>
      </w:r>
      <w:r w:rsidR="005A52A2" w:rsidRPr="00653421">
        <w:rPr>
          <w:rFonts w:cs="Tahoma"/>
          <w:color w:val="000000"/>
          <w:szCs w:val="20"/>
        </w:rPr>
        <w:t xml:space="preserve"> </w:t>
      </w:r>
      <w:r w:rsidRPr="00653421">
        <w:rPr>
          <w:rFonts w:cs="Tahoma"/>
          <w:color w:val="000000"/>
          <w:szCs w:val="20"/>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5A52A2" w:rsidRPr="00653421">
        <w:rPr>
          <w:rFonts w:cs="Tahoma"/>
          <w:color w:val="000000"/>
          <w:szCs w:val="20"/>
        </w:rPr>
        <w:t xml:space="preserve"> </w:t>
      </w:r>
    </w:p>
    <w:p w:rsidR="00973A93" w:rsidRPr="00653421" w:rsidRDefault="00973A93" w:rsidP="00792983">
      <w:pPr>
        <w:spacing w:line="180" w:lineRule="exact"/>
        <w:ind w:left="720"/>
      </w:pPr>
    </w:p>
    <w:p w:rsidR="00273685" w:rsidRPr="00653421" w:rsidRDefault="00273685" w:rsidP="00221A57">
      <w:pPr>
        <w:spacing w:after="60"/>
        <w:ind w:left="720"/>
      </w:pPr>
      <w:r w:rsidRPr="00653421">
        <w:rPr>
          <w:rFonts w:cs="Tahoma"/>
          <w:b/>
          <w:szCs w:val="20"/>
        </w:rPr>
        <w:t>Direito de downgrade do Forefront Security for SharePoint</w:t>
      </w:r>
    </w:p>
    <w:p w:rsidR="00273685" w:rsidRPr="00653421" w:rsidRDefault="00273685" w:rsidP="00221A57">
      <w:pPr>
        <w:ind w:left="720"/>
      </w:pPr>
      <w:r w:rsidRPr="00653421">
        <w:rPr>
          <w:rFonts w:cs="Tahoma"/>
          <w:szCs w:val="20"/>
        </w:rPr>
        <w:t>Os clientes de licenças por volume que adquiriram uma licença para o Forefront Protection 2010 for SharePoint estão qualificados para fazer downgrade para e usar o Antigen para SharePoint no lugar de suas</w:t>
      </w:r>
      <w:r w:rsidR="00792983" w:rsidRPr="00653421">
        <w:rPr>
          <w:rFonts w:cs="Tahoma"/>
          <w:szCs w:val="20"/>
        </w:rPr>
        <w:t> </w:t>
      </w:r>
      <w:r w:rsidRPr="00653421">
        <w:rPr>
          <w:rFonts w:cs="Tahoma"/>
          <w:szCs w:val="20"/>
        </w:rPr>
        <w:t>licenças do Forefront Protection 2010 for SharePoint.</w:t>
      </w:r>
      <w:r w:rsidR="005A52A2" w:rsidRPr="00653421">
        <w:rPr>
          <w:rFonts w:cs="Tahoma"/>
          <w:szCs w:val="20"/>
        </w:rPr>
        <w:t xml:space="preserve"> </w:t>
      </w:r>
      <w:r w:rsidRPr="00653421">
        <w:rPr>
          <w:rFonts w:cs="Tahoma"/>
          <w:szCs w:val="20"/>
        </w:rPr>
        <w:t>O uso do Antigen para SharePoint está sujeito ao</w:t>
      </w:r>
      <w:r w:rsidR="00792983" w:rsidRPr="00653421">
        <w:rPr>
          <w:rFonts w:cs="Tahoma"/>
          <w:szCs w:val="20"/>
        </w:rPr>
        <w:t> </w:t>
      </w:r>
      <w:r w:rsidRPr="00653421">
        <w:rPr>
          <w:rFonts w:cs="Tahoma"/>
          <w:szCs w:val="20"/>
        </w:rPr>
        <w:t>respectivo contrato de licença e aos direitos de uso do Forefront Protection 2010 for SharePoint. Os direitos dos clientes de usar o Antigen para SharePoint expirarão quando os direitos sob a licença do Forefront Protection 2010 for SharePoint expirarem.</w:t>
      </w:r>
    </w:p>
    <w:p w:rsidR="00273685" w:rsidRPr="00653421" w:rsidRDefault="00273685" w:rsidP="00792983">
      <w:pPr>
        <w:spacing w:line="180" w:lineRule="exact"/>
        <w:ind w:left="720"/>
      </w:pPr>
    </w:p>
    <w:p w:rsidR="00273685" w:rsidRPr="00653421" w:rsidRDefault="00273685" w:rsidP="00221A57">
      <w:pPr>
        <w:ind w:left="720"/>
      </w:pPr>
      <w:r w:rsidRPr="00653421">
        <w:rPr>
          <w:rFonts w:cs="Tahoma"/>
          <w:bCs/>
          <w:color w:val="000000"/>
          <w:szCs w:val="20"/>
        </w:rPr>
        <w:t>Todos os usuários (ou dispositivos) que acessarem um servidor protegido precisarão de SLs de Usuário (ou</w:t>
      </w:r>
      <w:r w:rsidR="00792983" w:rsidRPr="00653421">
        <w:rPr>
          <w:rFonts w:cs="Tahoma"/>
          <w:bCs/>
          <w:color w:val="000000"/>
          <w:szCs w:val="20"/>
        </w:rPr>
        <w:t> </w:t>
      </w:r>
      <w:r w:rsidRPr="00653421">
        <w:rPr>
          <w:rFonts w:cs="Tahoma"/>
          <w:bCs/>
          <w:color w:val="000000"/>
          <w:szCs w:val="20"/>
        </w:rPr>
        <w:t>Dispositivo), a menos que estejam licenciados por meio do External Connector do Forefront for Exchange ou de SLs Complementares do Forefront Security para SharePoint para Internet Sites.</w:t>
      </w:r>
    </w:p>
    <w:p w:rsidR="00273685" w:rsidRPr="00653421" w:rsidRDefault="00273685" w:rsidP="00792983">
      <w:pPr>
        <w:pStyle w:val="EndnoteText"/>
        <w:spacing w:line="180" w:lineRule="exact"/>
        <w:ind w:left="720"/>
        <w:rPr>
          <w:rFonts w:ascii="Tahoma" w:hAnsi="Tahoma" w:cs="Tahoma"/>
          <w:sz w:val="18"/>
          <w:szCs w:val="18"/>
        </w:rPr>
      </w:pPr>
    </w:p>
    <w:p w:rsidR="00023FE7" w:rsidRPr="00653421" w:rsidRDefault="00273685" w:rsidP="00221A57">
      <w:pPr>
        <w:pStyle w:val="EndnoteText"/>
        <w:ind w:left="720"/>
        <w:rPr>
          <w:rFonts w:ascii="Tahoma" w:hAnsi="Tahoma" w:cs="Tahoma"/>
          <w:sz w:val="18"/>
          <w:szCs w:val="18"/>
        </w:rPr>
      </w:pPr>
      <w:r w:rsidRPr="00653421">
        <w:rPr>
          <w:rFonts w:ascii="Tahoma" w:hAnsi="Tahoma" w:cs="Tahoma"/>
          <w:bCs/>
          <w:color w:val="000000"/>
          <w:sz w:val="18"/>
          <w:szCs w:val="18"/>
        </w:rPr>
        <w:t>Consulte a</w:t>
      </w:r>
      <w:hyperlink w:anchor="_SECTION_3_–" w:history="1">
        <w:r w:rsidRPr="00653421">
          <w:rPr>
            <w:rFonts w:ascii="Tahoma" w:hAnsi="Tahoma" w:cs="Tahoma"/>
            <w:sz w:val="18"/>
            <w:szCs w:val="18"/>
          </w:rPr>
          <w:t xml:space="preserve"> </w:t>
        </w:r>
        <w:r w:rsidRPr="00653421">
          <w:rPr>
            <w:rStyle w:val="Hyperlink"/>
            <w:rFonts w:ascii="Tahoma" w:hAnsi="Tahoma" w:cs="Tahoma"/>
            <w:sz w:val="18"/>
            <w:szCs w:val="18"/>
          </w:rPr>
          <w:t>Seção 5</w:t>
        </w:r>
      </w:hyperlink>
      <w:r w:rsidRPr="00653421">
        <w:rPr>
          <w:rFonts w:ascii="Tahoma" w:hAnsi="Tahoma" w:cs="Tahoma"/>
          <w:bCs/>
          <w:color w:val="000000"/>
          <w:sz w:val="18"/>
          <w:szCs w:val="18"/>
        </w:rPr>
        <w:t xml:space="preserve"> para obter informações sobre os termos de pagamento e preços dos serviços</w:t>
      </w:r>
      <w:r w:rsidR="00792983" w:rsidRPr="00653421">
        <w:rPr>
          <w:rFonts w:ascii="Tahoma" w:hAnsi="Tahoma" w:cs="Tahoma"/>
          <w:bCs/>
          <w:color w:val="000000"/>
          <w:sz w:val="18"/>
          <w:szCs w:val="18"/>
        </w:rPr>
        <w:t> </w:t>
      </w:r>
      <w:r w:rsidRPr="00653421">
        <w:rPr>
          <w:rFonts w:ascii="Tahoma" w:hAnsi="Tahoma" w:cs="Tahoma"/>
          <w:bCs/>
          <w:color w:val="000000"/>
          <w:sz w:val="18"/>
          <w:szCs w:val="18"/>
        </w:rPr>
        <w:t>online.</w:t>
      </w:r>
    </w:p>
    <w:p w:rsidR="00273685" w:rsidRPr="00653421" w:rsidRDefault="00273685" w:rsidP="00792983">
      <w:pPr>
        <w:pStyle w:val="EndnoteText"/>
        <w:spacing w:line="180" w:lineRule="exact"/>
        <w:ind w:left="720"/>
        <w:rPr>
          <w:rFonts w:ascii="Tahoma" w:hAnsi="Tahoma" w:cs="Tahoma"/>
          <w:sz w:val="18"/>
          <w:szCs w:val="18"/>
        </w:rPr>
      </w:pPr>
    </w:p>
    <w:p w:rsidR="00586FCE" w:rsidRPr="00653421" w:rsidRDefault="00586FCE" w:rsidP="00792983">
      <w:pPr>
        <w:pStyle w:val="EndnoteText"/>
        <w:spacing w:line="180" w:lineRule="exact"/>
        <w:ind w:left="720"/>
        <w:rPr>
          <w:rFonts w:ascii="Tahoma" w:hAnsi="Tahoma" w:cs="Tahoma"/>
          <w:sz w:val="18"/>
          <w:szCs w:val="18"/>
        </w:rPr>
      </w:pPr>
    </w:p>
    <w:p w:rsidR="00796FF5" w:rsidRPr="00653421" w:rsidRDefault="00F66FB0" w:rsidP="00796FF5">
      <w:pPr>
        <w:pStyle w:val="Heading3"/>
      </w:pPr>
      <w:bookmarkStart w:id="1316" w:name="_58_Forefront_Protection"/>
      <w:bookmarkStart w:id="1317" w:name="_Toc336338319"/>
      <w:bookmarkStart w:id="1318" w:name="_Toc353470964"/>
      <w:bookmarkStart w:id="1319" w:name="Srv_45ForefrontSecfoOffComm"/>
      <w:bookmarkStart w:id="1320" w:name="Srv_46ForefrontSecfoOffComm"/>
      <w:bookmarkEnd w:id="1316"/>
      <w:r w:rsidRPr="00653421">
        <w:rPr>
          <w:rFonts w:ascii="Tahoma" w:hAnsi="Tahoma"/>
          <w:caps/>
          <w:color w:val="F66400"/>
          <w:sz w:val="22"/>
          <w:vertAlign w:val="superscript"/>
        </w:rPr>
        <w:t>58</w:t>
      </w:r>
      <w:r w:rsidRPr="00653421">
        <w:rPr>
          <w:rFonts w:ascii="Tahoma" w:hAnsi="Tahoma"/>
          <w:color w:val="F66400"/>
          <w:sz w:val="22"/>
        </w:rPr>
        <w:t xml:space="preserve"> Forefront Protection Suite (Dispositivo e Usuário)</w:t>
      </w:r>
      <w:bookmarkEnd w:id="1317"/>
      <w:bookmarkEnd w:id="1318"/>
    </w:p>
    <w:bookmarkEnd w:id="1315"/>
    <w:p w:rsidR="00796FF5" w:rsidRPr="00653421" w:rsidRDefault="00796FF5" w:rsidP="00792983">
      <w:pPr>
        <w:spacing w:line="180" w:lineRule="exact"/>
        <w:ind w:left="720"/>
      </w:pPr>
    </w:p>
    <w:p w:rsidR="009115D6" w:rsidRPr="00653421" w:rsidRDefault="009115D6" w:rsidP="00796FF5">
      <w:pPr>
        <w:ind w:left="720"/>
      </w:pPr>
      <w:r w:rsidRPr="00653421">
        <w:rPr>
          <w:rFonts w:cs="Tahoma"/>
          <w:bCs/>
          <w:color w:val="000000"/>
          <w:szCs w:val="18"/>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5A52A2" w:rsidRPr="00653421">
        <w:rPr>
          <w:rFonts w:cs="Tahoma"/>
          <w:bCs/>
          <w:color w:val="000000"/>
          <w:szCs w:val="18"/>
        </w:rPr>
        <w:t xml:space="preserve"> </w:t>
      </w:r>
      <w:r w:rsidRPr="00653421">
        <w:rPr>
          <w:rFonts w:cs="Tahoma"/>
          <w:bCs/>
          <w:color w:val="000000"/>
          <w:szCs w:val="18"/>
        </w:rPr>
        <w:t xml:space="preserve">Esses clientes também podem continuar a usar os componentes do </w:t>
      </w:r>
      <w:r w:rsidRPr="00653421">
        <w:rPr>
          <w:rFonts w:cs="Tahoma"/>
          <w:color w:val="000000"/>
          <w:szCs w:val="20"/>
        </w:rPr>
        <w:t xml:space="preserve">Forefront Security para Office Communications Server, Forefront Protection 2010 para Exchange Server, Forefront Threat Management Gateway Web Protection Service e Forefront Protection 2010 para SharePoint Server </w:t>
      </w:r>
      <w:r w:rsidRPr="00653421">
        <w:rPr>
          <w:rFonts w:cs="Tahoma"/>
          <w:bCs/>
          <w:color w:val="000000"/>
          <w:szCs w:val="18"/>
        </w:rPr>
        <w:t xml:space="preserve">do pacote até 31 de dezembro de 2015. </w:t>
      </w:r>
      <w:r w:rsidRPr="00653421">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653421">
        <w:rPr>
          <w:rFonts w:cs="Tahoma"/>
          <w:bCs/>
          <w:szCs w:val="18"/>
        </w:rPr>
        <w:t xml:space="preserve"> </w:t>
      </w:r>
      <w:r w:rsidRPr="00653421">
        <w:rPr>
          <w:rFonts w:cs="Tahoma"/>
          <w:bCs/>
          <w:color w:val="000000"/>
          <w:szCs w:val="18"/>
        </w:rPr>
        <w:t>O uso contínuo dos serviços online dos componentes permanece sujeito aos termos e às condições do Contrato de Licenciamento por Volume do cliente, dos direitos de uso do produto dos serviços online e dos termos e das condições aqui.</w:t>
      </w:r>
    </w:p>
    <w:p w:rsidR="00796FF5" w:rsidRPr="00653421" w:rsidRDefault="00796FF5" w:rsidP="00796FF5">
      <w:pPr>
        <w:ind w:left="720"/>
      </w:pPr>
      <w:r w:rsidRPr="00653421">
        <w:rPr>
          <w:rFonts w:cs="Tahoma"/>
          <w:color w:val="000000"/>
          <w:szCs w:val="20"/>
        </w:rPr>
        <w:lastRenderedPageBreak/>
        <w:t xml:space="preserve">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 </w:t>
      </w:r>
    </w:p>
    <w:p w:rsidR="00796FF5" w:rsidRPr="00653421" w:rsidRDefault="00796FF5" w:rsidP="001170C1">
      <w:pPr>
        <w:spacing w:line="180" w:lineRule="exact"/>
        <w:ind w:left="720"/>
      </w:pPr>
    </w:p>
    <w:p w:rsidR="006E5A58" w:rsidRPr="00653421" w:rsidRDefault="00796FF5" w:rsidP="00221A57">
      <w:pPr>
        <w:ind w:left="720"/>
      </w:pPr>
      <w:r w:rsidRPr="00653421">
        <w:rPr>
          <w:rFonts w:cs="Tahoma"/>
          <w:bCs/>
          <w:color w:val="000000"/>
          <w:szCs w:val="20"/>
        </w:rPr>
        <w:t xml:space="preserve">Consulte a </w:t>
      </w:r>
      <w:r w:rsidRPr="00653421">
        <w:t>Seção 5</w:t>
      </w:r>
      <w:r w:rsidRPr="00653421">
        <w:rPr>
          <w:rFonts w:cs="Tahoma"/>
          <w:bCs/>
          <w:color w:val="000000"/>
          <w:szCs w:val="20"/>
        </w:rPr>
        <w:t xml:space="preserve"> para obter informações sobre os termos de pagamento e preços dos serviços online. </w:t>
      </w:r>
    </w:p>
    <w:p w:rsidR="00796FF5" w:rsidRPr="00653421" w:rsidRDefault="00796FF5" w:rsidP="001170C1">
      <w:pPr>
        <w:spacing w:line="180" w:lineRule="exact"/>
        <w:ind w:left="720"/>
      </w:pPr>
    </w:p>
    <w:p w:rsidR="009C2B6B" w:rsidRPr="00653421" w:rsidRDefault="009C2B6B" w:rsidP="001170C1">
      <w:pPr>
        <w:spacing w:line="180" w:lineRule="exact"/>
        <w:ind w:left="720"/>
      </w:pPr>
    </w:p>
    <w:p w:rsidR="00023FE7" w:rsidRPr="00653421" w:rsidRDefault="00F66FB0" w:rsidP="00273672">
      <w:pPr>
        <w:pStyle w:val="Heading3"/>
        <w:ind w:left="245" w:hanging="245"/>
      </w:pPr>
      <w:bookmarkStart w:id="1321" w:name="_Toc336338320"/>
      <w:bookmarkStart w:id="1322" w:name="_Toc353470965"/>
      <w:bookmarkStart w:id="1323" w:name="Srv_49ForefrontSecfoOffComm"/>
      <w:r w:rsidRPr="00653421">
        <w:rPr>
          <w:rFonts w:ascii="Tahoma" w:hAnsi="Tahoma"/>
          <w:caps/>
          <w:color w:val="F66400"/>
          <w:sz w:val="22"/>
          <w:vertAlign w:val="superscript"/>
        </w:rPr>
        <w:t>59</w:t>
      </w:r>
      <w:r w:rsidRPr="00653421">
        <w:rPr>
          <w:rFonts w:ascii="Tahoma" w:hAnsi="Tahoma"/>
          <w:caps/>
          <w:color w:val="F66400"/>
          <w:sz w:val="22"/>
        </w:rPr>
        <w:t xml:space="preserve"> </w:t>
      </w:r>
      <w:r w:rsidRPr="00653421">
        <w:rPr>
          <w:rFonts w:ascii="Tahoma" w:hAnsi="Tahoma"/>
          <w:color w:val="F66400"/>
          <w:sz w:val="22"/>
        </w:rPr>
        <w:t>Forefront Security para Office Communications Server (SL de Usuário e</w:t>
      </w:r>
      <w:r w:rsidR="00595FDC" w:rsidRPr="00653421">
        <w:rPr>
          <w:rFonts w:ascii="Tahoma" w:hAnsi="Tahoma"/>
          <w:color w:val="F66400"/>
          <w:sz w:val="22"/>
        </w:rPr>
        <w:t> </w:t>
      </w:r>
      <w:r w:rsidRPr="00653421">
        <w:rPr>
          <w:rFonts w:ascii="Tahoma" w:hAnsi="Tahoma"/>
          <w:color w:val="F66400"/>
          <w:sz w:val="22"/>
        </w:rPr>
        <w:t>Dispositivo)</w:t>
      </w:r>
      <w:bookmarkEnd w:id="1321"/>
      <w:bookmarkEnd w:id="1322"/>
    </w:p>
    <w:bookmarkEnd w:id="1323"/>
    <w:p w:rsidR="00023FE7" w:rsidRPr="00653421" w:rsidRDefault="00023FE7" w:rsidP="001170C1">
      <w:pPr>
        <w:pStyle w:val="EndnoteText"/>
        <w:spacing w:line="180" w:lineRule="exact"/>
        <w:ind w:left="720"/>
        <w:rPr>
          <w:rFonts w:ascii="Tahoma" w:hAnsi="Tahoma" w:cs="Tahoma"/>
          <w:sz w:val="18"/>
          <w:szCs w:val="18"/>
        </w:rPr>
      </w:pPr>
    </w:p>
    <w:bookmarkEnd w:id="1319"/>
    <w:bookmarkEnd w:id="1320"/>
    <w:p w:rsidR="009115D6" w:rsidRPr="00653421" w:rsidRDefault="009115D6" w:rsidP="009115D6">
      <w:pPr>
        <w:ind w:left="720"/>
      </w:pPr>
      <w:r w:rsidRPr="00653421">
        <w:rPr>
          <w:rFonts w:cs="Tahoma"/>
          <w:bCs/>
          <w:color w:val="000000"/>
          <w:szCs w:val="18"/>
        </w:rPr>
        <w:t>O Forefront Security para Office Communications Server não estará mais disponível a partir de 1º de dezembro de 2012. Os clientes com assinaturas ativas para o serviço online a partir de 30 de novembro de</w:t>
      </w:r>
      <w:r w:rsidR="00595FDC" w:rsidRPr="00653421">
        <w:rPr>
          <w:rFonts w:cs="Tahoma"/>
          <w:bCs/>
          <w:color w:val="000000"/>
          <w:szCs w:val="18"/>
        </w:rPr>
        <w:t> </w:t>
      </w:r>
      <w:r w:rsidRPr="00653421">
        <w:rPr>
          <w:rFonts w:cs="Tahoma"/>
          <w:bCs/>
          <w:color w:val="000000"/>
          <w:szCs w:val="18"/>
        </w:rPr>
        <w:t xml:space="preserve">2012 poderão continuar a usar o serviço online até 31 de dezembro de 2015. </w:t>
      </w:r>
      <w:r w:rsidRPr="00653421">
        <w:t>Os clientes existentes também poderão adicionar novos usuários, conforme necessário, sem qualquer exigência de pedidos de Licenças adicionais de Assinaturas do Usuário.</w:t>
      </w:r>
      <w:r w:rsidR="005A52A2" w:rsidRPr="00653421">
        <w:t xml:space="preserve"> </w:t>
      </w:r>
      <w:r w:rsidRPr="00653421">
        <w:rPr>
          <w:rFonts w:cs="Tahoma"/>
          <w:bCs/>
          <w:color w:val="000000"/>
          <w:szCs w:val="18"/>
        </w:rPr>
        <w:t>O uso contínuo do serviço online permanece sujeito aos termos e às condições do Contrato de Licenciamento por Volume do cliente, dos direitos de uso do produto</w:t>
      </w:r>
      <w:r w:rsidR="00595FDC" w:rsidRPr="00653421">
        <w:rPr>
          <w:rFonts w:cs="Tahoma"/>
          <w:bCs/>
          <w:color w:val="000000"/>
          <w:szCs w:val="18"/>
        </w:rPr>
        <w:t> </w:t>
      </w:r>
      <w:r w:rsidRPr="00653421">
        <w:rPr>
          <w:rFonts w:cs="Tahoma"/>
          <w:bCs/>
          <w:color w:val="000000"/>
          <w:szCs w:val="18"/>
        </w:rPr>
        <w:t xml:space="preserve">do serviço online e dos termos e das condições aqui. </w:t>
      </w:r>
    </w:p>
    <w:p w:rsidR="009115D6" w:rsidRPr="00653421" w:rsidRDefault="009115D6" w:rsidP="009115D6">
      <w:pPr>
        <w:ind w:left="720"/>
      </w:pPr>
    </w:p>
    <w:p w:rsidR="00023FE7" w:rsidRPr="00653421" w:rsidRDefault="00023FE7" w:rsidP="00E62BC4">
      <w:pPr>
        <w:pStyle w:val="EndnoteText"/>
        <w:ind w:left="720"/>
      </w:pPr>
      <w:r w:rsidRPr="00653421">
        <w:rPr>
          <w:rFonts w:ascii="Tahoma" w:hAnsi="Tahoma" w:cs="Tahoma"/>
          <w:bCs/>
          <w:color w:val="000000"/>
          <w:sz w:val="18"/>
          <w:szCs w:val="20"/>
        </w:rPr>
        <w:t>Todos os usuários (ou dispositivos) que acessarem um servidor protegido precisarão de SLs de Usuário (ou</w:t>
      </w:r>
      <w:r w:rsidR="00595FDC" w:rsidRPr="00653421">
        <w:rPr>
          <w:rFonts w:ascii="Tahoma" w:hAnsi="Tahoma" w:cs="Tahoma"/>
          <w:bCs/>
          <w:color w:val="000000"/>
          <w:sz w:val="18"/>
          <w:szCs w:val="20"/>
        </w:rPr>
        <w:t> </w:t>
      </w:r>
      <w:r w:rsidRPr="00653421">
        <w:rPr>
          <w:rFonts w:ascii="Tahoma" w:hAnsi="Tahoma" w:cs="Tahoma"/>
          <w:bCs/>
          <w:color w:val="000000"/>
          <w:sz w:val="18"/>
          <w:szCs w:val="20"/>
        </w:rPr>
        <w:t>Dispositivo).</w:t>
      </w:r>
      <w:r w:rsidR="005A52A2" w:rsidRPr="00653421">
        <w:rPr>
          <w:rFonts w:ascii="Tahoma" w:hAnsi="Tahoma" w:cs="Tahoma"/>
          <w:bCs/>
          <w:color w:val="000000"/>
          <w:sz w:val="18"/>
          <w:szCs w:val="20"/>
        </w:rPr>
        <w:t xml:space="preserve"> </w:t>
      </w:r>
      <w:r w:rsidRPr="00653421">
        <w:rPr>
          <w:rFonts w:ascii="Tahoma" w:hAnsi="Tahoma" w:cs="Tahoma"/>
          <w:bCs/>
          <w:color w:val="000000"/>
          <w:sz w:val="18"/>
          <w:szCs w:val="20"/>
        </w:rPr>
        <w:t>Este serviço online era conhecido como Antigen para Mensagens Instantâneas.</w:t>
      </w:r>
      <w:r w:rsidR="005A52A2" w:rsidRPr="00653421">
        <w:rPr>
          <w:rFonts w:ascii="Tahoma" w:hAnsi="Tahoma" w:cs="Tahoma"/>
          <w:bCs/>
          <w:color w:val="000000"/>
          <w:sz w:val="18"/>
          <w:szCs w:val="20"/>
        </w:rPr>
        <w:t xml:space="preserve"> </w:t>
      </w:r>
    </w:p>
    <w:p w:rsidR="00023FE7" w:rsidRPr="00653421" w:rsidRDefault="00023FE7" w:rsidP="001170C1">
      <w:pPr>
        <w:spacing w:line="180" w:lineRule="exact"/>
      </w:pPr>
      <w:bookmarkStart w:id="1324" w:name="Srv_48ForefrontSvrSecMgmtConsole"/>
    </w:p>
    <w:p w:rsidR="00EE30F1" w:rsidRPr="00653421" w:rsidRDefault="00EE30F1" w:rsidP="001170C1">
      <w:pPr>
        <w:spacing w:line="180" w:lineRule="exact"/>
      </w:pPr>
      <w:bookmarkStart w:id="1325" w:name="_49_Forefront_Threat"/>
      <w:bookmarkStart w:id="1326" w:name="Srv_52ForefrontUnifiedAccessGtwy2010"/>
      <w:bookmarkStart w:id="1327" w:name="Srv_56ForefrontUnifiedAccessGtwy2010"/>
      <w:bookmarkEnd w:id="1324"/>
      <w:bookmarkEnd w:id="1325"/>
    </w:p>
    <w:p w:rsidR="0079439D" w:rsidRPr="00653421" w:rsidRDefault="00F66FB0" w:rsidP="00221A57">
      <w:pPr>
        <w:pStyle w:val="Heading3"/>
      </w:pPr>
      <w:bookmarkStart w:id="1328" w:name="_50__Forefront"/>
      <w:bookmarkStart w:id="1329" w:name="_57_Forefront_Threat"/>
      <w:bookmarkStart w:id="1330" w:name="_60_Forefront_Threat"/>
      <w:bookmarkStart w:id="1331" w:name="_Toc336338321"/>
      <w:bookmarkStart w:id="1332" w:name="Srv_51ForefrontThreatMgmtGtwy2010"/>
      <w:bookmarkStart w:id="1333" w:name="_Toc353470966"/>
      <w:bookmarkEnd w:id="1328"/>
      <w:bookmarkEnd w:id="1329"/>
      <w:bookmarkEnd w:id="1330"/>
      <w:r w:rsidRPr="00653421">
        <w:rPr>
          <w:rFonts w:ascii="Tahoma" w:hAnsi="Tahoma"/>
          <w:caps/>
          <w:color w:val="F66400"/>
          <w:sz w:val="22"/>
          <w:vertAlign w:val="superscript"/>
        </w:rPr>
        <w:t xml:space="preserve">60 </w:t>
      </w:r>
      <w:r w:rsidRPr="00653421">
        <w:rPr>
          <w:rFonts w:ascii="Tahoma" w:hAnsi="Tahoma"/>
          <w:color w:val="F66400"/>
          <w:sz w:val="22"/>
        </w:rPr>
        <w:t xml:space="preserve">Forefront Threat Management Gateway </w:t>
      </w:r>
      <w:bookmarkEnd w:id="1331"/>
      <w:r w:rsidRPr="00653421">
        <w:rPr>
          <w:rFonts w:ascii="Tahoma" w:hAnsi="Tahoma"/>
          <w:color w:val="F66400"/>
          <w:sz w:val="22"/>
        </w:rPr>
        <w:t>Web Protection Service</w:t>
      </w:r>
      <w:bookmarkEnd w:id="1332"/>
      <w:bookmarkEnd w:id="1333"/>
    </w:p>
    <w:p w:rsidR="00221A57" w:rsidRPr="00653421" w:rsidRDefault="00221A57" w:rsidP="001170C1">
      <w:pPr>
        <w:spacing w:line="180" w:lineRule="exact"/>
      </w:pPr>
    </w:p>
    <w:p w:rsidR="00586FCE" w:rsidRPr="00653421" w:rsidRDefault="0079439D" w:rsidP="00221A57">
      <w:pPr>
        <w:ind w:left="720"/>
      </w:pPr>
      <w:bookmarkStart w:id="1334" w:name="_Toc336338322"/>
      <w:r w:rsidRPr="00653421">
        <w:rPr>
          <w:rFonts w:cs="Tahoma"/>
          <w:bCs/>
          <w:color w:val="000000"/>
          <w:szCs w:val="18"/>
        </w:rPr>
        <w:t>O Forefront Threat Management Gateway Web Protection Service não estará mais disponível a partir de</w:t>
      </w:r>
      <w:r w:rsidR="00595FDC" w:rsidRPr="00653421">
        <w:rPr>
          <w:rFonts w:cs="Tahoma"/>
          <w:bCs/>
          <w:color w:val="000000"/>
          <w:szCs w:val="18"/>
        </w:rPr>
        <w:t> </w:t>
      </w:r>
      <w:r w:rsidRPr="00653421">
        <w:rPr>
          <w:rFonts w:cs="Tahoma"/>
          <w:bCs/>
          <w:color w:val="000000"/>
          <w:szCs w:val="18"/>
        </w:rPr>
        <w:t>1º</w:t>
      </w:r>
      <w:r w:rsidR="00595FDC" w:rsidRPr="00653421">
        <w:rPr>
          <w:rFonts w:cs="Tahoma"/>
          <w:bCs/>
          <w:color w:val="000000"/>
          <w:szCs w:val="18"/>
        </w:rPr>
        <w:t> </w:t>
      </w:r>
      <w:r w:rsidRPr="00653421">
        <w:rPr>
          <w:rFonts w:cs="Tahoma"/>
          <w:bCs/>
          <w:color w:val="000000"/>
          <w:szCs w:val="18"/>
        </w:rPr>
        <w:t>de dezembro de 2012. Os clientes com assinaturas ativas para o serviço online a partir de 30</w:t>
      </w:r>
      <w:r w:rsidR="00595FDC" w:rsidRPr="00653421">
        <w:rPr>
          <w:rFonts w:cs="Tahoma"/>
          <w:bCs/>
          <w:color w:val="000000"/>
          <w:szCs w:val="18"/>
        </w:rPr>
        <w:t> </w:t>
      </w:r>
      <w:r w:rsidRPr="00653421">
        <w:rPr>
          <w:rFonts w:cs="Tahoma"/>
          <w:bCs/>
          <w:color w:val="000000"/>
          <w:szCs w:val="18"/>
        </w:rPr>
        <w:t>de</w:t>
      </w:r>
      <w:r w:rsidR="00595FDC" w:rsidRPr="00653421">
        <w:rPr>
          <w:rFonts w:cs="Tahoma"/>
          <w:bCs/>
          <w:color w:val="000000"/>
          <w:szCs w:val="18"/>
        </w:rPr>
        <w:t> </w:t>
      </w:r>
      <w:r w:rsidRPr="00653421">
        <w:rPr>
          <w:rFonts w:cs="Tahoma"/>
          <w:bCs/>
          <w:color w:val="000000"/>
          <w:szCs w:val="18"/>
        </w:rPr>
        <w:t xml:space="preserve">novembro de 2012 poderão continuar a usar o serviço online até 31 de dezembro de 2015. </w:t>
      </w:r>
      <w:r w:rsidRPr="00653421">
        <w:t>Os</w:t>
      </w:r>
      <w:r w:rsidR="00595FDC" w:rsidRPr="00653421">
        <w:t> </w:t>
      </w:r>
      <w:r w:rsidRPr="00653421">
        <w:t>clientes existentes também poderão adicionar novos usuários, conforme necessário, sem qualquer exigência de pedidos de Licenças adicionais de Assinaturas do Usuário.</w:t>
      </w:r>
      <w:r w:rsidR="005A52A2" w:rsidRPr="00653421">
        <w:rPr>
          <w:rFonts w:cs="Tahoma"/>
          <w:bCs/>
          <w:szCs w:val="18"/>
        </w:rPr>
        <w:t xml:space="preserve"> </w:t>
      </w:r>
      <w:r w:rsidRPr="00653421">
        <w:rPr>
          <w:rFonts w:cs="Tahoma"/>
          <w:bCs/>
          <w:color w:val="000000"/>
          <w:szCs w:val="18"/>
        </w:rPr>
        <w:t xml:space="preserve">O uso contínuo do serviço online permanece sujeito aos termos e às condições do Contrato de Licenciamento por Volume do cliente, dos direitos de uso do produto do serviço online e dos termos e das condições aqui. </w:t>
      </w:r>
    </w:p>
    <w:p w:rsidR="00221A57" w:rsidRPr="00653421" w:rsidRDefault="00221A57" w:rsidP="001170C1">
      <w:pPr>
        <w:spacing w:line="180" w:lineRule="exact"/>
      </w:pPr>
    </w:p>
    <w:p w:rsidR="00221A57" w:rsidRPr="00653421" w:rsidRDefault="00221A57" w:rsidP="001170C1">
      <w:pPr>
        <w:spacing w:line="180" w:lineRule="exact"/>
      </w:pPr>
    </w:p>
    <w:p w:rsidR="009E4FDD" w:rsidRPr="00653421" w:rsidRDefault="00F66FB0" w:rsidP="009E4FDD">
      <w:pPr>
        <w:pStyle w:val="Heading3"/>
      </w:pPr>
      <w:bookmarkStart w:id="1335" w:name="_61_Forefront_Unified"/>
      <w:bookmarkStart w:id="1336" w:name="_Toc353470967"/>
      <w:bookmarkEnd w:id="1335"/>
      <w:r w:rsidRPr="00653421">
        <w:rPr>
          <w:rFonts w:ascii="Tahoma" w:hAnsi="Tahoma"/>
          <w:caps/>
          <w:color w:val="F66400"/>
          <w:sz w:val="22"/>
          <w:vertAlign w:val="superscript"/>
        </w:rPr>
        <w:t>61</w:t>
      </w:r>
      <w:r w:rsidRPr="00653421">
        <w:rPr>
          <w:rFonts w:ascii="Tahoma" w:hAnsi="Tahoma"/>
          <w:caps/>
          <w:color w:val="F66400"/>
          <w:sz w:val="22"/>
        </w:rPr>
        <w:t xml:space="preserve"> </w:t>
      </w:r>
      <w:r w:rsidRPr="00653421">
        <w:rPr>
          <w:rFonts w:ascii="Tahoma" w:hAnsi="Tahoma"/>
          <w:color w:val="F66400"/>
          <w:sz w:val="22"/>
        </w:rPr>
        <w:t>Forefront Unified Access Gateway 2010</w:t>
      </w:r>
      <w:bookmarkEnd w:id="1334"/>
      <w:bookmarkEnd w:id="1336"/>
    </w:p>
    <w:bookmarkEnd w:id="1326"/>
    <w:bookmarkEnd w:id="1327"/>
    <w:p w:rsidR="009E4FDD" w:rsidRPr="00653421" w:rsidRDefault="009E4FDD" w:rsidP="001170C1">
      <w:pPr>
        <w:spacing w:line="180" w:lineRule="exact"/>
      </w:pPr>
    </w:p>
    <w:p w:rsidR="009E4FDD" w:rsidRPr="00653421" w:rsidRDefault="009E4FDD" w:rsidP="00221A57">
      <w:pPr>
        <w:spacing w:after="60"/>
        <w:ind w:left="720"/>
      </w:pPr>
      <w:r w:rsidRPr="00653421">
        <w:rPr>
          <w:rFonts w:cs="Tahoma"/>
          <w:b/>
          <w:color w:val="000000"/>
          <w:szCs w:val="18"/>
        </w:rPr>
        <w:t>Versão</w:t>
      </w:r>
    </w:p>
    <w:p w:rsidR="009E4FDD" w:rsidRPr="00653421" w:rsidRDefault="009E4FDD" w:rsidP="009E4FDD">
      <w:pPr>
        <w:ind w:left="720"/>
      </w:pPr>
      <w:r w:rsidRPr="00653421">
        <w:rPr>
          <w:rFonts w:cs="Tahoma"/>
          <w:color w:val="000000"/>
          <w:szCs w:val="18"/>
        </w:rPr>
        <w:t>O Forefront Unified Access Gateway 2010 é a próxima versão do Whale Intelligent Application Gateway</w:t>
      </w:r>
      <w:r w:rsidR="005B7886" w:rsidRPr="00653421">
        <w:rPr>
          <w:rFonts w:cs="Tahoma"/>
          <w:color w:val="000000"/>
          <w:szCs w:val="18"/>
        </w:rPr>
        <w:t> </w:t>
      </w:r>
      <w:r w:rsidRPr="00653421">
        <w:rPr>
          <w:rFonts w:cs="Tahoma"/>
          <w:color w:val="000000"/>
          <w:szCs w:val="18"/>
        </w:rPr>
        <w:t>2007.</w:t>
      </w:r>
    </w:p>
    <w:p w:rsidR="00EE30F1" w:rsidRPr="00653421" w:rsidRDefault="00EE30F1" w:rsidP="001170C1">
      <w:pPr>
        <w:spacing w:line="180" w:lineRule="exact"/>
      </w:pPr>
    </w:p>
    <w:p w:rsidR="001979E9" w:rsidRPr="00653421" w:rsidRDefault="001979E9" w:rsidP="001170C1">
      <w:pPr>
        <w:spacing w:line="180" w:lineRule="exact"/>
      </w:pPr>
    </w:p>
    <w:p w:rsidR="00023FE7" w:rsidRPr="00653421" w:rsidRDefault="00F66FB0" w:rsidP="00416294">
      <w:pPr>
        <w:pStyle w:val="Heading3"/>
      </w:pPr>
      <w:bookmarkStart w:id="1337" w:name="_51_High_Performance"/>
      <w:bookmarkStart w:id="1338" w:name="_63_61_HPC"/>
      <w:bookmarkStart w:id="1339" w:name="_62_HPC_Pack"/>
      <w:bookmarkStart w:id="1340" w:name="_Toc336338323"/>
      <w:bookmarkStart w:id="1341" w:name="_Toc353470968"/>
      <w:bookmarkStart w:id="1342" w:name="Srv_48HighPerfComputingPack"/>
      <w:bookmarkStart w:id="1343" w:name="Srv_54HighPerfComputingPack"/>
      <w:bookmarkStart w:id="1344" w:name="Srv_49HighPerfComputingPack"/>
      <w:bookmarkEnd w:id="1337"/>
      <w:bookmarkEnd w:id="1338"/>
      <w:bookmarkEnd w:id="1339"/>
      <w:r w:rsidRPr="00653421">
        <w:rPr>
          <w:rFonts w:ascii="Tahoma" w:hAnsi="Tahoma"/>
          <w:caps/>
          <w:color w:val="F66400"/>
          <w:sz w:val="22"/>
          <w:vertAlign w:val="superscript"/>
        </w:rPr>
        <w:t>62</w:t>
      </w:r>
      <w:r w:rsidRPr="00653421">
        <w:rPr>
          <w:rFonts w:ascii="Tahoma" w:hAnsi="Tahoma"/>
          <w:caps/>
          <w:color w:val="F66400"/>
          <w:sz w:val="22"/>
        </w:rPr>
        <w:t xml:space="preserve"> </w:t>
      </w:r>
      <w:r w:rsidRPr="00653421">
        <w:rPr>
          <w:rFonts w:ascii="Tahoma" w:hAnsi="Tahoma"/>
          <w:color w:val="F66400"/>
          <w:sz w:val="22"/>
        </w:rPr>
        <w:t>HPC Pack 2008 R2 Enterprise</w:t>
      </w:r>
      <w:bookmarkEnd w:id="1340"/>
      <w:bookmarkEnd w:id="1341"/>
    </w:p>
    <w:bookmarkEnd w:id="1342"/>
    <w:bookmarkEnd w:id="1343"/>
    <w:p w:rsidR="00023FE7" w:rsidRPr="00653421" w:rsidRDefault="00023FE7" w:rsidP="001170C1">
      <w:pPr>
        <w:spacing w:line="180" w:lineRule="exact"/>
      </w:pPr>
    </w:p>
    <w:bookmarkEnd w:id="1344"/>
    <w:p w:rsidR="00221A57" w:rsidRPr="00653421" w:rsidRDefault="001978C7" w:rsidP="00221A57">
      <w:pPr>
        <w:spacing w:after="60"/>
        <w:ind w:left="720"/>
      </w:pPr>
      <w:r w:rsidRPr="00653421">
        <w:rPr>
          <w:b/>
          <w:color w:val="000000"/>
        </w:rPr>
        <w:t>Outorgas de licença associadas ao término da validade do HPC Pack Enterprise</w:t>
      </w:r>
    </w:p>
    <w:p w:rsidR="00221A57" w:rsidRPr="00653421" w:rsidRDefault="001978C7" w:rsidP="00221A57">
      <w:pPr>
        <w:ind w:left="720"/>
      </w:pPr>
      <w:r w:rsidRPr="00653421">
        <w:rPr>
          <w:color w:val="000000"/>
        </w:rPr>
        <w:t>O HPC Pack 2008 R2 Enterprise será a última versão do HPC Pack Enterprise vendido em Licenciamento por</w:t>
      </w:r>
      <w:r w:rsidR="00595FDC" w:rsidRPr="00653421">
        <w:rPr>
          <w:color w:val="000000"/>
        </w:rPr>
        <w:t> </w:t>
      </w:r>
      <w:r w:rsidRPr="00653421">
        <w:rPr>
          <w:color w:val="000000"/>
        </w:rPr>
        <w:t>Volume. Versões futuras estarão disponíveis como download gratuito. Os clientes de licenciamento por</w:t>
      </w:r>
      <w:r w:rsidR="005B7886" w:rsidRPr="00653421">
        <w:rPr>
          <w:color w:val="000000"/>
        </w:rPr>
        <w:t> </w:t>
      </w:r>
      <w:r w:rsidRPr="00653421">
        <w:rPr>
          <w:color w:val="000000"/>
        </w:rPr>
        <w:t>volume com Software Assurance ativo para licenças HPC Pack 2008 R2 Enterprise em 1º de setembro de 2012 ou a partir da data da primeira disponibilização do Windows Server 2012 para download no Volume</w:t>
      </w:r>
      <w:r w:rsidR="005B7886" w:rsidRPr="00653421">
        <w:rPr>
          <w:color w:val="000000"/>
        </w:rPr>
        <w:t> </w:t>
      </w:r>
      <w:r w:rsidRPr="00653421">
        <w:rPr>
          <w:color w:val="000000"/>
        </w:rPr>
        <w:t xml:space="preserve">Licensing Service Center (Centro de Atendimento de Licenciamento por Volume), o que ocorrer primeiro, (“Licenças Qualificadas”) poderão </w:t>
      </w:r>
      <w:r w:rsidRPr="00653421">
        <w:rPr>
          <w:rFonts w:eastAsia="Calibri" w:cs="Tahoma"/>
          <w:szCs w:val="18"/>
        </w:rPr>
        <w:t>usar o software Windows Server 2012 Standard. Para facilitar tal</w:t>
      </w:r>
      <w:r w:rsidR="005B7886" w:rsidRPr="00653421">
        <w:rPr>
          <w:rFonts w:eastAsia="Calibri" w:cs="Tahoma"/>
          <w:szCs w:val="18"/>
        </w:rPr>
        <w:t> </w:t>
      </w:r>
      <w:r w:rsidRPr="00653421">
        <w:rPr>
          <w:rFonts w:eastAsia="Calibri" w:cs="Tahoma"/>
          <w:szCs w:val="18"/>
        </w:rPr>
        <w:t>uso, para cada duas Licenças Qualificadas que o cliente possui, ele terá uma licença do processador Windows Server 2012 Standard mediante a disponibilização do Windows Server 2012.</w:t>
      </w:r>
    </w:p>
    <w:p w:rsidR="00595FDC" w:rsidRPr="00653421" w:rsidRDefault="00595FDC" w:rsidP="001170C1">
      <w:pPr>
        <w:spacing w:line="180" w:lineRule="exact"/>
      </w:pPr>
    </w:p>
    <w:p w:rsidR="001978C7" w:rsidRPr="00653421" w:rsidRDefault="001978C7" w:rsidP="00221A57">
      <w:pPr>
        <w:numPr>
          <w:ilvl w:val="0"/>
          <w:numId w:val="70"/>
        </w:numPr>
        <w:tabs>
          <w:tab w:val="clear" w:pos="360"/>
          <w:tab w:val="left" w:pos="1440"/>
        </w:tabs>
        <w:spacing w:after="60"/>
        <w:ind w:left="1440"/>
      </w:pPr>
      <w:r w:rsidRPr="00653421">
        <w:rPr>
          <w:color w:val="000000"/>
        </w:rPr>
        <w:t>Se um cliente tiver um número ímpar de licenças do HPC Pack Enterprise, o cliente precisará arredondar para cima para o próximo número par para determinar sua concessão.</w:t>
      </w:r>
      <w:r w:rsidR="005A52A2" w:rsidRPr="00653421">
        <w:rPr>
          <w:color w:val="000000"/>
        </w:rPr>
        <w:t xml:space="preserve"> </w:t>
      </w:r>
      <w:r w:rsidRPr="00653421">
        <w:rPr>
          <w:color w:val="000000"/>
        </w:rPr>
        <w:t>Por exemplo, um cliente que tenha três licenças do HPC Pack Enterprise receberá no total duas licenças do Windows Server 2012 Standard.</w:t>
      </w:r>
    </w:p>
    <w:p w:rsidR="001978C7" w:rsidRPr="00653421" w:rsidRDefault="001978C7" w:rsidP="00221A57">
      <w:pPr>
        <w:pStyle w:val="ListParagraph"/>
        <w:numPr>
          <w:ilvl w:val="0"/>
          <w:numId w:val="70"/>
        </w:numPr>
        <w:tabs>
          <w:tab w:val="clear" w:pos="360"/>
          <w:tab w:val="left" w:pos="1440"/>
        </w:tabs>
        <w:spacing w:after="60"/>
        <w:ind w:left="1440"/>
        <w:contextualSpacing w:val="0"/>
      </w:pPr>
      <w:r w:rsidRPr="00653421">
        <w:rPr>
          <w:rFonts w:ascii="Tahoma" w:eastAsia="Calibri" w:hAnsi="Tahoma" w:cs="Tahoma"/>
          <w:sz w:val="18"/>
          <w:szCs w:val="18"/>
        </w:rPr>
        <w:lastRenderedPageBreak/>
        <w:t>As licenças adquiridas sob esta concessão incluirão cobertura do Software Assurance.</w:t>
      </w:r>
      <w:r w:rsidR="005A52A2" w:rsidRPr="00653421">
        <w:rPr>
          <w:rFonts w:ascii="Tahoma" w:eastAsia="Calibri" w:hAnsi="Tahoma" w:cs="Tahoma"/>
          <w:sz w:val="18"/>
          <w:szCs w:val="18"/>
        </w:rPr>
        <w:t xml:space="preserve"> </w:t>
      </w:r>
      <w:r w:rsidRPr="00653421">
        <w:rPr>
          <w:rFonts w:ascii="Tahoma" w:eastAsia="Calibri" w:hAnsi="Tahoma" w:cs="Tahoma"/>
          <w:sz w:val="18"/>
          <w:szCs w:val="18"/>
        </w:rPr>
        <w:t>Tal cobertura</w:t>
      </w:r>
      <w:r w:rsidR="00595FDC" w:rsidRPr="00653421">
        <w:rPr>
          <w:rFonts w:ascii="Tahoma" w:eastAsia="Calibri" w:hAnsi="Tahoma" w:cs="Tahoma"/>
          <w:sz w:val="18"/>
          <w:szCs w:val="18"/>
        </w:rPr>
        <w:t> </w:t>
      </w:r>
      <w:r w:rsidRPr="00653421">
        <w:rPr>
          <w:rFonts w:ascii="Tahoma" w:eastAsia="Calibri" w:hAnsi="Tahoma" w:cs="Tahoma"/>
          <w:sz w:val="18"/>
          <w:szCs w:val="18"/>
        </w:rPr>
        <w:t>expira quando a cobertura correspondente nas Licenças Qualificadas expirar.</w:t>
      </w:r>
    </w:p>
    <w:p w:rsidR="001978C7" w:rsidRPr="00653421" w:rsidRDefault="001978C7" w:rsidP="00221A57">
      <w:pPr>
        <w:pStyle w:val="ListParagraph"/>
        <w:numPr>
          <w:ilvl w:val="0"/>
          <w:numId w:val="70"/>
        </w:numPr>
        <w:tabs>
          <w:tab w:val="clear" w:pos="360"/>
          <w:tab w:val="left" w:pos="1440"/>
        </w:tabs>
        <w:spacing w:after="60"/>
        <w:ind w:left="1440"/>
        <w:contextualSpacing w:val="0"/>
      </w:pPr>
      <w:r w:rsidRPr="00653421">
        <w:rPr>
          <w:rFonts w:ascii="Tahoma" w:eastAsia="Calibri" w:hAnsi="Tahoma" w:cs="Tahoma"/>
          <w:sz w:val="18"/>
          <w:szCs w:val="18"/>
        </w:rPr>
        <w:t>Se os clientes adquiriram direitos perpétuos para usar o software sob as Licenças Qualificadas, as</w:t>
      </w:r>
      <w:r w:rsidR="001170C1" w:rsidRPr="00653421">
        <w:rPr>
          <w:rFonts w:ascii="Tahoma" w:eastAsia="Calibri" w:hAnsi="Tahoma" w:cs="Tahoma"/>
          <w:sz w:val="18"/>
          <w:szCs w:val="18"/>
        </w:rPr>
        <w:t> </w:t>
      </w:r>
      <w:r w:rsidRPr="00653421">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1978C7" w:rsidRPr="00653421" w:rsidRDefault="001978C7" w:rsidP="00221A57">
      <w:pPr>
        <w:numPr>
          <w:ilvl w:val="0"/>
          <w:numId w:val="70"/>
        </w:numPr>
        <w:tabs>
          <w:tab w:val="clear" w:pos="360"/>
          <w:tab w:val="left" w:pos="1440"/>
          <w:tab w:val="left" w:pos="2160"/>
        </w:tabs>
        <w:spacing w:after="60"/>
        <w:ind w:left="1440"/>
      </w:pPr>
      <w:r w:rsidRPr="00653421">
        <w:rPr>
          <w:rFonts w:eastAsia="Calibri" w:cs="Tahoma"/>
          <w:szCs w:val="18"/>
        </w:rPr>
        <w:t xml:space="preserve">Na atualização para o Windows Server 2012 Standard sob essa concessão, as licenças existentes </w:t>
      </w:r>
      <w:r w:rsidRPr="00653421">
        <w:rPr>
          <w:color w:val="000000"/>
        </w:rPr>
        <w:t>do HPC Pack Enterprise</w:t>
      </w:r>
      <w:r w:rsidRPr="00653421">
        <w:rPr>
          <w:rFonts w:eastAsia="Calibri" w:cs="Tahoma"/>
          <w:szCs w:val="18"/>
        </w:rPr>
        <w:t xml:space="preserve"> do cliente permanecerão válidas.</w:t>
      </w:r>
    </w:p>
    <w:p w:rsidR="001978C7" w:rsidRPr="00653421" w:rsidRDefault="001978C7" w:rsidP="00221A57">
      <w:pPr>
        <w:numPr>
          <w:ilvl w:val="0"/>
          <w:numId w:val="70"/>
        </w:numPr>
        <w:tabs>
          <w:tab w:val="clear" w:pos="360"/>
          <w:tab w:val="left" w:pos="1440"/>
          <w:tab w:val="left" w:pos="2160"/>
        </w:tabs>
        <w:spacing w:after="60"/>
        <w:ind w:left="1440"/>
      </w:pPr>
      <w:r w:rsidRPr="00653421">
        <w:rPr>
          <w:color w:val="000000"/>
        </w:rPr>
        <w:t xml:space="preserve">As licenças do HPC Pack 2008 R2 Enterprise </w:t>
      </w:r>
      <w:r w:rsidRPr="00653421">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w:t>
      </w:r>
      <w:r w:rsidR="00595FDC" w:rsidRPr="00653421">
        <w:rPr>
          <w:rFonts w:cs="Tahoma"/>
          <w:bCs/>
          <w:color w:val="000000"/>
          <w:szCs w:val="18"/>
        </w:rPr>
        <w:t> </w:t>
      </w:r>
      <w:r w:rsidRPr="00653421">
        <w:rPr>
          <w:rFonts w:cs="Tahoma"/>
          <w:bCs/>
          <w:color w:val="000000"/>
          <w:szCs w:val="18"/>
        </w:rPr>
        <w:t>propósitos da concessão supracitada.</w:t>
      </w:r>
    </w:p>
    <w:p w:rsidR="001978C7" w:rsidRPr="00653421" w:rsidRDefault="001978C7" w:rsidP="00221A57">
      <w:pPr>
        <w:numPr>
          <w:ilvl w:val="0"/>
          <w:numId w:val="70"/>
        </w:numPr>
        <w:tabs>
          <w:tab w:val="clear" w:pos="360"/>
          <w:tab w:val="left" w:pos="1440"/>
          <w:tab w:val="left" w:pos="2160"/>
        </w:tabs>
        <w:spacing w:after="60"/>
        <w:ind w:left="1440"/>
      </w:pPr>
      <w:r w:rsidRPr="00653421">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221A57" w:rsidRPr="00653421" w:rsidRDefault="00221A57" w:rsidP="00221A57">
      <w:pPr>
        <w:tabs>
          <w:tab w:val="left" w:pos="1440"/>
          <w:tab w:val="left" w:pos="2160"/>
        </w:tabs>
        <w:ind w:left="1080"/>
        <w:contextualSpacing/>
      </w:pPr>
    </w:p>
    <w:p w:rsidR="00221A57" w:rsidRPr="00653421" w:rsidRDefault="001978C7" w:rsidP="00B1475C">
      <w:pPr>
        <w:spacing w:after="60"/>
        <w:ind w:left="720"/>
      </w:pPr>
      <w:r w:rsidRPr="00653421">
        <w:rPr>
          <w:b/>
          <w:color w:val="000000"/>
        </w:rPr>
        <w:t>Informações adicionais sobre o uso do Windows Server 2012 para High Performance Computing (HPC)</w:t>
      </w:r>
    </w:p>
    <w:p w:rsidR="00E62BC4" w:rsidRPr="00653421" w:rsidRDefault="001978C7" w:rsidP="00B1475C">
      <w:pPr>
        <w:ind w:left="720"/>
      </w:pPr>
      <w:r w:rsidRPr="00653421">
        <w:rPr>
          <w:color w:val="000000"/>
        </w:rPr>
        <w:t>Quando o Windows Server 2012 Standard ou Datacenter é usado para High Performance Computing, você</w:t>
      </w:r>
      <w:r w:rsidR="00595FDC" w:rsidRPr="00653421">
        <w:rPr>
          <w:color w:val="000000"/>
        </w:rPr>
        <w:t> </w:t>
      </w:r>
      <w:r w:rsidRPr="00653421">
        <w:rPr>
          <w:color w:val="000000"/>
        </w:rPr>
        <w:t>não precisa de CALs para acessar o software. Uma “Carga de Trabalho High Performance Computing (“HPC”)” significa uma carga de trabalho na qual o software para servidores é usado para executar um Nó</w:t>
      </w:r>
      <w:r w:rsidR="00595FDC" w:rsidRPr="00653421">
        <w:rPr>
          <w:color w:val="000000"/>
        </w:rPr>
        <w:t> </w:t>
      </w:r>
      <w:r w:rsidRPr="00653421">
        <w:rPr>
          <w:color w:val="000000"/>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w:t>
      </w:r>
      <w:r w:rsidR="00595FDC" w:rsidRPr="00653421">
        <w:rPr>
          <w:color w:val="000000"/>
        </w:rPr>
        <w:t> </w:t>
      </w:r>
      <w:r w:rsidRPr="00653421">
        <w:rPr>
          <w:color w:val="000000"/>
        </w:rPr>
        <w:t>Direitos de Uso de Produto para obter detalhes adicionais.</w:t>
      </w:r>
    </w:p>
    <w:p w:rsidR="00023FE7" w:rsidRPr="00653421" w:rsidRDefault="00023FE7" w:rsidP="00221A57">
      <w:pPr>
        <w:ind w:left="216"/>
      </w:pPr>
    </w:p>
    <w:p w:rsidR="00586FCE" w:rsidRPr="00653421" w:rsidRDefault="00586FCE" w:rsidP="00221A57">
      <w:pPr>
        <w:ind w:left="216"/>
      </w:pPr>
    </w:p>
    <w:p w:rsidR="00023FE7" w:rsidRPr="00653421" w:rsidRDefault="00F66FB0" w:rsidP="00416294">
      <w:pPr>
        <w:pStyle w:val="Heading3"/>
      </w:pPr>
      <w:bookmarkStart w:id="1345" w:name="_58_Learning_Solutions"/>
      <w:bookmarkStart w:id="1346" w:name="_54_Learning_Solutions"/>
      <w:bookmarkStart w:id="1347" w:name="_64_62_Learning"/>
      <w:bookmarkStart w:id="1348" w:name="_63_Learning_Solutions"/>
      <w:bookmarkStart w:id="1349" w:name="Srv_60LearningSolMCP1ExamVouch"/>
      <w:bookmarkStart w:id="1350" w:name="_Toc336338324"/>
      <w:bookmarkStart w:id="1351" w:name="_Toc353470969"/>
      <w:bookmarkStart w:id="1352" w:name="Srv_55LearningSolMCP1ExamVouch"/>
      <w:bookmarkStart w:id="1353" w:name="Srv_56LearningSolMCP1ExamVouch"/>
      <w:bookmarkEnd w:id="1345"/>
      <w:bookmarkEnd w:id="1346"/>
      <w:bookmarkEnd w:id="1347"/>
      <w:bookmarkEnd w:id="1348"/>
      <w:r w:rsidRPr="00653421">
        <w:rPr>
          <w:rFonts w:ascii="Tahoma" w:hAnsi="Tahoma"/>
          <w:caps/>
          <w:color w:val="F66400"/>
          <w:sz w:val="22"/>
          <w:vertAlign w:val="superscript"/>
        </w:rPr>
        <w:t>63</w:t>
      </w:r>
      <w:r w:rsidRPr="00653421">
        <w:rPr>
          <w:rFonts w:ascii="Tahoma" w:hAnsi="Tahoma"/>
          <w:color w:val="F66400"/>
          <w:sz w:val="22"/>
        </w:rPr>
        <w:t xml:space="preserve"> Learning Solutions MCP Exam Vouchers</w:t>
      </w:r>
      <w:bookmarkEnd w:id="1349"/>
      <w:bookmarkEnd w:id="1350"/>
      <w:bookmarkEnd w:id="1351"/>
    </w:p>
    <w:bookmarkEnd w:id="1352"/>
    <w:p w:rsidR="00023FE7" w:rsidRPr="00653421" w:rsidRDefault="00023FE7" w:rsidP="00416294">
      <w:pPr>
        <w:pStyle w:val="EndnoteText"/>
      </w:pPr>
    </w:p>
    <w:bookmarkEnd w:id="1353"/>
    <w:p w:rsidR="002A760F" w:rsidRPr="00653421" w:rsidRDefault="002A760F" w:rsidP="00416294">
      <w:pPr>
        <w:pStyle w:val="EndnoteText"/>
        <w:ind w:left="720"/>
      </w:pPr>
      <w:r w:rsidRPr="00653421">
        <w:rPr>
          <w:rFonts w:ascii="Tahoma" w:hAnsi="Tahoma" w:cs="Tahoma"/>
          <w:sz w:val="18"/>
        </w:rPr>
        <w:t xml:space="preserve">Todos os cupons são fornecidos de antemão e poderão ser usados a qualquer momento antes de 12 meses contados da data de compra. </w:t>
      </w:r>
      <w:r w:rsidRPr="00653421">
        <w:rPr>
          <w:rFonts w:ascii="Tahoma" w:hAnsi="Tahoma" w:cs="Tahoma"/>
          <w:bCs/>
          <w:color w:val="000000"/>
          <w:sz w:val="18"/>
          <w:szCs w:val="20"/>
        </w:rPr>
        <w:t xml:space="preserve">Consulte a </w:t>
      </w:r>
      <w:hyperlink w:anchor="_SECTION_3_–" w:history="1">
        <w:r w:rsidRPr="00653421">
          <w:rPr>
            <w:rFonts w:ascii="Tahoma" w:hAnsi="Tahoma"/>
            <w:sz w:val="18"/>
            <w:szCs w:val="22"/>
          </w:rPr>
          <w:t xml:space="preserve"> </w:t>
        </w:r>
        <w:r w:rsidRPr="00653421">
          <w:rPr>
            <w:rStyle w:val="Hyperlink"/>
            <w:rFonts w:ascii="Tahoma" w:hAnsi="Tahoma" w:cs="Tahoma"/>
            <w:sz w:val="18"/>
          </w:rPr>
          <w:t>Seção 5</w:t>
        </w:r>
      </w:hyperlink>
      <w:r w:rsidRPr="00653421">
        <w:rPr>
          <w:rFonts w:ascii="Tahoma" w:hAnsi="Tahoma" w:cs="Tahoma"/>
          <w:bCs/>
          <w:color w:val="000000"/>
          <w:sz w:val="18"/>
          <w:szCs w:val="20"/>
        </w:rPr>
        <w:t xml:space="preserve"> para obter informações sobre os termos de pagamento e</w:t>
      </w:r>
      <w:r w:rsidR="001170C1" w:rsidRPr="00653421">
        <w:rPr>
          <w:rFonts w:ascii="Tahoma" w:hAnsi="Tahoma" w:cs="Tahoma"/>
          <w:bCs/>
          <w:color w:val="000000"/>
          <w:sz w:val="18"/>
          <w:szCs w:val="20"/>
        </w:rPr>
        <w:t> </w:t>
      </w:r>
      <w:r w:rsidRPr="00653421">
        <w:rPr>
          <w:rFonts w:ascii="Tahoma" w:hAnsi="Tahoma" w:cs="Tahoma"/>
          <w:bCs/>
          <w:color w:val="000000"/>
          <w:sz w:val="18"/>
          <w:szCs w:val="20"/>
        </w:rPr>
        <w:t xml:space="preserve">preços dos serviços online. </w:t>
      </w:r>
    </w:p>
    <w:p w:rsidR="00560A10" w:rsidRPr="00653421" w:rsidRDefault="00560A10" w:rsidP="00416294">
      <w:pPr>
        <w:pStyle w:val="EndnoteText"/>
        <w:ind w:left="720"/>
      </w:pPr>
    </w:p>
    <w:p w:rsidR="00560A10" w:rsidRPr="00653421" w:rsidRDefault="00560A10" w:rsidP="00B1475C">
      <w:pPr>
        <w:spacing w:after="60"/>
        <w:ind w:left="720"/>
      </w:pPr>
      <w:r w:rsidRPr="00653421">
        <w:rPr>
          <w:b/>
          <w:color w:val="000000"/>
        </w:rPr>
        <w:t>Licença do Site de Exame de Certificação do Microsoft Office Specialist (MOS)</w:t>
      </w:r>
    </w:p>
    <w:p w:rsidR="00560A10" w:rsidRPr="00653421" w:rsidRDefault="00560A10" w:rsidP="00B1475C">
      <w:pPr>
        <w:ind w:left="720"/>
      </w:pPr>
      <w:r w:rsidRPr="00653421">
        <w:rPr>
          <w:color w:val="000000"/>
        </w:rPr>
        <w:t>Você terá que ser um centro de exames autorizado Certiport para usar a licença do site.</w:t>
      </w:r>
      <w:r w:rsidR="005A52A2" w:rsidRPr="00653421">
        <w:rPr>
          <w:color w:val="000000"/>
        </w:rPr>
        <w:t xml:space="preserve"> </w:t>
      </w:r>
      <w:r w:rsidRPr="00653421">
        <w:rPr>
          <w:color w:val="000000"/>
        </w:rPr>
        <w:t>Se você for um centro de exames autorizado Certiport, precisará passar por este processo para se tornar um centro de testes Certiport antes de poder usar a licença do site. A licença do site terminará automaticamente em 12</w:t>
      </w:r>
      <w:r w:rsidR="001170C1" w:rsidRPr="00653421">
        <w:rPr>
          <w:color w:val="000000"/>
        </w:rPr>
        <w:t> </w:t>
      </w:r>
      <w:r w:rsidRPr="00653421">
        <w:rPr>
          <w:color w:val="000000"/>
        </w:rPr>
        <w:t>meses a partir da data de compra. Quaisquer exames de certificação não usados serão perdidos.</w:t>
      </w:r>
    </w:p>
    <w:p w:rsidR="00560A10" w:rsidRPr="00653421" w:rsidRDefault="00560A10" w:rsidP="00B1475C">
      <w:pPr>
        <w:pStyle w:val="EndnoteText"/>
        <w:ind w:left="0"/>
      </w:pPr>
    </w:p>
    <w:p w:rsidR="00560A10" w:rsidRPr="00653421" w:rsidRDefault="00560A10" w:rsidP="00B1475C">
      <w:pPr>
        <w:spacing w:after="60"/>
        <w:ind w:left="720"/>
      </w:pPr>
      <w:r w:rsidRPr="00653421">
        <w:rPr>
          <w:b/>
          <w:color w:val="000000"/>
        </w:rPr>
        <w:t>Licença do Site de Exame do Microsoft Technology Associate (MTA)</w:t>
      </w:r>
    </w:p>
    <w:p w:rsidR="00560A10" w:rsidRPr="00653421" w:rsidRDefault="00560A10" w:rsidP="00B1475C">
      <w:pPr>
        <w:ind w:left="720"/>
      </w:pPr>
      <w:r w:rsidRPr="00653421">
        <w:rPr>
          <w:color w:val="000000"/>
        </w:rPr>
        <w:t>Você terá que ser um centro de exames autorizado Certiport para usar a licença do site.</w:t>
      </w:r>
      <w:r w:rsidR="005A52A2" w:rsidRPr="00653421">
        <w:rPr>
          <w:color w:val="000000"/>
        </w:rPr>
        <w:t xml:space="preserve"> </w:t>
      </w:r>
      <w:r w:rsidRPr="00653421">
        <w:rPr>
          <w:color w:val="000000"/>
        </w:rPr>
        <w:t>Se você for um centro de exames autorizado Certiport, precisará passar por este processo para se tornar um centro de testes Certiport antes de poder usar a licença do site. A licença do site terminará automaticamente em 12</w:t>
      </w:r>
      <w:r w:rsidR="001170C1" w:rsidRPr="00653421">
        <w:rPr>
          <w:color w:val="000000"/>
        </w:rPr>
        <w:t> </w:t>
      </w:r>
      <w:r w:rsidRPr="00653421">
        <w:rPr>
          <w:color w:val="000000"/>
        </w:rPr>
        <w:t>meses a partir da data de compra. Quaisquer exames de certificação não usados serão perdidos.</w:t>
      </w:r>
    </w:p>
    <w:p w:rsidR="00F42FD5" w:rsidRPr="00653421" w:rsidRDefault="00F42FD5" w:rsidP="00416294">
      <w:pPr>
        <w:pStyle w:val="EndnoteText"/>
        <w:ind w:left="720"/>
      </w:pPr>
    </w:p>
    <w:p w:rsidR="00586FCE" w:rsidRPr="00653421" w:rsidRDefault="00586FCE" w:rsidP="00416294">
      <w:pPr>
        <w:pStyle w:val="EndnoteText"/>
        <w:ind w:left="720"/>
      </w:pPr>
    </w:p>
    <w:p w:rsidR="00F42FD5" w:rsidRPr="00653421" w:rsidRDefault="00F66FB0" w:rsidP="00416294">
      <w:pPr>
        <w:pStyle w:val="Heading2"/>
        <w:ind w:left="0"/>
      </w:pPr>
      <w:bookmarkStart w:id="1354" w:name="_65_63_Lync"/>
      <w:bookmarkStart w:id="1355" w:name="_64_Lync_Online"/>
      <w:bookmarkStart w:id="1356" w:name="_Toc336338325"/>
      <w:bookmarkStart w:id="1357" w:name="_Toc353470970"/>
      <w:bookmarkStart w:id="1358" w:name="Srv_65LyncOnlinePlan1and2"/>
      <w:bookmarkEnd w:id="1354"/>
      <w:bookmarkEnd w:id="1355"/>
      <w:r w:rsidRPr="00653421">
        <w:rPr>
          <w:rFonts w:ascii="Tahoma" w:hAnsi="Tahoma" w:cs="Tahoma"/>
          <w:caps/>
          <w:color w:val="FF6600"/>
          <w:sz w:val="22"/>
          <w:vertAlign w:val="superscript"/>
        </w:rPr>
        <w:t>64</w:t>
      </w:r>
      <w:r w:rsidRPr="00653421">
        <w:rPr>
          <w:rFonts w:ascii="Tahoma" w:hAnsi="Tahoma" w:cs="Tahoma"/>
          <w:color w:val="FF6600"/>
        </w:rPr>
        <w:t xml:space="preserve"> </w:t>
      </w:r>
      <w:r w:rsidRPr="00653421">
        <w:rPr>
          <w:rFonts w:ascii="Tahoma" w:hAnsi="Tahoma" w:cs="Tahoma"/>
          <w:color w:val="FF6600"/>
          <w:sz w:val="22"/>
        </w:rPr>
        <w:t>Lync Online Planos 1, 2 e 3</w:t>
      </w:r>
      <w:bookmarkEnd w:id="1356"/>
      <w:bookmarkEnd w:id="1357"/>
    </w:p>
    <w:bookmarkEnd w:id="1358"/>
    <w:p w:rsidR="00F42FD5" w:rsidRPr="00653421" w:rsidRDefault="00F42FD5" w:rsidP="00F42FD5"/>
    <w:p w:rsidR="00693524" w:rsidRPr="00653421" w:rsidRDefault="00194DAF" w:rsidP="00693524">
      <w:pPr>
        <w:ind w:left="720"/>
      </w:pPr>
      <w:r w:rsidRPr="00653421">
        <w:rPr>
          <w:color w:val="000000"/>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1170C1" w:rsidRPr="00653421">
        <w:rPr>
          <w:color w:val="000000"/>
        </w:rPr>
        <w:t> </w:t>
      </w:r>
      <w:r w:rsidRPr="00653421">
        <w:rPr>
          <w:color w:val="000000"/>
        </w:rPr>
        <w:t>Lync for Mac 2011 a nenhum custo com cada licença de assinatura de teste ou paga do Lync Online. O</w:t>
      </w:r>
      <w:r w:rsidR="001170C1" w:rsidRPr="00653421">
        <w:rPr>
          <w:color w:val="000000"/>
        </w:rPr>
        <w:t> </w:t>
      </w:r>
      <w:r w:rsidRPr="00653421">
        <w:rPr>
          <w:color w:val="000000"/>
        </w:rPr>
        <w:t>software só poderá ser usado com o Lync Online, e todos os direitos de uso do software se encerrarão ao</w:t>
      </w:r>
      <w:r w:rsidR="001170C1" w:rsidRPr="00653421">
        <w:rPr>
          <w:color w:val="000000"/>
        </w:rPr>
        <w:t> </w:t>
      </w:r>
      <w:r w:rsidRPr="00653421">
        <w:rPr>
          <w:color w:val="000000"/>
        </w:rPr>
        <w:t>término da licença de assinatura básica ou da migração para a próxima nova versão principal do Lync Online, o que ocorrer primeiro.</w:t>
      </w:r>
      <w:r w:rsidR="005A52A2" w:rsidRPr="00653421">
        <w:rPr>
          <w:color w:val="000000"/>
        </w:rPr>
        <w:t xml:space="preserve"> </w:t>
      </w:r>
      <w:r w:rsidRPr="00653421">
        <w:rPr>
          <w:color w:val="000000"/>
        </w:rPr>
        <w:t>Os clientes podem usar o cliente gratuito Lync Basic 2013 para seus usuários</w:t>
      </w:r>
      <w:r w:rsidR="001170C1" w:rsidRPr="00653421">
        <w:rPr>
          <w:color w:val="000000"/>
        </w:rPr>
        <w:t> </w:t>
      </w:r>
      <w:r w:rsidRPr="00653421">
        <w:rPr>
          <w:color w:val="000000"/>
        </w:rPr>
        <w:t xml:space="preserve">finais com base em Windows. </w:t>
      </w:r>
    </w:p>
    <w:p w:rsidR="00194DAF" w:rsidRPr="00653421" w:rsidRDefault="00194DAF" w:rsidP="008A36D8">
      <w:pPr>
        <w:ind w:left="720"/>
      </w:pPr>
    </w:p>
    <w:p w:rsidR="006D33A5" w:rsidRPr="00653421" w:rsidRDefault="006D33A5" w:rsidP="003D0252">
      <w:pPr>
        <w:spacing w:after="60"/>
        <w:ind w:left="720"/>
      </w:pPr>
      <w:r w:rsidRPr="00653421">
        <w:rPr>
          <w:rFonts w:eastAsia="Calibri" w:cs="Tahoma"/>
          <w:b/>
          <w:color w:val="000000"/>
          <w:szCs w:val="18"/>
        </w:rPr>
        <w:lastRenderedPageBreak/>
        <w:t>Nuvem da Comunidade do Governo (Apenas para os Estados Unidos)</w:t>
      </w:r>
    </w:p>
    <w:p w:rsidR="006D33A5" w:rsidRPr="00653421" w:rsidRDefault="006D33A5" w:rsidP="006D33A5">
      <w:pPr>
        <w:ind w:left="720"/>
      </w:pPr>
      <w:r w:rsidRPr="00653421">
        <w:rPr>
          <w:rFonts w:eastAsia="Calibri" w:cs="Tahoma"/>
          <w:color w:val="000000"/>
          <w:szCs w:val="18"/>
        </w:rPr>
        <w:t>Alguns serviços online na família de produtos do Office 365 (incluindo Lync Online Planos 1, 2 e 3) são oferecidos como serviços de nuvem da comunidade do governo e serviços de nuvem da comunidade não governamental.</w:t>
      </w:r>
      <w:r w:rsidR="005A52A2" w:rsidRPr="00653421">
        <w:rPr>
          <w:rFonts w:eastAsia="Calibri" w:cs="Tahoma"/>
          <w:color w:val="000000"/>
          <w:szCs w:val="18"/>
        </w:rPr>
        <w:t xml:space="preserve"> </w:t>
      </w:r>
      <w:r w:rsidRPr="00653421">
        <w:rPr>
          <w:rFonts w:eastAsia="Calibri" w:cs="Tahoma"/>
          <w:color w:val="000000"/>
          <w:szCs w:val="18"/>
        </w:rPr>
        <w:t>Os clientes podem ser provisionados como um ou outro, mas não com uma mistura dos dois.</w:t>
      </w:r>
      <w:r w:rsidR="005A52A2" w:rsidRPr="00653421">
        <w:rPr>
          <w:rFonts w:eastAsia="Calibri" w:cs="Tahoma"/>
          <w:color w:val="000000"/>
          <w:szCs w:val="18"/>
        </w:rPr>
        <w:t xml:space="preserve"> </w:t>
      </w:r>
      <w:r w:rsidRPr="00653421">
        <w:rPr>
          <w:rFonts w:eastAsia="Calibri" w:cs="Tahoma"/>
          <w:color w:val="000000"/>
          <w:szCs w:val="18"/>
        </w:rPr>
        <w:t>Os Serviços Online projetados como nuvem de comunidade do governo não podem ser implantados no</w:t>
      </w:r>
      <w:r w:rsidR="001170C1" w:rsidRPr="00653421">
        <w:rPr>
          <w:rFonts w:eastAsia="Calibri" w:cs="Tahoma"/>
          <w:color w:val="000000"/>
          <w:szCs w:val="18"/>
        </w:rPr>
        <w:t> </w:t>
      </w:r>
      <w:r w:rsidRPr="00653421">
        <w:rPr>
          <w:rFonts w:eastAsia="Calibri" w:cs="Tahoma"/>
          <w:color w:val="000000"/>
          <w:szCs w:val="18"/>
        </w:rPr>
        <w:t>mesmo domínio que os serviços de nuvem da comunidade não governamental específicos.</w:t>
      </w:r>
      <w:r w:rsidR="005A52A2" w:rsidRPr="00653421">
        <w:rPr>
          <w:rFonts w:eastAsia="Calibri" w:cs="Tahoma"/>
          <w:color w:val="000000"/>
          <w:szCs w:val="18"/>
        </w:rPr>
        <w:t xml:space="preserve"> </w:t>
      </w:r>
      <w:r w:rsidRPr="00653421">
        <w:rPr>
          <w:rFonts w:eastAsia="Calibri" w:cs="Tahoma"/>
          <w:color w:val="000000"/>
          <w:szCs w:val="18"/>
        </w:rPr>
        <w:t>Esta limitação se estende a qualquer serviço online que faça parte da família de produtos do Office 365, incluindo Exchange Online, SharePoint Online e Lync Online.</w:t>
      </w:r>
      <w:r w:rsidR="005A52A2" w:rsidRPr="00653421">
        <w:rPr>
          <w:rFonts w:eastAsia="Calibri" w:cs="Tahoma"/>
          <w:color w:val="000000"/>
          <w:szCs w:val="18"/>
        </w:rPr>
        <w:t xml:space="preserve"> </w:t>
      </w:r>
    </w:p>
    <w:p w:rsidR="006D33A5" w:rsidRPr="00653421" w:rsidRDefault="006D33A5" w:rsidP="006D33A5">
      <w:pPr>
        <w:ind w:left="720"/>
      </w:pPr>
    </w:p>
    <w:p w:rsidR="006D33A5" w:rsidRPr="00653421" w:rsidRDefault="006D33A5" w:rsidP="006D33A5">
      <w:pPr>
        <w:ind w:left="720"/>
      </w:pPr>
      <w:r w:rsidRPr="00653421">
        <w:rPr>
          <w:rFonts w:eastAsia="Calibri" w:cs="Tahoma"/>
          <w:color w:val="000000"/>
          <w:szCs w:val="18"/>
        </w:rPr>
        <w:t>Assim que um serviço online é provisionado na nuvem de comunidade do governo, ele permanecerá lá pela</w:t>
      </w:r>
      <w:r w:rsidR="001170C1" w:rsidRPr="00653421">
        <w:rPr>
          <w:rFonts w:eastAsia="Calibri" w:cs="Tahoma"/>
          <w:color w:val="000000"/>
          <w:szCs w:val="18"/>
        </w:rPr>
        <w:t> </w:t>
      </w:r>
      <w:r w:rsidRPr="00653421">
        <w:rPr>
          <w:rFonts w:eastAsia="Calibri" w:cs="Tahoma"/>
          <w:color w:val="000000"/>
          <w:szCs w:val="18"/>
        </w:rPr>
        <w:t>duração da vigência da assinatura.</w:t>
      </w:r>
      <w:r w:rsidR="005A52A2" w:rsidRPr="00653421">
        <w:rPr>
          <w:rFonts w:eastAsia="Calibri" w:cs="Tahoma"/>
          <w:color w:val="000000"/>
          <w:szCs w:val="18"/>
        </w:rPr>
        <w:t xml:space="preserve"> </w:t>
      </w:r>
      <w:r w:rsidRPr="00653421">
        <w:rPr>
          <w:rFonts w:eastAsia="Calibri" w:cs="Tahoma"/>
          <w:color w:val="000000"/>
          <w:szCs w:val="18"/>
        </w:rPr>
        <w:t>Clientes que são instituições governamentais federais, estaduais, locais ou tribais dos Estados Unidos devem fazer parte de um Registro Enterprise do Governo Americano ou</w:t>
      </w:r>
      <w:r w:rsidR="001170C1" w:rsidRPr="00653421">
        <w:rPr>
          <w:rFonts w:eastAsia="Calibri" w:cs="Tahoma"/>
          <w:color w:val="000000"/>
          <w:szCs w:val="18"/>
        </w:rPr>
        <w:t> </w:t>
      </w:r>
      <w:r w:rsidRPr="00653421">
        <w:rPr>
          <w:rFonts w:eastAsia="Calibri" w:cs="Tahoma"/>
          <w:color w:val="000000"/>
          <w:szCs w:val="18"/>
        </w:rPr>
        <w:t>Registro Enterprise Subscription para estar qualificado para comprar serviços online designados como nuvem da comunidade do governo.</w:t>
      </w:r>
      <w:r w:rsidR="005A52A2" w:rsidRPr="00653421">
        <w:rPr>
          <w:rFonts w:eastAsia="Calibri" w:cs="Tahoma"/>
          <w:color w:val="000000"/>
          <w:szCs w:val="18"/>
        </w:rPr>
        <w:t xml:space="preserve"> </w:t>
      </w:r>
      <w:r w:rsidRPr="00653421">
        <w:rPr>
          <w:rFonts w:eastAsia="Calibri" w:cs="Tahoma"/>
          <w:color w:val="000000"/>
          <w:szCs w:val="18"/>
        </w:rPr>
        <w:t>Os Direitos de Uso para serviços de nuvem da comunidade do governo são equivalentes àqueles dos seus diversos locatários padrão.</w:t>
      </w:r>
      <w:r w:rsidR="005A52A2" w:rsidRPr="00653421">
        <w:rPr>
          <w:rFonts w:eastAsia="Calibri" w:cs="Tahoma"/>
          <w:color w:val="000000"/>
          <w:szCs w:val="18"/>
        </w:rPr>
        <w:t xml:space="preserve"> </w:t>
      </w:r>
    </w:p>
    <w:p w:rsidR="00FC31B7" w:rsidRPr="00653421" w:rsidRDefault="00FC31B7" w:rsidP="00FC31B7">
      <w:pPr>
        <w:ind w:left="720"/>
      </w:pPr>
    </w:p>
    <w:p w:rsidR="00586FCE" w:rsidRPr="00653421" w:rsidRDefault="00586FCE" w:rsidP="00FC31B7">
      <w:pPr>
        <w:ind w:left="720"/>
      </w:pPr>
    </w:p>
    <w:p w:rsidR="004E0852" w:rsidRPr="00653421" w:rsidRDefault="00F66FB0" w:rsidP="004E0852">
      <w:pPr>
        <w:pStyle w:val="Heading2"/>
        <w:ind w:left="0"/>
      </w:pPr>
      <w:bookmarkStart w:id="1359" w:name="_62_Lync_Server"/>
      <w:bookmarkStart w:id="1360" w:name="_65_Lync_Server"/>
      <w:bookmarkStart w:id="1361" w:name="_Toc353470971"/>
      <w:bookmarkStart w:id="1362" w:name="_Toc336338326"/>
      <w:bookmarkStart w:id="1363" w:name="Srv_62LyncServer2010StandEnt"/>
      <w:bookmarkEnd w:id="1359"/>
      <w:bookmarkEnd w:id="1360"/>
      <w:r w:rsidRPr="00653421">
        <w:rPr>
          <w:rFonts w:ascii="Tahoma" w:hAnsi="Tahoma" w:cs="Tahoma"/>
          <w:caps/>
          <w:color w:val="FA6500"/>
          <w:sz w:val="22"/>
          <w:vertAlign w:val="superscript"/>
        </w:rPr>
        <w:t>65</w:t>
      </w:r>
      <w:r w:rsidRPr="00653421">
        <w:rPr>
          <w:rFonts w:ascii="Tahoma" w:hAnsi="Tahoma" w:cs="Tahoma"/>
          <w:caps/>
          <w:color w:val="FA6500"/>
          <w:sz w:val="22"/>
        </w:rPr>
        <w:t xml:space="preserve"> </w:t>
      </w:r>
      <w:r w:rsidRPr="00653421">
        <w:rPr>
          <w:rFonts w:ascii="Tahoma" w:hAnsi="Tahoma" w:cs="Tahoma"/>
          <w:color w:val="FA6500"/>
          <w:sz w:val="22"/>
        </w:rPr>
        <w:t>Lync Server 2013</w:t>
      </w:r>
      <w:bookmarkEnd w:id="1361"/>
      <w:r w:rsidRPr="00653421">
        <w:rPr>
          <w:rFonts w:ascii="Tahoma" w:hAnsi="Tahoma" w:cs="Tahoma"/>
          <w:color w:val="FA6500"/>
          <w:sz w:val="22"/>
        </w:rPr>
        <w:t xml:space="preserve"> </w:t>
      </w:r>
    </w:p>
    <w:p w:rsidR="004E0852" w:rsidRPr="00653421" w:rsidRDefault="004E0852" w:rsidP="004E0852">
      <w:pPr>
        <w:ind w:left="720"/>
      </w:pPr>
    </w:p>
    <w:p w:rsidR="004E0852" w:rsidRPr="00653421" w:rsidRDefault="004E0852" w:rsidP="004E0852">
      <w:pPr>
        <w:ind w:left="720"/>
      </w:pPr>
      <w:r w:rsidRPr="00653421">
        <w:rPr>
          <w:rFonts w:cs="Tahoma"/>
          <w:color w:val="000000"/>
          <w:szCs w:val="18"/>
        </w:rPr>
        <w:t>O Lync Server 2013 é a versão mais recente do Lync Server.</w:t>
      </w:r>
      <w:r w:rsidR="005A52A2" w:rsidRPr="00653421">
        <w:rPr>
          <w:rFonts w:cs="Tahoma"/>
          <w:color w:val="000000"/>
          <w:szCs w:val="18"/>
        </w:rPr>
        <w:t xml:space="preserve"> </w:t>
      </w:r>
      <w:r w:rsidRPr="00653421">
        <w:rPr>
          <w:rFonts w:cs="Tahoma"/>
          <w:color w:val="000000"/>
          <w:szCs w:val="18"/>
        </w:rPr>
        <w:t xml:space="preserve">Os clientes com Software Assurance ativo para Lync Server 2010 Standard ou Enterprise </w:t>
      </w:r>
      <w:bookmarkEnd w:id="1362"/>
      <w:r w:rsidRPr="00653421">
        <w:rPr>
          <w:rFonts w:cs="Tahoma"/>
          <w:color w:val="000000"/>
          <w:szCs w:val="18"/>
        </w:rPr>
        <w:t>em 1º de dezembro de 2012 poderão atualizar para e usar o Lync Server 2013 em vez de suas cópias licenciadas correspondentes do Lync Server 2010.</w:t>
      </w:r>
    </w:p>
    <w:bookmarkEnd w:id="1363"/>
    <w:p w:rsidR="00CD0D74" w:rsidRPr="00653421" w:rsidRDefault="00CD0D74" w:rsidP="00CD0D74">
      <w:pPr>
        <w:ind w:left="720"/>
      </w:pPr>
    </w:p>
    <w:p w:rsidR="00CD0D74" w:rsidRPr="00653421" w:rsidRDefault="00CD0D74" w:rsidP="00CD0D74">
      <w:pPr>
        <w:ind w:left="720"/>
      </w:pPr>
      <w:r w:rsidRPr="00653421">
        <w:rPr>
          <w:rFonts w:cs="Tahoma"/>
          <w:color w:val="000000"/>
          <w:szCs w:val="18"/>
        </w:rPr>
        <w:t>As CALs do Lync Server 2013 são as CALs sucessoras para as CALs do Lync Server 2010.</w:t>
      </w:r>
      <w:r w:rsidR="005A52A2" w:rsidRPr="00653421">
        <w:rPr>
          <w:rFonts w:cs="Tahoma"/>
          <w:color w:val="000000"/>
          <w:szCs w:val="18"/>
        </w:rPr>
        <w:t xml:space="preserve"> </w:t>
      </w:r>
    </w:p>
    <w:p w:rsidR="00CD0D74" w:rsidRPr="00653421" w:rsidRDefault="00CD0D74" w:rsidP="00CD0D74">
      <w:pPr>
        <w:ind w:left="720"/>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653421" w:rsidTr="0057135E">
        <w:trPr>
          <w:trHeight w:val="332"/>
        </w:trPr>
        <w:tc>
          <w:tcPr>
            <w:tcW w:w="4500" w:type="dxa"/>
            <w:shd w:val="clear" w:color="auto" w:fill="FABF8F"/>
          </w:tcPr>
          <w:p w:rsidR="00CD0D74" w:rsidRPr="00653421" w:rsidRDefault="00CD0D74" w:rsidP="0057135E">
            <w:pPr>
              <w:rPr>
                <w:rFonts w:cs="Tahoma"/>
                <w:b/>
                <w:color w:val="000000"/>
                <w:szCs w:val="18"/>
              </w:rPr>
            </w:pPr>
            <w:r w:rsidRPr="00653421">
              <w:rPr>
                <w:rFonts w:cs="Tahoma"/>
                <w:b/>
                <w:color w:val="000000"/>
                <w:szCs w:val="18"/>
              </w:rPr>
              <w:t>CAL do Lync Server 2010</w:t>
            </w:r>
          </w:p>
        </w:tc>
        <w:tc>
          <w:tcPr>
            <w:tcW w:w="3600" w:type="dxa"/>
            <w:shd w:val="clear" w:color="auto" w:fill="FABF8F"/>
          </w:tcPr>
          <w:p w:rsidR="00CD0D74" w:rsidRPr="00653421" w:rsidRDefault="00CD0D74" w:rsidP="0057135E">
            <w:pPr>
              <w:rPr>
                <w:rFonts w:cs="Tahoma"/>
                <w:b/>
                <w:color w:val="000000"/>
                <w:szCs w:val="18"/>
              </w:rPr>
            </w:pPr>
            <w:r w:rsidRPr="00653421">
              <w:rPr>
                <w:rFonts w:cs="Tahoma"/>
                <w:b/>
                <w:color w:val="000000"/>
                <w:szCs w:val="18"/>
              </w:rPr>
              <w:t>Versão Sucessora</w:t>
            </w:r>
          </w:p>
        </w:tc>
      </w:tr>
      <w:tr w:rsidR="00CD0D74" w:rsidRPr="00653421" w:rsidTr="0057135E">
        <w:trPr>
          <w:trHeight w:val="70"/>
        </w:trPr>
        <w:tc>
          <w:tcPr>
            <w:tcW w:w="4500" w:type="dxa"/>
            <w:shd w:val="clear" w:color="auto" w:fill="auto"/>
          </w:tcPr>
          <w:p w:rsidR="00CD0D74" w:rsidRPr="00653421" w:rsidRDefault="00CD0D74" w:rsidP="0057135E">
            <w:pPr>
              <w:rPr>
                <w:rFonts w:cs="Tahoma"/>
                <w:color w:val="000000"/>
                <w:szCs w:val="18"/>
              </w:rPr>
            </w:pPr>
            <w:r w:rsidRPr="00653421">
              <w:rPr>
                <w:rFonts w:cs="Tahoma"/>
                <w:color w:val="000000"/>
                <w:szCs w:val="18"/>
              </w:rPr>
              <w:t xml:space="preserve">CAL do Lync Server 2010 Plus </w:t>
            </w:r>
          </w:p>
        </w:tc>
        <w:tc>
          <w:tcPr>
            <w:tcW w:w="3600" w:type="dxa"/>
            <w:shd w:val="clear" w:color="auto" w:fill="auto"/>
          </w:tcPr>
          <w:p w:rsidR="00CD0D74" w:rsidRPr="00653421" w:rsidRDefault="00CD0D74" w:rsidP="0057135E">
            <w:pPr>
              <w:rPr>
                <w:rFonts w:cs="Tahoma"/>
                <w:color w:val="000000"/>
                <w:szCs w:val="18"/>
              </w:rPr>
            </w:pPr>
            <w:r w:rsidRPr="00653421">
              <w:rPr>
                <w:rFonts w:cs="Tahoma"/>
                <w:color w:val="000000"/>
                <w:szCs w:val="18"/>
              </w:rPr>
              <w:t>CAL do Lync Server 2013 Plus</w:t>
            </w:r>
          </w:p>
        </w:tc>
      </w:tr>
      <w:tr w:rsidR="00CD0D74" w:rsidRPr="00653421" w:rsidTr="0057135E">
        <w:trPr>
          <w:trHeight w:val="70"/>
        </w:trPr>
        <w:tc>
          <w:tcPr>
            <w:tcW w:w="4500" w:type="dxa"/>
            <w:shd w:val="clear" w:color="auto" w:fill="auto"/>
          </w:tcPr>
          <w:p w:rsidR="00CD0D74" w:rsidRPr="00653421" w:rsidRDefault="00CD0D74" w:rsidP="0057135E">
            <w:pPr>
              <w:rPr>
                <w:rFonts w:cs="Tahoma"/>
                <w:color w:val="000000"/>
                <w:szCs w:val="18"/>
              </w:rPr>
            </w:pPr>
            <w:r w:rsidRPr="00653421">
              <w:rPr>
                <w:rFonts w:cs="Tahoma"/>
                <w:color w:val="000000"/>
                <w:szCs w:val="18"/>
              </w:rPr>
              <w:t xml:space="preserve">CAL Empresarial do Lync Server 2010 </w:t>
            </w:r>
          </w:p>
        </w:tc>
        <w:tc>
          <w:tcPr>
            <w:tcW w:w="3600" w:type="dxa"/>
            <w:shd w:val="clear" w:color="auto" w:fill="auto"/>
          </w:tcPr>
          <w:p w:rsidR="00CD0D74" w:rsidRPr="00653421" w:rsidRDefault="00CD0D74" w:rsidP="0057135E">
            <w:pPr>
              <w:rPr>
                <w:rFonts w:cs="Tahoma"/>
                <w:color w:val="000000"/>
                <w:szCs w:val="18"/>
              </w:rPr>
            </w:pPr>
            <w:r w:rsidRPr="00653421">
              <w:rPr>
                <w:rFonts w:cs="Tahoma"/>
                <w:color w:val="000000"/>
                <w:szCs w:val="18"/>
              </w:rPr>
              <w:t>CAL do Lync Server 2013 Enterprise</w:t>
            </w:r>
          </w:p>
        </w:tc>
      </w:tr>
      <w:tr w:rsidR="00CD0D74" w:rsidRPr="00653421" w:rsidTr="0057135E">
        <w:trPr>
          <w:trHeight w:val="70"/>
        </w:trPr>
        <w:tc>
          <w:tcPr>
            <w:tcW w:w="4500" w:type="dxa"/>
            <w:shd w:val="clear" w:color="auto" w:fill="auto"/>
          </w:tcPr>
          <w:p w:rsidR="00CD0D74" w:rsidRPr="00653421" w:rsidRDefault="00CD0D74" w:rsidP="0057135E">
            <w:pPr>
              <w:rPr>
                <w:rFonts w:cs="Tahoma"/>
                <w:color w:val="000000"/>
                <w:szCs w:val="18"/>
              </w:rPr>
            </w:pPr>
            <w:r w:rsidRPr="00653421">
              <w:rPr>
                <w:rFonts w:cs="Tahoma"/>
                <w:color w:val="000000"/>
                <w:szCs w:val="18"/>
              </w:rPr>
              <w:t xml:space="preserve">CAL Padrão do Lync Server 2010 </w:t>
            </w:r>
          </w:p>
        </w:tc>
        <w:tc>
          <w:tcPr>
            <w:tcW w:w="3600" w:type="dxa"/>
            <w:shd w:val="clear" w:color="auto" w:fill="auto"/>
          </w:tcPr>
          <w:p w:rsidR="00CD0D74" w:rsidRPr="00653421" w:rsidRDefault="00CD0D74" w:rsidP="0057135E">
            <w:pPr>
              <w:rPr>
                <w:rFonts w:cs="Tahoma"/>
                <w:color w:val="000000"/>
                <w:szCs w:val="18"/>
              </w:rPr>
            </w:pPr>
            <w:r w:rsidRPr="00653421">
              <w:rPr>
                <w:rFonts w:cs="Tahoma"/>
                <w:color w:val="000000"/>
                <w:szCs w:val="18"/>
              </w:rPr>
              <w:t>CAL do Lync Server 2013 Standard</w:t>
            </w:r>
          </w:p>
        </w:tc>
      </w:tr>
    </w:tbl>
    <w:p w:rsidR="004E0852" w:rsidRPr="00653421" w:rsidRDefault="004E0852" w:rsidP="003D0252"/>
    <w:p w:rsidR="004E0852" w:rsidRPr="00653421" w:rsidRDefault="004E0852" w:rsidP="0080323A">
      <w:pPr>
        <w:spacing w:after="60"/>
        <w:ind w:left="720"/>
      </w:pPr>
      <w:r w:rsidRPr="00653421">
        <w:rPr>
          <w:rFonts w:cs="Tahoma"/>
          <w:b/>
          <w:color w:val="000000"/>
          <w:szCs w:val="18"/>
        </w:rPr>
        <w:t>Outorga de Licença para Clientes do Conector Externo do Lync Server 2010 Enterprise, Conector Externo do Lync Server 2010 Plus e Clientes do Conector Externo do Lync Server 2010</w:t>
      </w:r>
      <w:r w:rsidR="001170C1" w:rsidRPr="00653421">
        <w:rPr>
          <w:rFonts w:cs="Tahoma"/>
          <w:b/>
          <w:color w:val="000000"/>
          <w:szCs w:val="18"/>
        </w:rPr>
        <w:t> </w:t>
      </w:r>
      <w:r w:rsidRPr="00653421">
        <w:rPr>
          <w:rFonts w:cs="Tahoma"/>
          <w:b/>
          <w:color w:val="000000"/>
          <w:szCs w:val="18"/>
        </w:rPr>
        <w:t>Standard</w:t>
      </w:r>
    </w:p>
    <w:p w:rsidR="004E0852" w:rsidRPr="00653421" w:rsidRDefault="004E0852" w:rsidP="003D0252">
      <w:pPr>
        <w:ind w:left="720"/>
      </w:pPr>
      <w:r w:rsidRPr="00653421">
        <w:rPr>
          <w:rFonts w:cs="Tahoma"/>
          <w:color w:val="000000"/>
          <w:szCs w:val="18"/>
        </w:rPr>
        <w:t>A versão 2010 do Conector Externo do Lync Server 2010 Enterprise, Conector Externo do Lync Server 2010 Plus e Clientes do Conector Externo do Lync Server 2010 Standard é a versão final destas licenças.</w:t>
      </w:r>
      <w:r w:rsidR="005A52A2" w:rsidRPr="00653421">
        <w:rPr>
          <w:rFonts w:cs="Tahoma"/>
          <w:color w:val="000000"/>
          <w:szCs w:val="18"/>
        </w:rPr>
        <w:t xml:space="preserve"> </w:t>
      </w:r>
      <w:r w:rsidRPr="00653421">
        <w:rPr>
          <w:rFonts w:cs="Tahoma"/>
          <w:color w:val="000000"/>
          <w:szCs w:val="18"/>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dezembro de 2012 estarão qualificados para a outorga de licença a seguir.</w:t>
      </w:r>
    </w:p>
    <w:p w:rsidR="004E0852" w:rsidRPr="00653421"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BD1A6A" w:rsidRPr="00653421" w:rsidTr="001170C1">
        <w:trPr>
          <w:trHeight w:val="332"/>
        </w:trPr>
        <w:tc>
          <w:tcPr>
            <w:tcW w:w="4680" w:type="dxa"/>
            <w:shd w:val="clear" w:color="auto" w:fill="FABF8F"/>
          </w:tcPr>
          <w:p w:rsidR="00BD1A6A" w:rsidRPr="00653421" w:rsidRDefault="00BD1A6A" w:rsidP="002C3AB1">
            <w:pPr>
              <w:rPr>
                <w:rFonts w:cs="Tahoma"/>
                <w:b/>
                <w:color w:val="000000"/>
                <w:szCs w:val="18"/>
              </w:rPr>
            </w:pPr>
            <w:r w:rsidRPr="00653421">
              <w:rPr>
                <w:rFonts w:cs="Tahoma"/>
                <w:b/>
                <w:color w:val="000000"/>
                <w:szCs w:val="18"/>
              </w:rPr>
              <w:t>Licença Qualificada</w:t>
            </w:r>
          </w:p>
        </w:tc>
        <w:tc>
          <w:tcPr>
            <w:tcW w:w="3420" w:type="dxa"/>
            <w:shd w:val="clear" w:color="auto" w:fill="FABF8F"/>
          </w:tcPr>
          <w:p w:rsidR="00BD1A6A" w:rsidRPr="00653421" w:rsidRDefault="00BD1A6A" w:rsidP="002C3AB1">
            <w:pPr>
              <w:rPr>
                <w:rFonts w:cs="Tahoma"/>
                <w:b/>
                <w:color w:val="000000"/>
                <w:szCs w:val="18"/>
              </w:rPr>
            </w:pPr>
            <w:r w:rsidRPr="00653421">
              <w:rPr>
                <w:rFonts w:cs="Tahoma"/>
                <w:b/>
                <w:color w:val="000000"/>
                <w:szCs w:val="18"/>
              </w:rPr>
              <w:t>Licença Complementar e Benefícios</w:t>
            </w:r>
          </w:p>
        </w:tc>
      </w:tr>
      <w:tr w:rsidR="00BD1A6A" w:rsidRPr="00653421" w:rsidTr="001170C1">
        <w:trPr>
          <w:trHeight w:val="70"/>
        </w:trPr>
        <w:tc>
          <w:tcPr>
            <w:tcW w:w="4680" w:type="dxa"/>
            <w:shd w:val="clear" w:color="auto" w:fill="auto"/>
          </w:tcPr>
          <w:p w:rsidR="00BD1A6A" w:rsidRPr="00653421" w:rsidRDefault="00BD1A6A" w:rsidP="002C3AB1">
            <w:pPr>
              <w:rPr>
                <w:rFonts w:cs="Tahoma"/>
                <w:color w:val="000000"/>
                <w:szCs w:val="18"/>
              </w:rPr>
            </w:pPr>
            <w:r w:rsidRPr="00653421">
              <w:rPr>
                <w:rFonts w:cs="Tahoma"/>
                <w:color w:val="000000"/>
                <w:szCs w:val="18"/>
              </w:rPr>
              <w:t>Conector Externo do Lync Server 2010 Enterprise com Software Assurance ativo em 1º de dezembro de 2012</w:t>
            </w:r>
          </w:p>
        </w:tc>
        <w:tc>
          <w:tcPr>
            <w:tcW w:w="3420" w:type="dxa"/>
            <w:shd w:val="clear" w:color="auto" w:fill="auto"/>
          </w:tcPr>
          <w:p w:rsidR="00BD1A6A" w:rsidRPr="00653421" w:rsidRDefault="00BD1A6A" w:rsidP="002C3AB1">
            <w:pPr>
              <w:rPr>
                <w:rFonts w:cs="Tahoma"/>
                <w:color w:val="000000"/>
                <w:szCs w:val="18"/>
              </w:rPr>
            </w:pPr>
            <w:r w:rsidRPr="00653421">
              <w:rPr>
                <w:rFonts w:cs="Tahoma"/>
                <w:color w:val="000000"/>
                <w:szCs w:val="18"/>
              </w:rPr>
              <w:t>Licença do Lync Server 2013</w:t>
            </w:r>
          </w:p>
        </w:tc>
      </w:tr>
      <w:tr w:rsidR="00BD1A6A" w:rsidRPr="00653421" w:rsidTr="001170C1">
        <w:trPr>
          <w:trHeight w:val="70"/>
        </w:trPr>
        <w:tc>
          <w:tcPr>
            <w:tcW w:w="4680" w:type="dxa"/>
            <w:shd w:val="clear" w:color="auto" w:fill="auto"/>
          </w:tcPr>
          <w:p w:rsidR="00BD1A6A" w:rsidRPr="00653421" w:rsidRDefault="00BD1A6A" w:rsidP="002C3AB1">
            <w:pPr>
              <w:rPr>
                <w:rFonts w:cs="Tahoma"/>
                <w:color w:val="000000"/>
                <w:szCs w:val="18"/>
              </w:rPr>
            </w:pPr>
            <w:r w:rsidRPr="00653421">
              <w:rPr>
                <w:rFonts w:cs="Tahoma"/>
                <w:color w:val="000000"/>
                <w:szCs w:val="18"/>
              </w:rPr>
              <w:t>Conector Externo do Lync Server 2010 Plus com Software Assurance ativo em 1º de dezembro de 2012</w:t>
            </w:r>
          </w:p>
        </w:tc>
        <w:tc>
          <w:tcPr>
            <w:tcW w:w="3420" w:type="dxa"/>
            <w:shd w:val="clear" w:color="auto" w:fill="auto"/>
          </w:tcPr>
          <w:p w:rsidR="00BD1A6A" w:rsidRPr="00653421" w:rsidRDefault="00BD1A6A" w:rsidP="002C3AB1">
            <w:pPr>
              <w:rPr>
                <w:rFonts w:cs="Tahoma"/>
                <w:color w:val="000000"/>
                <w:szCs w:val="18"/>
              </w:rPr>
            </w:pPr>
            <w:r w:rsidRPr="00653421">
              <w:rPr>
                <w:rFonts w:cs="Tahoma"/>
                <w:color w:val="000000"/>
                <w:szCs w:val="18"/>
              </w:rPr>
              <w:t>Licença do Lync Server 2013</w:t>
            </w:r>
          </w:p>
        </w:tc>
      </w:tr>
      <w:tr w:rsidR="00BD1A6A" w:rsidRPr="00653421" w:rsidTr="001170C1">
        <w:trPr>
          <w:trHeight w:val="70"/>
        </w:trPr>
        <w:tc>
          <w:tcPr>
            <w:tcW w:w="4680" w:type="dxa"/>
            <w:shd w:val="clear" w:color="auto" w:fill="auto"/>
          </w:tcPr>
          <w:p w:rsidR="00BD1A6A" w:rsidRPr="00653421" w:rsidRDefault="00BD1A6A" w:rsidP="002C3AB1">
            <w:pPr>
              <w:rPr>
                <w:rFonts w:cs="Tahoma"/>
                <w:color w:val="000000"/>
                <w:szCs w:val="18"/>
              </w:rPr>
            </w:pPr>
            <w:r w:rsidRPr="00653421">
              <w:rPr>
                <w:rFonts w:cs="Tahoma"/>
                <w:color w:val="000000"/>
                <w:szCs w:val="18"/>
              </w:rPr>
              <w:t>Conector Externo do Lync Server 2010 Standard com Software Assurance ativo em 1º de dezembro de 2012</w:t>
            </w:r>
          </w:p>
        </w:tc>
        <w:tc>
          <w:tcPr>
            <w:tcW w:w="3420" w:type="dxa"/>
            <w:shd w:val="clear" w:color="auto" w:fill="auto"/>
          </w:tcPr>
          <w:p w:rsidR="00BD1A6A" w:rsidRPr="00653421" w:rsidRDefault="00BD1A6A" w:rsidP="002C3AB1">
            <w:pPr>
              <w:rPr>
                <w:rFonts w:cs="Tahoma"/>
                <w:color w:val="000000"/>
                <w:szCs w:val="18"/>
              </w:rPr>
            </w:pPr>
            <w:r w:rsidRPr="00653421">
              <w:rPr>
                <w:rFonts w:cs="Tahoma"/>
                <w:color w:val="000000"/>
                <w:szCs w:val="18"/>
              </w:rPr>
              <w:t>Licença do Lync Server 2013</w:t>
            </w:r>
          </w:p>
        </w:tc>
      </w:tr>
    </w:tbl>
    <w:p w:rsidR="004E0852" w:rsidRPr="00653421" w:rsidRDefault="004E0852" w:rsidP="004E0852">
      <w:pPr>
        <w:ind w:left="720"/>
        <w:jc w:val="both"/>
      </w:pPr>
    </w:p>
    <w:p w:rsidR="004E0852" w:rsidRPr="00653421" w:rsidRDefault="004E0852" w:rsidP="004E0852">
      <w:pPr>
        <w:ind w:left="720"/>
      </w:pPr>
      <w:r w:rsidRPr="00653421">
        <w:rPr>
          <w:rFonts w:cs="Tahoma"/>
          <w:color w:val="000000"/>
          <w:szCs w:val="18"/>
        </w:rPr>
        <w:t>Os termos e as condições a seguir se aplicam às outorgas de licença acima.</w:t>
      </w:r>
    </w:p>
    <w:p w:rsidR="004E0852" w:rsidRPr="00653421" w:rsidRDefault="004E0852" w:rsidP="004E0852">
      <w:pPr>
        <w:ind w:left="720"/>
      </w:pPr>
    </w:p>
    <w:p w:rsidR="004E0852" w:rsidRPr="00653421" w:rsidRDefault="004E0852" w:rsidP="003D0252">
      <w:pPr>
        <w:numPr>
          <w:ilvl w:val="0"/>
          <w:numId w:val="124"/>
        </w:numPr>
        <w:spacing w:after="60"/>
        <w:ind w:left="1440"/>
      </w:pPr>
      <w:r w:rsidRPr="00653421">
        <w:rPr>
          <w:rFonts w:cs="Tahoma"/>
          <w:bCs/>
          <w:color w:val="000000"/>
          <w:szCs w:val="18"/>
          <w:u w:val="single"/>
        </w:rPr>
        <w:t>Caminho de Migração</w:t>
      </w:r>
      <w:r w:rsidRPr="00653421">
        <w:rPr>
          <w:rFonts w:cs="Tahoma"/>
          <w:color w:val="000000"/>
          <w:szCs w:val="18"/>
        </w:rPr>
        <w:t xml:space="preserve">: </w:t>
      </w:r>
      <w:r w:rsidR="005B7886" w:rsidRPr="00653421">
        <w:rPr>
          <w:rFonts w:cs="Tahoma"/>
          <w:color w:val="000000"/>
          <w:szCs w:val="18"/>
        </w:rPr>
        <w:t>O</w:t>
      </w:r>
      <w:r w:rsidRPr="00653421">
        <w:rPr>
          <w:rFonts w:cs="Tahoma"/>
          <w:color w:val="000000"/>
          <w:szCs w:val="18"/>
        </w:rPr>
        <w:t>s clientes com cobertura do Software Assurance ativa para uma determinada Licença Qualificada a partir de 1º de dezembro de 2012 e mediante o lançamento do</w:t>
      </w:r>
      <w:r w:rsidR="001170C1" w:rsidRPr="00653421">
        <w:rPr>
          <w:rFonts w:cs="Tahoma"/>
          <w:color w:val="000000"/>
          <w:szCs w:val="18"/>
        </w:rPr>
        <w:t> </w:t>
      </w:r>
      <w:r w:rsidRPr="00653421">
        <w:rPr>
          <w:rFonts w:cs="Tahoma"/>
          <w:color w:val="000000"/>
          <w:szCs w:val="18"/>
        </w:rPr>
        <w:t>Lync Server 2013 estão qualificados para atualizar e usar o software Lync Server 2013 sob a</w:t>
      </w:r>
      <w:r w:rsidR="001170C1" w:rsidRPr="00653421">
        <w:rPr>
          <w:rFonts w:cs="Tahoma"/>
          <w:color w:val="000000"/>
          <w:szCs w:val="18"/>
        </w:rPr>
        <w:t> </w:t>
      </w:r>
      <w:r w:rsidRPr="00653421">
        <w:rPr>
          <w:rFonts w:cs="Tahoma"/>
          <w:color w:val="000000"/>
          <w:szCs w:val="18"/>
        </w:rPr>
        <w:t>Licença Complementar em vez do software Lync Server 2010 sob a Licença Qualificada do Conector Externo correspondente.</w:t>
      </w:r>
      <w:r w:rsidR="005A52A2" w:rsidRPr="00653421">
        <w:rPr>
          <w:rFonts w:cs="Tahoma"/>
          <w:color w:val="000000"/>
          <w:szCs w:val="18"/>
        </w:rPr>
        <w:t xml:space="preserve"> </w:t>
      </w:r>
    </w:p>
    <w:p w:rsidR="004E0852" w:rsidRPr="00653421" w:rsidRDefault="004E0852" w:rsidP="003D0252">
      <w:pPr>
        <w:numPr>
          <w:ilvl w:val="0"/>
          <w:numId w:val="124"/>
        </w:numPr>
        <w:spacing w:after="60"/>
        <w:ind w:left="1440"/>
      </w:pPr>
      <w:r w:rsidRPr="00653421">
        <w:rPr>
          <w:rFonts w:cs="Tahoma"/>
          <w:color w:val="000000"/>
          <w:szCs w:val="18"/>
          <w:u w:val="single"/>
        </w:rPr>
        <w:lastRenderedPageBreak/>
        <w:t>Direitos de uso</w:t>
      </w:r>
      <w:r w:rsidRPr="00653421">
        <w:rPr>
          <w:rFonts w:cs="Tahoma"/>
          <w:color w:val="000000"/>
          <w:szCs w:val="18"/>
        </w:rPr>
        <w:t>: O direito de usar o software sob as Licenças Complementares nessa oferta expirará quando o direito de usar o software sob as Licenças Qualificadas expirar.</w:t>
      </w:r>
      <w:r w:rsidR="005A52A2" w:rsidRPr="00653421">
        <w:rPr>
          <w:rFonts w:cs="Tahoma"/>
          <w:color w:val="000000"/>
          <w:szCs w:val="18"/>
        </w:rPr>
        <w:t xml:space="preserve"> </w:t>
      </w:r>
      <w:r w:rsidRPr="00653421">
        <w:rPr>
          <w:rFonts w:cs="Tahoma"/>
          <w:color w:val="000000"/>
          <w:szCs w:val="18"/>
        </w:rPr>
        <w:t>O uso desse software é regido pelos direitos de uso do software e pelos termos e condições do contrato de licenciamento por volume do cliente.</w:t>
      </w:r>
      <w:r w:rsidR="005A52A2" w:rsidRPr="00653421">
        <w:rPr>
          <w:rFonts w:cs="Tahoma"/>
          <w:color w:val="000000"/>
          <w:szCs w:val="18"/>
        </w:rPr>
        <w:t xml:space="preserve"> </w:t>
      </w:r>
      <w:r w:rsidRPr="00653421">
        <w:rPr>
          <w:rFonts w:cs="Tahoma"/>
          <w:color w:val="000000"/>
          <w:szCs w:val="18"/>
        </w:rPr>
        <w:t>Essa nota de condição do produto e a evidência do cliente da</w:t>
      </w:r>
      <w:r w:rsidR="005D6A5A" w:rsidRPr="00653421">
        <w:rPr>
          <w:rFonts w:cs="Tahoma"/>
          <w:color w:val="000000"/>
          <w:szCs w:val="18"/>
        </w:rPr>
        <w:t> </w:t>
      </w:r>
      <w:r w:rsidRPr="00653421">
        <w:rPr>
          <w:rFonts w:cs="Tahoma"/>
          <w:color w:val="000000"/>
          <w:szCs w:val="18"/>
        </w:rPr>
        <w:t>Licença Qualificada e do Software Assurance do cliente juntas comprovam o direito de usar o</w:t>
      </w:r>
      <w:r w:rsidR="005D6A5A" w:rsidRPr="00653421">
        <w:rPr>
          <w:rFonts w:cs="Tahoma"/>
          <w:color w:val="000000"/>
          <w:szCs w:val="18"/>
        </w:rPr>
        <w:t> </w:t>
      </w:r>
      <w:r w:rsidRPr="00653421">
        <w:rPr>
          <w:rFonts w:cs="Tahoma"/>
          <w:color w:val="000000"/>
          <w:szCs w:val="18"/>
        </w:rPr>
        <w:t xml:space="preserve">software sob a Licença Complementar nessa oferta. </w:t>
      </w:r>
    </w:p>
    <w:p w:rsidR="004E0852" w:rsidRPr="00653421" w:rsidRDefault="004E0852" w:rsidP="003D0252">
      <w:pPr>
        <w:numPr>
          <w:ilvl w:val="0"/>
          <w:numId w:val="8"/>
        </w:numPr>
        <w:spacing w:after="60"/>
        <w:ind w:left="1440"/>
      </w:pPr>
      <w:r w:rsidRPr="00653421">
        <w:rPr>
          <w:rFonts w:cs="Tahoma"/>
          <w:color w:val="000000"/>
          <w:szCs w:val="18"/>
          <w:u w:val="single"/>
        </w:rPr>
        <w:t>Licença e Software Assurance (L&amp;SA)</w:t>
      </w:r>
      <w:r w:rsidRPr="00653421">
        <w:rPr>
          <w:rFonts w:cs="Tahoma"/>
          <w:color w:val="000000"/>
          <w:szCs w:val="18"/>
        </w:rPr>
        <w:t>: A Licença Complementar inclui a cobertura do Software Assurance.</w:t>
      </w:r>
      <w:r w:rsidR="005A52A2" w:rsidRPr="00653421">
        <w:rPr>
          <w:rFonts w:cs="Tahoma"/>
          <w:color w:val="000000"/>
          <w:szCs w:val="18"/>
        </w:rPr>
        <w:t xml:space="preserve"> </w:t>
      </w:r>
      <w:r w:rsidRPr="00653421">
        <w:rPr>
          <w:rFonts w:cs="Tahoma"/>
          <w:color w:val="000000"/>
          <w:szCs w:val="18"/>
        </w:rPr>
        <w:t>A cobertura do Software Assurance sobre a Licença Complementar expirará quando a cobertura da Licença Qualificada expirar.</w:t>
      </w:r>
      <w:r w:rsidR="005A52A2" w:rsidRPr="00653421">
        <w:rPr>
          <w:rFonts w:cs="Tahoma"/>
          <w:color w:val="000000"/>
          <w:szCs w:val="18"/>
        </w:rPr>
        <w:t xml:space="preserve"> </w:t>
      </w:r>
      <w:r w:rsidRPr="00653421">
        <w:rPr>
          <w:rFonts w:cs="Tahoma"/>
          <w:color w:val="000000"/>
          <w:szCs w:val="18"/>
        </w:rPr>
        <w:t>No término da cobertura do Software Assurance para a Licença Qualificada, o cliente poderá renovar o Software Assurance para a Licença Complementar sem precisar adquirir uma nova licença separadamente.</w:t>
      </w:r>
    </w:p>
    <w:p w:rsidR="004E0852" w:rsidRPr="00653421" w:rsidRDefault="004E0852" w:rsidP="003D0252">
      <w:pPr>
        <w:numPr>
          <w:ilvl w:val="0"/>
          <w:numId w:val="125"/>
        </w:numPr>
        <w:spacing w:after="60"/>
        <w:ind w:left="1440"/>
      </w:pPr>
      <w:r w:rsidRPr="00653421">
        <w:rPr>
          <w:rFonts w:eastAsia="Calibri" w:cs="Tahoma"/>
          <w:color w:val="000000"/>
          <w:szCs w:val="18"/>
          <w:u w:val="single"/>
        </w:rPr>
        <w:t>Adequações (“true-ups”)</w:t>
      </w:r>
      <w:r w:rsidRPr="00653421">
        <w:rPr>
          <w:rFonts w:eastAsia="Calibri" w:cs="Tahoma"/>
          <w:color w:val="000000"/>
          <w:szCs w:val="18"/>
        </w:rPr>
        <w:t>:</w:t>
      </w:r>
      <w:r w:rsidR="005A52A2" w:rsidRPr="00653421">
        <w:rPr>
          <w:rFonts w:eastAsia="Calibri" w:cs="Tahoma"/>
          <w:color w:val="000000"/>
          <w:szCs w:val="18"/>
        </w:rPr>
        <w:t xml:space="preserve"> </w:t>
      </w:r>
      <w:r w:rsidRPr="00653421">
        <w:rPr>
          <w:rFonts w:eastAsia="Calibri" w:cs="Tahoma"/>
          <w:color w:val="000000"/>
          <w:szCs w:val="18"/>
        </w:rPr>
        <w:t xml:space="preserve">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w:t>
      </w:r>
      <w:r w:rsidRPr="00653421">
        <w:rPr>
          <w:rFonts w:cs="Tahoma"/>
          <w:color w:val="000000"/>
          <w:szCs w:val="18"/>
        </w:rPr>
        <w:t xml:space="preserve">anuais do cliente também são Licenças Qualificadas. </w:t>
      </w:r>
    </w:p>
    <w:p w:rsidR="004E0852" w:rsidRPr="00653421" w:rsidRDefault="003D0252" w:rsidP="003D0252">
      <w:pPr>
        <w:numPr>
          <w:ilvl w:val="0"/>
          <w:numId w:val="125"/>
        </w:numPr>
        <w:spacing w:after="60"/>
        <w:ind w:left="1440"/>
      </w:pPr>
      <w:r w:rsidRPr="00653421">
        <w:rPr>
          <w:rFonts w:cs="Tahoma"/>
          <w:color w:val="000000"/>
          <w:szCs w:val="18"/>
          <w:u w:val="single"/>
        </w:rPr>
        <w:t>Contratos Subscription</w:t>
      </w:r>
      <w:r w:rsidRPr="00653421">
        <w:rPr>
          <w:rFonts w:cs="Tahoma"/>
          <w:color w:val="000000"/>
          <w:szCs w:val="18"/>
        </w:rPr>
        <w:t>:</w:t>
      </w:r>
      <w:r w:rsidR="005A52A2" w:rsidRPr="00653421">
        <w:rPr>
          <w:rFonts w:cs="Tahoma"/>
          <w:color w:val="000000"/>
          <w:szCs w:val="18"/>
        </w:rPr>
        <w:t xml:space="preserve"> </w:t>
      </w:r>
      <w:r w:rsidRPr="00653421">
        <w:rPr>
          <w:rFonts w:cs="Tahoma"/>
          <w:color w:val="000000"/>
          <w:szCs w:val="18"/>
        </w:rPr>
        <w:t xml:space="preserve">Para Enterprise Subscription, </w:t>
      </w:r>
      <w:r w:rsidRPr="00653421">
        <w:rPr>
          <w:rFonts w:cs="Tahoma"/>
          <w:szCs w:val="18"/>
        </w:rPr>
        <w:t>Open Value Subscription, Campus e School, Enrollment for Education Solutions e Open Value Subscription – Education Solutions, os mesmos direitos serão outorgados temporariamente sob as mesmas condições</w:t>
      </w:r>
      <w:r w:rsidRPr="00653421">
        <w:rPr>
          <w:rFonts w:cs="Tahoma"/>
          <w:color w:val="000000"/>
          <w:szCs w:val="18"/>
        </w:rPr>
        <w:t xml:space="preserve"> até o final do prazo do registro atual (ou prazo do contrato no caso do Open Value).</w:t>
      </w:r>
      <w:r w:rsidR="005A52A2" w:rsidRPr="00653421">
        <w:rPr>
          <w:rFonts w:cs="Tahoma"/>
          <w:color w:val="000000"/>
          <w:szCs w:val="18"/>
        </w:rPr>
        <w:t xml:space="preserve"> </w:t>
      </w:r>
      <w:r w:rsidRPr="00653421">
        <w:rPr>
          <w:rFonts w:cs="Tahoma"/>
          <w:color w:val="000000"/>
          <w:szCs w:val="18"/>
        </w:rPr>
        <w:t>O cliente deverá manter uma cobertura contínua da assinatura.</w:t>
      </w:r>
      <w:r w:rsidR="005A52A2" w:rsidRPr="00653421">
        <w:rPr>
          <w:rFonts w:cs="Tahoma"/>
          <w:color w:val="000000"/>
          <w:szCs w:val="18"/>
        </w:rPr>
        <w:t xml:space="preserve"> </w:t>
      </w:r>
      <w:r w:rsidRPr="00653421">
        <w:rPr>
          <w:rFonts w:cs="Tahoma"/>
          <w:color w:val="000000"/>
          <w:szCs w:val="18"/>
        </w:rPr>
        <w:t>Esses direitos só se tornarão permanentes se a opção de compra (“buy-out”) for exercida e continuarão sujeitos a todos os termos e condições do contrato de licença do cliente.</w:t>
      </w:r>
    </w:p>
    <w:p w:rsidR="004E0852" w:rsidRPr="00653421" w:rsidRDefault="004E0852" w:rsidP="003D0252">
      <w:pPr>
        <w:numPr>
          <w:ilvl w:val="0"/>
          <w:numId w:val="126"/>
        </w:numPr>
        <w:spacing w:after="60"/>
        <w:ind w:left="1440"/>
      </w:pPr>
      <w:r w:rsidRPr="00653421">
        <w:rPr>
          <w:rFonts w:cs="Tahoma"/>
          <w:szCs w:val="18"/>
          <w:u w:val="single"/>
        </w:rPr>
        <w:t>Transições do Contrato Campus e School</w:t>
      </w:r>
      <w:r w:rsidRPr="00653421">
        <w:rPr>
          <w:rFonts w:cs="Tahoma"/>
          <w:szCs w:val="18"/>
        </w:rPr>
        <w:t>: Para os clientes que estão fazendo transição a médio prazo dos contratos Campus e School para os contratos Enrollment for Education Solutions ou Open Value Subscription – Education Solutions enquanto mantêm a cobertura contínua de assinatura:</w:t>
      </w:r>
    </w:p>
    <w:p w:rsidR="004E0852" w:rsidRPr="00653421" w:rsidRDefault="004E0852" w:rsidP="003D0252">
      <w:pPr>
        <w:pStyle w:val="ListParagraph"/>
        <w:numPr>
          <w:ilvl w:val="0"/>
          <w:numId w:val="105"/>
        </w:numPr>
        <w:spacing w:after="60"/>
        <w:ind w:left="1980"/>
        <w:contextualSpacing w:val="0"/>
      </w:pPr>
      <w:r w:rsidRPr="00653421">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rsidR="00BA1490" w:rsidRPr="00653421" w:rsidRDefault="004E0852" w:rsidP="003D0252">
      <w:pPr>
        <w:pStyle w:val="ListParagraph"/>
        <w:numPr>
          <w:ilvl w:val="0"/>
          <w:numId w:val="105"/>
        </w:numPr>
        <w:spacing w:after="60"/>
        <w:ind w:left="1980"/>
        <w:contextualSpacing w:val="0"/>
      </w:pPr>
      <w:r w:rsidRPr="00653421">
        <w:rPr>
          <w:rFonts w:ascii="Tahoma" w:hAnsi="Tahoma" w:cs="Tahoma"/>
          <w:sz w:val="18"/>
          <w:szCs w:val="18"/>
        </w:rPr>
        <w:t>Esses direitos só se tornarão permanentes se a opção de compra (“buy-out”) for exercida e</w:t>
      </w:r>
      <w:r w:rsidR="005D6A5A" w:rsidRPr="00653421">
        <w:rPr>
          <w:rFonts w:ascii="Tahoma" w:hAnsi="Tahoma" w:cs="Tahoma"/>
          <w:sz w:val="18"/>
          <w:szCs w:val="18"/>
        </w:rPr>
        <w:t> </w:t>
      </w:r>
      <w:r w:rsidRPr="00653421">
        <w:rPr>
          <w:rFonts w:ascii="Tahoma" w:hAnsi="Tahoma" w:cs="Tahoma"/>
          <w:sz w:val="18"/>
          <w:szCs w:val="18"/>
        </w:rPr>
        <w:t>continuarão sujeitos a todos os termos e condições do contrato de licença do cliente.</w:t>
      </w:r>
      <w:bookmarkStart w:id="1364" w:name="_66_Lync_Server"/>
      <w:bookmarkStart w:id="1365" w:name="_Toc336338327"/>
      <w:bookmarkStart w:id="1366" w:name="Srv_57OfficeCommSvrOnlineStd"/>
      <w:bookmarkEnd w:id="1364"/>
    </w:p>
    <w:p w:rsidR="00586FCE" w:rsidRPr="00653421" w:rsidRDefault="00586FCE" w:rsidP="003D0252">
      <w:bookmarkStart w:id="1367" w:name="Srv_56MicrosoftDynamicsCRM2011"/>
      <w:bookmarkStart w:id="1368" w:name="Srv_67MicrosoftDynamicsCRM2011"/>
    </w:p>
    <w:p w:rsidR="002512D3" w:rsidRPr="00653421" w:rsidRDefault="002512D3"/>
    <w:p w:rsidR="00253288" w:rsidRPr="00653421" w:rsidRDefault="00F66FB0" w:rsidP="00D47417">
      <w:pPr>
        <w:pStyle w:val="Heading3"/>
      </w:pPr>
      <w:bookmarkStart w:id="1369" w:name="_66_Microsoft_Dynamics_1"/>
      <w:bookmarkStart w:id="1370" w:name="_Toc353470972"/>
      <w:bookmarkEnd w:id="1369"/>
      <w:r w:rsidRPr="00653421">
        <w:rPr>
          <w:rFonts w:ascii="Tahoma" w:hAnsi="Tahoma"/>
          <w:color w:val="F66400"/>
          <w:sz w:val="22"/>
          <w:vertAlign w:val="superscript"/>
        </w:rPr>
        <w:t>66</w:t>
      </w:r>
      <w:r w:rsidRPr="00653421">
        <w:rPr>
          <w:rFonts w:ascii="Tahoma" w:hAnsi="Tahoma"/>
          <w:color w:val="F66400"/>
          <w:sz w:val="22"/>
        </w:rPr>
        <w:t xml:space="preserve"> Microsoft Dynamics AX 2012</w:t>
      </w:r>
      <w:bookmarkEnd w:id="1365"/>
      <w:r w:rsidRPr="00653421">
        <w:rPr>
          <w:rFonts w:ascii="Tahoma" w:hAnsi="Tahoma"/>
          <w:color w:val="F66400"/>
          <w:sz w:val="22"/>
        </w:rPr>
        <w:t xml:space="preserve"> R2</w:t>
      </w:r>
      <w:bookmarkEnd w:id="1370"/>
    </w:p>
    <w:p w:rsidR="003D0252" w:rsidRPr="00653421" w:rsidRDefault="003D0252" w:rsidP="003D0252"/>
    <w:p w:rsidR="00047874" w:rsidRPr="00653421" w:rsidRDefault="00860CF0" w:rsidP="007B699C">
      <w:pPr>
        <w:spacing w:after="60"/>
        <w:ind w:left="734" w:hanging="14"/>
      </w:pPr>
      <w:r w:rsidRPr="00653421">
        <w:rPr>
          <w:rFonts w:cs="Tahoma"/>
          <w:b/>
          <w:bCs/>
          <w:szCs w:val="20"/>
        </w:rPr>
        <w:t>Localizações e Traduções</w:t>
      </w:r>
    </w:p>
    <w:p w:rsidR="00253288" w:rsidRPr="00653421" w:rsidRDefault="00047874" w:rsidP="00737831">
      <w:pPr>
        <w:ind w:left="734" w:hanging="14"/>
      </w:pPr>
      <w:r w:rsidRPr="00653421">
        <w:rPr>
          <w:rFonts w:cs="Tahoma"/>
          <w:color w:val="000000"/>
          <w:szCs w:val="20"/>
        </w:rPr>
        <w:t xml:space="preserve">O Microsoft Dynamics AX está localizado, traduzido e recebe suporte da Microsoft e ele geralmente está disponível em idiomas e países selecionados. Consulte a página </w:t>
      </w:r>
      <w:hyperlink r:id="rId50" w:history="1">
        <w:r w:rsidRPr="00653421">
          <w:rPr>
            <w:rFonts w:cs="Tahoma"/>
            <w:color w:val="000000"/>
            <w:szCs w:val="20"/>
          </w:rPr>
          <w:t>http://www.microsoft.com/en-us/dynamics/erp-explore-ax-capabilities.aspx</w:t>
        </w:r>
      </w:hyperlink>
      <w:r w:rsidRPr="00653421">
        <w:rPr>
          <w:rFonts w:cs="Tahoma"/>
          <w:color w:val="000000"/>
          <w:szCs w:val="20"/>
        </w:rPr>
        <w:t xml:space="preserve"> para saber sobre a disponibilidade das localizações e traduções da Microsoft.</w:t>
      </w:r>
    </w:p>
    <w:p w:rsidR="00860CF0" w:rsidRPr="00653421" w:rsidRDefault="00860CF0" w:rsidP="00737831">
      <w:pPr>
        <w:ind w:left="720"/>
      </w:pPr>
    </w:p>
    <w:p w:rsidR="00860CF0" w:rsidRPr="00653421" w:rsidRDefault="00860CF0" w:rsidP="00737831">
      <w:pPr>
        <w:pStyle w:val="PURBody-Indented"/>
        <w:spacing w:after="0"/>
        <w:ind w:left="720"/>
      </w:pPr>
      <w:r w:rsidRPr="00653421">
        <w:rPr>
          <w:rFonts w:ascii="Tahoma" w:hAnsi="Tahoma" w:cs="Tahoma"/>
          <w:color w:val="000000"/>
          <w:sz w:val="18"/>
        </w:rPr>
        <w:t>A Microsoft compreende que, em algumas ocasiões, você quer usar determinados módulos ou recursos que foram localizados e/ou traduzidos para uma região específica e usá-los fora da região geográfica para a qual foram criados.</w:t>
      </w:r>
      <w:r w:rsidR="005A52A2" w:rsidRPr="00653421">
        <w:rPr>
          <w:rFonts w:ascii="Tahoma" w:hAnsi="Tahoma" w:cs="Tahoma"/>
          <w:color w:val="000000"/>
          <w:sz w:val="18"/>
        </w:rPr>
        <w:t xml:space="preserve"> </w:t>
      </w:r>
      <w:r w:rsidRPr="00653421">
        <w:rPr>
          <w:rFonts w:ascii="Tahoma" w:hAnsi="Tahoma" w:cs="Tahoma"/>
          <w:color w:val="000000"/>
          <w:sz w:val="18"/>
        </w:rPr>
        <w:t>Como as leis e os regulamentos variam de uma região para outra, as diferenças nas leis ou nos regulamentos podem afetar o uso da funcionalidade desejada nas regiões para as quais ela não foi criada.</w:t>
      </w:r>
      <w:r w:rsidR="005A52A2" w:rsidRPr="00653421">
        <w:rPr>
          <w:rFonts w:ascii="Tahoma" w:hAnsi="Tahoma" w:cs="Tahoma"/>
          <w:color w:val="000000"/>
          <w:sz w:val="18"/>
        </w:rPr>
        <w:t xml:space="preserve"> </w:t>
      </w:r>
      <w:r w:rsidRPr="00653421">
        <w:rPr>
          <w:rFonts w:ascii="Tahoma" w:hAnsi="Tahoma" w:cs="Tahoma"/>
          <w:color w:val="000000"/>
          <w:sz w:val="18"/>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5A52A2" w:rsidRPr="00653421">
        <w:rPr>
          <w:rFonts w:ascii="Tahoma" w:hAnsi="Tahoma" w:cs="Tahoma"/>
          <w:color w:val="000000"/>
          <w:sz w:val="18"/>
        </w:rPr>
        <w:t xml:space="preserve"> </w:t>
      </w:r>
      <w:r w:rsidRPr="00653421">
        <w:rPr>
          <w:rFonts w:ascii="Tahoma" w:hAnsi="Tahoma" w:cs="Tahoma"/>
          <w:color w:val="000000"/>
          <w:sz w:val="18"/>
        </w:rPr>
        <w:t>Consulte um especialista em tributos da região geográfica onde você pretende usar este software a fim de determinar se os recursos são adequados ao uso nessa região.</w:t>
      </w:r>
    </w:p>
    <w:p w:rsidR="00047874" w:rsidRPr="00653421" w:rsidRDefault="00047874" w:rsidP="00E62BC4">
      <w:pPr>
        <w:ind w:left="720" w:hanging="180"/>
      </w:pPr>
    </w:p>
    <w:p w:rsidR="005D6A5A" w:rsidRPr="00653421" w:rsidRDefault="005D6A5A" w:rsidP="00E62BC4">
      <w:pPr>
        <w:ind w:left="720" w:hanging="180"/>
      </w:pPr>
    </w:p>
    <w:p w:rsidR="005D6A5A" w:rsidRPr="00653421" w:rsidRDefault="005D6A5A" w:rsidP="00E62BC4">
      <w:pPr>
        <w:ind w:left="720" w:hanging="180"/>
      </w:pPr>
    </w:p>
    <w:p w:rsidR="005D6A5A" w:rsidRPr="00653421" w:rsidRDefault="005D6A5A" w:rsidP="00E62BC4">
      <w:pPr>
        <w:ind w:left="720" w:hanging="180"/>
      </w:pPr>
    </w:p>
    <w:p w:rsidR="00253288" w:rsidRPr="00653421" w:rsidRDefault="00047874" w:rsidP="007B699C">
      <w:pPr>
        <w:spacing w:after="60"/>
        <w:ind w:left="734" w:hanging="187"/>
      </w:pPr>
      <w:r w:rsidRPr="00653421">
        <w:rPr>
          <w:rFonts w:cs="Tahoma"/>
          <w:b/>
          <w:bCs/>
          <w:szCs w:val="20"/>
        </w:rPr>
        <w:lastRenderedPageBreak/>
        <w:t>Direitos de Uso da CAL</w:t>
      </w:r>
    </w:p>
    <w:p w:rsidR="00047874" w:rsidRPr="00653421" w:rsidRDefault="00047874" w:rsidP="00E62BC4">
      <w:pPr>
        <w:ind w:left="720" w:hanging="180"/>
      </w:pPr>
      <w:r w:rsidRPr="00653421">
        <w:rPr>
          <w:rFonts w:eastAsia="Calibri" w:cs="Tahoma"/>
          <w:szCs w:val="18"/>
        </w:rPr>
        <w:t>Os usos permitidos sob as CALs diferentes do Microsoft Dynamics AX 2012 R2 estão destacados abaixo:</w:t>
      </w:r>
    </w:p>
    <w:p w:rsidR="00047874" w:rsidRPr="00653421" w:rsidRDefault="00047874" w:rsidP="00944DAD">
      <w:pPr>
        <w:ind w:firstLine="540"/>
      </w:pPr>
    </w:p>
    <w:p w:rsidR="00047874" w:rsidRPr="00653421" w:rsidRDefault="00047874" w:rsidP="002C1048">
      <w:pPr>
        <w:numPr>
          <w:ilvl w:val="1"/>
          <w:numId w:val="84"/>
        </w:numPr>
        <w:tabs>
          <w:tab w:val="clear" w:pos="1440"/>
          <w:tab w:val="num" w:pos="900"/>
        </w:tabs>
        <w:autoSpaceDE w:val="0"/>
        <w:autoSpaceDN w:val="0"/>
        <w:adjustRightInd w:val="0"/>
        <w:ind w:left="900" w:right="720"/>
      </w:pPr>
      <w:r w:rsidRPr="00653421">
        <w:rPr>
          <w:rFonts w:eastAsia="Calibri" w:cs="Tahoma"/>
          <w:b/>
          <w:szCs w:val="18"/>
        </w:rPr>
        <w:t>CAL de Autoatendimento (CAL Básica)</w:t>
      </w:r>
    </w:p>
    <w:p w:rsidR="00047874" w:rsidRPr="00653421" w:rsidRDefault="00047874" w:rsidP="005B7886">
      <w:pPr>
        <w:numPr>
          <w:ilvl w:val="1"/>
          <w:numId w:val="106"/>
        </w:numPr>
        <w:autoSpaceDE w:val="0"/>
        <w:autoSpaceDN w:val="0"/>
        <w:adjustRightInd w:val="0"/>
        <w:ind w:left="1339" w:right="720"/>
      </w:pPr>
      <w:r w:rsidRPr="00653421">
        <w:rPr>
          <w:rFonts w:eastAsia="Calibri" w:cs="Tahoma"/>
          <w:szCs w:val="18"/>
        </w:rPr>
        <w:t>Criar relatórios de despesas;</w:t>
      </w:r>
    </w:p>
    <w:p w:rsidR="00047874" w:rsidRPr="00653421" w:rsidRDefault="00047874" w:rsidP="005B7886">
      <w:pPr>
        <w:numPr>
          <w:ilvl w:val="1"/>
          <w:numId w:val="106"/>
        </w:numPr>
        <w:autoSpaceDE w:val="0"/>
        <w:autoSpaceDN w:val="0"/>
        <w:adjustRightInd w:val="0"/>
        <w:ind w:left="1339" w:right="720"/>
      </w:pPr>
      <w:r w:rsidRPr="00653421">
        <w:rPr>
          <w:rFonts w:eastAsia="Calibri" w:cs="Tahoma"/>
          <w:szCs w:val="18"/>
        </w:rPr>
        <w:t>Gerenciar dados pessoais como registros de benefícios;</w:t>
      </w:r>
    </w:p>
    <w:p w:rsidR="00047874" w:rsidRPr="00653421" w:rsidRDefault="00047874" w:rsidP="005B7886">
      <w:pPr>
        <w:numPr>
          <w:ilvl w:val="1"/>
          <w:numId w:val="106"/>
        </w:numPr>
        <w:autoSpaceDE w:val="0"/>
        <w:autoSpaceDN w:val="0"/>
        <w:adjustRightInd w:val="0"/>
        <w:ind w:left="1339" w:right="720"/>
      </w:pPr>
      <w:r w:rsidRPr="00653421">
        <w:rPr>
          <w:rFonts w:eastAsia="Calibri" w:cs="Tahoma"/>
          <w:szCs w:val="18"/>
        </w:rPr>
        <w:t>Fazer entradas de tempo e presença como registrar horas, horário de entrada e de saída;</w:t>
      </w:r>
    </w:p>
    <w:p w:rsidR="00047874" w:rsidRPr="00653421" w:rsidRDefault="00047874" w:rsidP="005B7886">
      <w:pPr>
        <w:numPr>
          <w:ilvl w:val="1"/>
          <w:numId w:val="106"/>
        </w:numPr>
        <w:autoSpaceDE w:val="0"/>
        <w:autoSpaceDN w:val="0"/>
        <w:adjustRightInd w:val="0"/>
        <w:ind w:left="1339" w:right="720"/>
      </w:pPr>
      <w:r w:rsidRPr="00653421">
        <w:rPr>
          <w:rFonts w:eastAsia="Calibri" w:cs="Tahoma"/>
          <w:szCs w:val="18"/>
        </w:rPr>
        <w:t>Inserir solicitações de serviço de funcionário;</w:t>
      </w:r>
    </w:p>
    <w:p w:rsidR="00047874" w:rsidRPr="00653421" w:rsidRDefault="00047874" w:rsidP="005B7886">
      <w:pPr>
        <w:numPr>
          <w:ilvl w:val="1"/>
          <w:numId w:val="106"/>
        </w:numPr>
        <w:autoSpaceDE w:val="0"/>
        <w:autoSpaceDN w:val="0"/>
        <w:adjustRightInd w:val="0"/>
        <w:ind w:left="1339" w:right="720"/>
      </w:pPr>
      <w:r w:rsidRPr="00653421">
        <w:rPr>
          <w:rFonts w:eastAsia="Calibri" w:cs="Tahoma"/>
          <w:szCs w:val="18"/>
        </w:rPr>
        <w:t>Preparar solicitações de compra indireta pertencentes a produtos ou serviços para o funcionário como viagens, equipamento para escritório, papelaria e/ou fazer solicitações para adicionar ou registrar fornecedores.</w:t>
      </w:r>
      <w:r w:rsidRPr="00653421">
        <w:rPr>
          <w:rFonts w:eastAsia="Calibri" w:cs="Tahoma"/>
          <w:szCs w:val="18"/>
        </w:rPr>
        <w:br/>
      </w:r>
    </w:p>
    <w:p w:rsidR="00047874" w:rsidRPr="00653421" w:rsidRDefault="00047874" w:rsidP="002C1048">
      <w:pPr>
        <w:numPr>
          <w:ilvl w:val="0"/>
          <w:numId w:val="106"/>
        </w:numPr>
        <w:autoSpaceDE w:val="0"/>
        <w:autoSpaceDN w:val="0"/>
        <w:adjustRightInd w:val="0"/>
        <w:ind w:left="900" w:right="720"/>
      </w:pPr>
      <w:r w:rsidRPr="00653421">
        <w:rPr>
          <w:rFonts w:eastAsia="Calibri" w:cs="Tahoma"/>
          <w:b/>
          <w:szCs w:val="18"/>
        </w:rPr>
        <w:t>CAL de Tarefa (CAL de Autoatendimento + CAL Aditiva de Tarefa)</w:t>
      </w:r>
    </w:p>
    <w:p w:rsidR="00B10F79" w:rsidRPr="00653421" w:rsidRDefault="00B10F79" w:rsidP="005B7886">
      <w:pPr>
        <w:numPr>
          <w:ilvl w:val="1"/>
          <w:numId w:val="106"/>
        </w:numPr>
        <w:ind w:left="1339" w:right="720"/>
      </w:pPr>
      <w:r w:rsidRPr="00653421">
        <w:rPr>
          <w:rFonts w:eastAsia="Calibri" w:cs="Tahoma"/>
          <w:szCs w:val="18"/>
        </w:rPr>
        <w:t>Incluir direitos de uso da CAL de Autoatendimento</w:t>
      </w:r>
    </w:p>
    <w:p w:rsidR="00047874" w:rsidRPr="00653421" w:rsidRDefault="00B10F79" w:rsidP="005B7886">
      <w:pPr>
        <w:numPr>
          <w:ilvl w:val="1"/>
          <w:numId w:val="106"/>
        </w:numPr>
        <w:ind w:left="1339" w:right="720"/>
      </w:pPr>
      <w:r w:rsidRPr="00653421">
        <w:rPr>
          <w:rFonts w:eastAsia="Calibri" w:cs="Tahoma"/>
          <w:szCs w:val="18"/>
        </w:rPr>
        <w:t>Inserir hora faturável;</w:t>
      </w:r>
    </w:p>
    <w:p w:rsidR="00047874" w:rsidRPr="00653421" w:rsidRDefault="00B10F79" w:rsidP="005B7886">
      <w:pPr>
        <w:numPr>
          <w:ilvl w:val="1"/>
          <w:numId w:val="106"/>
        </w:numPr>
        <w:ind w:left="1339" w:right="720"/>
      </w:pPr>
      <w:r w:rsidRPr="00653421">
        <w:rPr>
          <w:rFonts w:eastAsia="Calibri" w:cs="Tahoma"/>
          <w:szCs w:val="18"/>
        </w:rPr>
        <w:t>Inserir despesas faturáveis;</w:t>
      </w:r>
    </w:p>
    <w:p w:rsidR="00047874" w:rsidRPr="00653421" w:rsidRDefault="00B10F79" w:rsidP="005B7886">
      <w:pPr>
        <w:numPr>
          <w:ilvl w:val="1"/>
          <w:numId w:val="106"/>
        </w:numPr>
        <w:ind w:left="1339" w:right="720"/>
      </w:pPr>
      <w:r w:rsidRPr="00653421">
        <w:rPr>
          <w:rFonts w:eastAsia="Calibri" w:cs="Tahoma"/>
          <w:szCs w:val="18"/>
        </w:rPr>
        <w:t>Gerenciar análises de desempenho e anuais, definição de metas e competências;</w:t>
      </w:r>
    </w:p>
    <w:p w:rsidR="00047874" w:rsidRPr="00653421" w:rsidRDefault="00B10F79" w:rsidP="005B7886">
      <w:pPr>
        <w:numPr>
          <w:ilvl w:val="1"/>
          <w:numId w:val="106"/>
        </w:numPr>
        <w:ind w:left="1339" w:right="720"/>
      </w:pPr>
      <w:r w:rsidRPr="00653421">
        <w:rPr>
          <w:rFonts w:eastAsia="Calibri" w:cs="Tahoma"/>
          <w:szCs w:val="18"/>
        </w:rPr>
        <w:t>Operar um ponto de varejo do dispositivo de venda;</w:t>
      </w:r>
    </w:p>
    <w:p w:rsidR="00047874" w:rsidRPr="00653421" w:rsidRDefault="00B10F79" w:rsidP="005B7886">
      <w:pPr>
        <w:numPr>
          <w:ilvl w:val="1"/>
          <w:numId w:val="106"/>
        </w:numPr>
        <w:ind w:left="1339" w:right="720"/>
      </w:pPr>
      <w:r w:rsidRPr="00653421">
        <w:rPr>
          <w:rFonts w:eastAsia="Calibri" w:cs="Tahoma"/>
          <w:szCs w:val="18"/>
        </w:rPr>
        <w:t>Aprovar faturas de fornecedores relativas a compra indireta e</w:t>
      </w:r>
    </w:p>
    <w:p w:rsidR="00047874" w:rsidRPr="00653421" w:rsidRDefault="00047874" w:rsidP="005B7886">
      <w:pPr>
        <w:numPr>
          <w:ilvl w:val="1"/>
          <w:numId w:val="106"/>
        </w:numPr>
        <w:ind w:left="1339" w:right="720"/>
      </w:pPr>
      <w:r w:rsidRPr="00653421">
        <w:rPr>
          <w:rFonts w:eastAsia="Calibri" w:cs="Tahoma"/>
          <w:szCs w:val="18"/>
        </w:rPr>
        <w:t>Usuários de CAL de Tarefa não podem executar aprovações do fluxo de trabalho.</w:t>
      </w:r>
      <w:r w:rsidRPr="00653421">
        <w:rPr>
          <w:szCs w:val="18"/>
        </w:rPr>
        <w:t xml:space="preserve"> </w:t>
      </w:r>
    </w:p>
    <w:p w:rsidR="00047874" w:rsidRPr="00653421" w:rsidRDefault="00047874" w:rsidP="00944DAD">
      <w:pPr>
        <w:autoSpaceDE w:val="0"/>
        <w:autoSpaceDN w:val="0"/>
        <w:adjustRightInd w:val="0"/>
        <w:ind w:left="1260" w:right="720"/>
      </w:pPr>
    </w:p>
    <w:p w:rsidR="00047874" w:rsidRPr="00653421" w:rsidRDefault="00047874" w:rsidP="002C1048">
      <w:pPr>
        <w:numPr>
          <w:ilvl w:val="0"/>
          <w:numId w:val="106"/>
        </w:numPr>
        <w:ind w:left="900" w:right="720"/>
      </w:pPr>
      <w:r w:rsidRPr="00653421">
        <w:rPr>
          <w:rFonts w:eastAsia="Calibri" w:cs="Tahoma"/>
          <w:b/>
          <w:szCs w:val="18"/>
        </w:rPr>
        <w:t>CAL Funcional (CAL de Tarefa + CAL Aditiva Funcional)</w:t>
      </w:r>
    </w:p>
    <w:p w:rsidR="00B10F79" w:rsidRPr="00653421" w:rsidRDefault="00B10F79" w:rsidP="005B7886">
      <w:pPr>
        <w:numPr>
          <w:ilvl w:val="1"/>
          <w:numId w:val="106"/>
        </w:numPr>
        <w:ind w:left="1339" w:right="720"/>
      </w:pPr>
      <w:r w:rsidRPr="00653421">
        <w:rPr>
          <w:rFonts w:eastAsia="Calibri" w:cs="Tahoma"/>
          <w:szCs w:val="18"/>
        </w:rPr>
        <w:t>Incluir direitos de uso da CAL de Tarefa</w:t>
      </w:r>
    </w:p>
    <w:p w:rsidR="00047874" w:rsidRPr="00653421" w:rsidRDefault="00B10F79" w:rsidP="005B7886">
      <w:pPr>
        <w:numPr>
          <w:ilvl w:val="1"/>
          <w:numId w:val="106"/>
        </w:numPr>
        <w:ind w:left="1339" w:right="720"/>
      </w:pPr>
      <w:r w:rsidRPr="00653421">
        <w:rPr>
          <w:rFonts w:eastAsia="Calibri" w:cs="Tahoma"/>
          <w:szCs w:val="18"/>
        </w:rPr>
        <w:t>Gerenciar um chão de fábrica em um ciclo de fabricação ou produção;</w:t>
      </w:r>
    </w:p>
    <w:p w:rsidR="00047874" w:rsidRPr="00653421" w:rsidRDefault="00B10F79" w:rsidP="005B7886">
      <w:pPr>
        <w:numPr>
          <w:ilvl w:val="1"/>
          <w:numId w:val="106"/>
        </w:numPr>
        <w:ind w:left="1339" w:right="720"/>
      </w:pPr>
      <w:r w:rsidRPr="00653421">
        <w:rPr>
          <w:rFonts w:eastAsia="Calibri" w:cs="Tahoma"/>
          <w:szCs w:val="18"/>
        </w:rPr>
        <w:t>Gerenciar projetos e recursos;</w:t>
      </w:r>
    </w:p>
    <w:p w:rsidR="00047874" w:rsidRPr="00653421" w:rsidRDefault="00B10F79" w:rsidP="005B7886">
      <w:pPr>
        <w:numPr>
          <w:ilvl w:val="1"/>
          <w:numId w:val="106"/>
        </w:numPr>
        <w:ind w:left="1339" w:right="720"/>
      </w:pPr>
      <w:r w:rsidRPr="00653421">
        <w:rPr>
          <w:rFonts w:eastAsia="Calibri" w:cs="Tahoma"/>
          <w:szCs w:val="18"/>
        </w:rPr>
        <w:t>Gerenciar ciclos de recursos humanos;</w:t>
      </w:r>
    </w:p>
    <w:p w:rsidR="00047874" w:rsidRPr="00653421" w:rsidRDefault="00B10F79" w:rsidP="005B7886">
      <w:pPr>
        <w:numPr>
          <w:ilvl w:val="1"/>
          <w:numId w:val="106"/>
        </w:numPr>
        <w:ind w:left="1339" w:right="720"/>
      </w:pPr>
      <w:r w:rsidRPr="00653421">
        <w:rPr>
          <w:rFonts w:eastAsia="Calibri" w:cs="Tahoma"/>
          <w:szCs w:val="18"/>
        </w:rPr>
        <w:t>Gerenciar transferências de orçamento e solicitações organizacionais;</w:t>
      </w:r>
    </w:p>
    <w:p w:rsidR="00047874" w:rsidRPr="00653421" w:rsidRDefault="00B10F79" w:rsidP="005B7886">
      <w:pPr>
        <w:numPr>
          <w:ilvl w:val="1"/>
          <w:numId w:val="106"/>
        </w:numPr>
        <w:ind w:left="1339" w:right="720"/>
      </w:pPr>
      <w:r w:rsidRPr="00653421">
        <w:rPr>
          <w:rFonts w:eastAsia="Calibri" w:cs="Tahoma"/>
          <w:szCs w:val="18"/>
        </w:rPr>
        <w:t>Criar registros de dados mestres de candidatos ou funcionários;</w:t>
      </w:r>
    </w:p>
    <w:p w:rsidR="00047874" w:rsidRPr="00653421" w:rsidRDefault="00B10F79" w:rsidP="005B7886">
      <w:pPr>
        <w:numPr>
          <w:ilvl w:val="1"/>
          <w:numId w:val="106"/>
        </w:numPr>
        <w:ind w:left="1339" w:right="720"/>
      </w:pPr>
      <w:r w:rsidRPr="00653421">
        <w:rPr>
          <w:rFonts w:eastAsia="Calibri" w:cs="Tahoma"/>
          <w:szCs w:val="18"/>
        </w:rPr>
        <w:t xml:space="preserve">Criar uma solicitação de emprego ou posição; </w:t>
      </w:r>
    </w:p>
    <w:p w:rsidR="00047874" w:rsidRPr="00653421" w:rsidRDefault="00B10F79" w:rsidP="005B7886">
      <w:pPr>
        <w:numPr>
          <w:ilvl w:val="1"/>
          <w:numId w:val="106"/>
        </w:numPr>
        <w:ind w:left="1339" w:right="720"/>
      </w:pPr>
      <w:r w:rsidRPr="00653421">
        <w:rPr>
          <w:rFonts w:eastAsia="Calibri" w:cs="Tahoma"/>
          <w:szCs w:val="18"/>
        </w:rPr>
        <w:t xml:space="preserve">Escalar ou solicitar aprovação de faturas relativas a seus clientes; </w:t>
      </w:r>
    </w:p>
    <w:p w:rsidR="00047874" w:rsidRPr="00653421" w:rsidRDefault="00B10F79" w:rsidP="005B7886">
      <w:pPr>
        <w:numPr>
          <w:ilvl w:val="1"/>
          <w:numId w:val="106"/>
        </w:numPr>
        <w:ind w:left="1339" w:right="720"/>
      </w:pPr>
      <w:r w:rsidRPr="00653421">
        <w:rPr>
          <w:rFonts w:eastAsia="Calibri" w:cs="Tahoma"/>
          <w:szCs w:val="18"/>
        </w:rPr>
        <w:t>Aprovar faturas de fornecedor ou vouchers para serviços prestados;</w:t>
      </w:r>
    </w:p>
    <w:p w:rsidR="00047874" w:rsidRPr="00653421" w:rsidRDefault="00B10F79" w:rsidP="005B7886">
      <w:pPr>
        <w:numPr>
          <w:ilvl w:val="1"/>
          <w:numId w:val="106"/>
        </w:numPr>
        <w:ind w:left="1339" w:right="720"/>
      </w:pPr>
      <w:r w:rsidRPr="00653421">
        <w:rPr>
          <w:rFonts w:eastAsia="Calibri" w:cs="Tahoma"/>
          <w:szCs w:val="18"/>
        </w:rPr>
        <w:t>Criar e gerenciar registros de dados mestre pertencentes a clientes, fornecedores, inventário de produtos ou catálogos e/ou</w:t>
      </w:r>
    </w:p>
    <w:p w:rsidR="00047874" w:rsidRPr="00653421" w:rsidRDefault="00B10F79" w:rsidP="005B7886">
      <w:pPr>
        <w:numPr>
          <w:ilvl w:val="1"/>
          <w:numId w:val="106"/>
        </w:numPr>
        <w:ind w:left="1339" w:right="720"/>
      </w:pPr>
      <w:r w:rsidRPr="00653421">
        <w:rPr>
          <w:rFonts w:eastAsia="Calibri" w:cs="Tahoma"/>
          <w:szCs w:val="18"/>
        </w:rPr>
        <w:t>Aprovar solicitações de usuários da CAL de Autoatendimento ou CAL de Tarefa.</w:t>
      </w:r>
    </w:p>
    <w:p w:rsidR="00047874" w:rsidRPr="00653421" w:rsidRDefault="00047874" w:rsidP="00B20F02">
      <w:pPr>
        <w:autoSpaceDE w:val="0"/>
        <w:autoSpaceDN w:val="0"/>
        <w:adjustRightInd w:val="0"/>
        <w:ind w:left="1260" w:right="720" w:hanging="360"/>
      </w:pPr>
    </w:p>
    <w:p w:rsidR="00047874" w:rsidRPr="00653421" w:rsidRDefault="00047874" w:rsidP="002C1048">
      <w:pPr>
        <w:numPr>
          <w:ilvl w:val="0"/>
          <w:numId w:val="106"/>
        </w:numPr>
        <w:ind w:left="900" w:right="720"/>
      </w:pPr>
      <w:r w:rsidRPr="00653421">
        <w:rPr>
          <w:rFonts w:eastAsia="Calibri" w:cs="Tahoma"/>
          <w:b/>
          <w:szCs w:val="18"/>
        </w:rPr>
        <w:t>CAL Empresarial (CAL Funcional + CAL Aditiva Empresarial)</w:t>
      </w:r>
    </w:p>
    <w:p w:rsidR="00047874" w:rsidRPr="00653421" w:rsidRDefault="00047874" w:rsidP="005B7886">
      <w:pPr>
        <w:numPr>
          <w:ilvl w:val="1"/>
          <w:numId w:val="106"/>
        </w:numPr>
        <w:ind w:left="1339" w:right="720"/>
      </w:pPr>
      <w:r w:rsidRPr="00653421">
        <w:rPr>
          <w:rFonts w:eastAsia="Calibri" w:cs="Tahoma"/>
          <w:szCs w:val="18"/>
        </w:rPr>
        <w:t>Direitos Totais de Uso</w:t>
      </w:r>
    </w:p>
    <w:p w:rsidR="00047874" w:rsidRPr="00653421" w:rsidRDefault="00047874" w:rsidP="00944DAD">
      <w:pPr>
        <w:autoSpaceDE w:val="0"/>
        <w:autoSpaceDN w:val="0"/>
        <w:adjustRightInd w:val="0"/>
        <w:ind w:left="900" w:right="720"/>
      </w:pPr>
    </w:p>
    <w:p w:rsidR="00047874" w:rsidRPr="00653421" w:rsidRDefault="00047874" w:rsidP="00944DAD">
      <w:pPr>
        <w:autoSpaceDE w:val="0"/>
        <w:autoSpaceDN w:val="0"/>
        <w:adjustRightInd w:val="0"/>
        <w:ind w:left="720" w:right="720"/>
      </w:pPr>
      <w:r w:rsidRPr="00653421">
        <w:rPr>
          <w:rFonts w:eastAsia="Calibri" w:cs="Tahoma"/>
          <w:szCs w:val="18"/>
        </w:rPr>
        <w:t xml:space="preserve">Para uma maior granularidade e compreensão das CALs exigidas, consulte o Guia de Licenciamento do Microsoft Dynamics AX 2012 R2 de julho de 2012 disponível na página </w:t>
      </w:r>
      <w:hyperlink r:id="rId51" w:history="1">
        <w:r w:rsidRPr="00653421">
          <w:rPr>
            <w:rStyle w:val="Hyperlink"/>
            <w:rFonts w:eastAsia="Calibri" w:cs="Tahoma"/>
            <w:szCs w:val="18"/>
          </w:rPr>
          <w:t>www.microsoft.com</w:t>
        </w:r>
      </w:hyperlink>
      <w:r w:rsidRPr="00653421">
        <w:rPr>
          <w:rFonts w:eastAsia="Calibri" w:cs="Tahoma"/>
          <w:szCs w:val="18"/>
        </w:rPr>
        <w:t>.</w:t>
      </w:r>
    </w:p>
    <w:p w:rsidR="00A6185F" w:rsidRPr="00653421" w:rsidRDefault="00A6185F" w:rsidP="00A6185F">
      <w:pPr>
        <w:ind w:left="720" w:hanging="180"/>
      </w:pPr>
    </w:p>
    <w:p w:rsidR="00A6185F" w:rsidRPr="00653421" w:rsidRDefault="00A6185F" w:rsidP="00C066F9">
      <w:pPr>
        <w:spacing w:after="60"/>
        <w:ind w:left="734" w:hanging="194"/>
      </w:pPr>
      <w:r w:rsidRPr="00653421">
        <w:rPr>
          <w:rFonts w:cs="Tahoma"/>
          <w:b/>
          <w:bCs/>
        </w:rPr>
        <w:t>Termos Complementares da Licença</w:t>
      </w:r>
    </w:p>
    <w:p w:rsidR="00A6185F" w:rsidRPr="00653421" w:rsidRDefault="00A6185F" w:rsidP="00C066F9">
      <w:pPr>
        <w:pStyle w:val="PURBody-Indented"/>
        <w:spacing w:after="0"/>
        <w:ind w:left="547"/>
      </w:pPr>
      <w:r w:rsidRPr="00653421">
        <w:rPr>
          <w:rFonts w:ascii="Tahoma" w:eastAsia="Calibri" w:hAnsi="Tahoma" w:cs="Tahoma"/>
          <w:sz w:val="18"/>
          <w:szCs w:val="18"/>
        </w:rPr>
        <w:t>O uso que você faz dos Componentes de Ecommerce, Componentes de Ponto de venda e de atualizações e</w:t>
      </w:r>
      <w:r w:rsidR="000F5F9A" w:rsidRPr="00653421">
        <w:rPr>
          <w:rFonts w:ascii="Tahoma" w:eastAsia="Calibri" w:hAnsi="Tahoma" w:cs="Tahoma"/>
          <w:sz w:val="18"/>
          <w:szCs w:val="18"/>
        </w:rPr>
        <w:t> </w:t>
      </w:r>
      <w:r w:rsidRPr="00653421">
        <w:rPr>
          <w:rFonts w:ascii="Tahoma" w:eastAsia="Calibri" w:hAnsi="Tahoma" w:cs="Tahoma"/>
          <w:sz w:val="18"/>
          <w:szCs w:val="18"/>
        </w:rPr>
        <w:t xml:space="preserve">complementos semelhantes para o Microsoft Dynamics AX 2012 R2 são regidos pelos Termos Complementares da Licença que você pode encontrar em: </w:t>
      </w:r>
      <w:hyperlink r:id="rId52" w:history="1">
        <w:r w:rsidRPr="00653421">
          <w:rPr>
            <w:rFonts w:ascii="Tahoma" w:eastAsia="Calibri" w:hAnsi="Tahoma" w:cs="Tahoma"/>
            <w:sz w:val="18"/>
            <w:szCs w:val="18"/>
          </w:rPr>
          <w:t>http://www.microsoft.com/en-us/dynamics/erp-buy-ax-software.aspx</w:t>
        </w:r>
      </w:hyperlink>
      <w:r w:rsidRPr="00653421">
        <w:rPr>
          <w:rFonts w:ascii="Tahoma" w:eastAsia="Calibri" w:hAnsi="Tahoma" w:cs="Tahoma"/>
          <w:sz w:val="18"/>
          <w:szCs w:val="18"/>
        </w:rPr>
        <w:t>.</w:t>
      </w:r>
    </w:p>
    <w:p w:rsidR="00047874" w:rsidRPr="00653421" w:rsidRDefault="00047874" w:rsidP="00944DAD"/>
    <w:p w:rsidR="007B699C" w:rsidRPr="00653421" w:rsidRDefault="007B699C" w:rsidP="00944DAD"/>
    <w:p w:rsidR="000F5F9A" w:rsidRPr="00653421" w:rsidRDefault="000F5F9A" w:rsidP="00944DAD"/>
    <w:p w:rsidR="000F5F9A" w:rsidRPr="00653421" w:rsidRDefault="000F5F9A" w:rsidP="00944DAD"/>
    <w:p w:rsidR="000F5F9A" w:rsidRPr="00653421" w:rsidRDefault="000F5F9A" w:rsidP="00944DAD"/>
    <w:p w:rsidR="000F5F9A" w:rsidRPr="00653421" w:rsidRDefault="000F5F9A" w:rsidP="00944DAD"/>
    <w:p w:rsidR="000F5F9A" w:rsidRPr="00653421" w:rsidRDefault="000F5F9A" w:rsidP="00944DAD"/>
    <w:p w:rsidR="000F5F9A" w:rsidRPr="00653421" w:rsidRDefault="000F5F9A" w:rsidP="00944DAD"/>
    <w:p w:rsidR="000F5F9A" w:rsidRPr="00653421" w:rsidRDefault="000F5F9A" w:rsidP="00944DAD"/>
    <w:p w:rsidR="000F5F9A" w:rsidRPr="00653421" w:rsidRDefault="000F5F9A" w:rsidP="00944DAD"/>
    <w:p w:rsidR="000F5F9A" w:rsidRPr="00653421" w:rsidRDefault="000F5F9A" w:rsidP="00944DAD"/>
    <w:p w:rsidR="000F5F9A" w:rsidRPr="00653421" w:rsidRDefault="000F5F9A" w:rsidP="00944DAD"/>
    <w:p w:rsidR="00D47417" w:rsidRPr="00653421" w:rsidRDefault="00F66FB0" w:rsidP="00D47417">
      <w:pPr>
        <w:pStyle w:val="Heading3"/>
      </w:pPr>
      <w:bookmarkStart w:id="1371" w:name="_68_Microsoft_Dynamics"/>
      <w:bookmarkStart w:id="1372" w:name="_67_Microsoft_Dynamics"/>
      <w:bookmarkStart w:id="1373" w:name="_Toc336338328"/>
      <w:bookmarkStart w:id="1374" w:name="_Toc353470973"/>
      <w:bookmarkEnd w:id="1371"/>
      <w:bookmarkEnd w:id="1372"/>
      <w:r w:rsidRPr="00653421">
        <w:rPr>
          <w:rFonts w:ascii="Tahoma" w:hAnsi="Tahoma"/>
          <w:color w:val="F66400"/>
          <w:sz w:val="22"/>
          <w:vertAlign w:val="superscript"/>
        </w:rPr>
        <w:lastRenderedPageBreak/>
        <w:t>67</w:t>
      </w:r>
      <w:r w:rsidRPr="00653421">
        <w:rPr>
          <w:rFonts w:ascii="Tahoma" w:hAnsi="Tahoma"/>
          <w:color w:val="F66400"/>
          <w:sz w:val="22"/>
        </w:rPr>
        <w:t xml:space="preserve"> Microsoft Dynamics CRM 2011</w:t>
      </w:r>
      <w:bookmarkEnd w:id="1373"/>
      <w:bookmarkEnd w:id="1374"/>
    </w:p>
    <w:bookmarkEnd w:id="1367"/>
    <w:bookmarkEnd w:id="1368"/>
    <w:p w:rsidR="00D47417" w:rsidRPr="00653421" w:rsidRDefault="00D47417" w:rsidP="00D47417"/>
    <w:p w:rsidR="00944BDF" w:rsidRPr="00653421" w:rsidRDefault="00944BDF" w:rsidP="007B699C">
      <w:pPr>
        <w:spacing w:after="60"/>
        <w:ind w:left="720"/>
      </w:pPr>
      <w:r w:rsidRPr="00653421">
        <w:rPr>
          <w:rFonts w:cs="Tahoma"/>
          <w:b/>
          <w:bCs/>
          <w:color w:val="000000"/>
          <w:szCs w:val="20"/>
        </w:rPr>
        <w:t>Caminho de Migração do Software Assurance para Microsoft Dynamics CRM 4.0</w:t>
      </w:r>
    </w:p>
    <w:p w:rsidR="00944BDF" w:rsidRPr="00653421" w:rsidRDefault="00944BDF" w:rsidP="00E62BC4">
      <w:pPr>
        <w:ind w:left="720"/>
      </w:pPr>
      <w:r w:rsidRPr="00653421">
        <w:rPr>
          <w:rFonts w:cs="Tahoma"/>
          <w:color w:val="000000"/>
          <w:szCs w:val="20"/>
        </w:rPr>
        <w:t>Os clientes que tiverem adquirido licenças do Microsoft Dynamics CRM 4.0 e tiverem cobertura do Software Assurance ativa sobre essas licenças a partir de 1° de abril de 2011 ou posteriormente poderão atualizar essas licenças conforme indicado abaixo:</w:t>
      </w:r>
    </w:p>
    <w:p w:rsidR="00944BDF" w:rsidRPr="00653421" w:rsidRDefault="00944BDF" w:rsidP="00944BDF"/>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653421" w:rsidTr="00CA14C9">
        <w:tc>
          <w:tcPr>
            <w:tcW w:w="4248" w:type="dxa"/>
            <w:tcBorders>
              <w:top w:val="single" w:sz="4" w:space="0" w:color="000000"/>
              <w:bottom w:val="single" w:sz="6" w:space="0" w:color="000000"/>
            </w:tcBorders>
            <w:shd w:val="clear" w:color="auto" w:fill="FABF8F"/>
          </w:tcPr>
          <w:p w:rsidR="00944BDF" w:rsidRPr="00653421" w:rsidRDefault="00944BDF" w:rsidP="000F5F9A">
            <w:pPr>
              <w:jc w:val="center"/>
              <w:rPr>
                <w:rFonts w:cs="Tahoma"/>
                <w:b/>
                <w:color w:val="000000"/>
                <w:szCs w:val="20"/>
              </w:rPr>
            </w:pPr>
            <w:r w:rsidRPr="00653421">
              <w:rPr>
                <w:rFonts w:cs="Tahoma"/>
                <w:b/>
                <w:color w:val="000000"/>
                <w:szCs w:val="20"/>
              </w:rPr>
              <w:t>Licenças do Microsoft Dynamics CRM</w:t>
            </w:r>
            <w:r w:rsidR="000F5F9A" w:rsidRPr="00653421">
              <w:rPr>
                <w:rFonts w:cs="Tahoma"/>
                <w:b/>
                <w:color w:val="000000"/>
                <w:szCs w:val="20"/>
              </w:rPr>
              <w:t> </w:t>
            </w:r>
            <w:r w:rsidRPr="00653421">
              <w:rPr>
                <w:rFonts w:cs="Tahoma"/>
                <w:b/>
                <w:color w:val="000000"/>
                <w:szCs w:val="20"/>
              </w:rPr>
              <w:t>4.0</w:t>
            </w:r>
            <w:r w:rsidR="000F5F9A" w:rsidRPr="00653421">
              <w:rPr>
                <w:rFonts w:cs="Tahoma"/>
                <w:b/>
                <w:color w:val="000000"/>
                <w:szCs w:val="20"/>
              </w:rPr>
              <w:t> </w:t>
            </w:r>
            <w:r w:rsidRPr="00653421">
              <w:rPr>
                <w:rFonts w:cs="Tahoma"/>
                <w:b/>
                <w:color w:val="000000"/>
                <w:szCs w:val="20"/>
              </w:rPr>
              <w:t>Qualificadas</w:t>
            </w:r>
          </w:p>
        </w:tc>
        <w:tc>
          <w:tcPr>
            <w:tcW w:w="4212" w:type="dxa"/>
            <w:tcBorders>
              <w:top w:val="single" w:sz="4" w:space="0" w:color="000000"/>
              <w:bottom w:val="single" w:sz="6" w:space="0" w:color="000000"/>
            </w:tcBorders>
            <w:shd w:val="clear" w:color="auto" w:fill="FABF8F"/>
          </w:tcPr>
          <w:p w:rsidR="00944BDF" w:rsidRPr="00653421" w:rsidRDefault="00944BDF" w:rsidP="00E6206A">
            <w:pPr>
              <w:jc w:val="center"/>
              <w:rPr>
                <w:rFonts w:cs="Tahoma"/>
                <w:b/>
                <w:color w:val="000000"/>
                <w:szCs w:val="20"/>
              </w:rPr>
            </w:pPr>
            <w:r w:rsidRPr="00653421">
              <w:rPr>
                <w:rFonts w:cs="Tahoma"/>
                <w:b/>
                <w:color w:val="000000"/>
                <w:szCs w:val="20"/>
              </w:rPr>
              <w:t>Licenças do CRM 2011 Correspondentes</w:t>
            </w:r>
          </w:p>
        </w:tc>
      </w:tr>
      <w:tr w:rsidR="00944BDF" w:rsidRPr="00653421" w:rsidTr="00CA14C9">
        <w:tc>
          <w:tcPr>
            <w:tcW w:w="4248" w:type="dxa"/>
            <w:tcBorders>
              <w:top w:val="single" w:sz="6" w:space="0" w:color="000000"/>
            </w:tcBorders>
            <w:shd w:val="clear" w:color="auto" w:fill="FFFFFF"/>
          </w:tcPr>
          <w:p w:rsidR="00944BDF" w:rsidRPr="00653421" w:rsidRDefault="00944BDF" w:rsidP="00E6206A">
            <w:pPr>
              <w:rPr>
                <w:rFonts w:cs="Tahoma"/>
                <w:color w:val="000000"/>
                <w:szCs w:val="20"/>
              </w:rPr>
            </w:pPr>
            <w:r w:rsidRPr="00653421">
              <w:rPr>
                <w:rFonts w:cs="Tahoma"/>
                <w:color w:val="000000"/>
                <w:szCs w:val="20"/>
              </w:rPr>
              <w:t>CAL Aditiva de Uso Total para Microsoft Dynamics CRM 4.0</w:t>
            </w:r>
          </w:p>
        </w:tc>
        <w:tc>
          <w:tcPr>
            <w:tcW w:w="4212" w:type="dxa"/>
            <w:tcBorders>
              <w:top w:val="single" w:sz="6" w:space="0" w:color="000000"/>
            </w:tcBorders>
            <w:shd w:val="clear" w:color="auto" w:fill="FFFFFF"/>
          </w:tcPr>
          <w:p w:rsidR="00944BDF" w:rsidRPr="00653421" w:rsidRDefault="00944BDF" w:rsidP="00E6206A">
            <w:pPr>
              <w:rPr>
                <w:rFonts w:cs="Tahoma"/>
                <w:color w:val="000000"/>
                <w:szCs w:val="20"/>
              </w:rPr>
            </w:pPr>
            <w:r w:rsidRPr="00653421">
              <w:rPr>
                <w:rFonts w:cs="Tahoma"/>
                <w:color w:val="000000"/>
                <w:szCs w:val="20"/>
              </w:rPr>
              <w:t>1 CAL Aditiva de Uso Total para Microsoft Dynamics CRM 2011</w:t>
            </w:r>
          </w:p>
        </w:tc>
      </w:tr>
      <w:tr w:rsidR="00944BDF" w:rsidRPr="00653421" w:rsidTr="00CA14C9">
        <w:tc>
          <w:tcPr>
            <w:tcW w:w="4248" w:type="dxa"/>
            <w:tcBorders>
              <w:top w:val="single" w:sz="6" w:space="0" w:color="000000"/>
            </w:tcBorders>
            <w:shd w:val="clear" w:color="auto" w:fill="FFFFFF"/>
          </w:tcPr>
          <w:p w:rsidR="00944BDF" w:rsidRPr="00653421" w:rsidRDefault="00944BDF" w:rsidP="00E6206A">
            <w:pPr>
              <w:rPr>
                <w:rFonts w:cs="Tahoma"/>
                <w:color w:val="000000"/>
                <w:szCs w:val="20"/>
              </w:rPr>
            </w:pPr>
            <w:r w:rsidRPr="00653421">
              <w:rPr>
                <w:rFonts w:cs="Tahoma"/>
                <w:color w:val="000000"/>
                <w:szCs w:val="20"/>
              </w:rPr>
              <w:t>CAL Limitada para Microsoft Dynamics CRM 4.0</w:t>
            </w:r>
          </w:p>
        </w:tc>
        <w:tc>
          <w:tcPr>
            <w:tcW w:w="4212" w:type="dxa"/>
            <w:tcBorders>
              <w:top w:val="single" w:sz="6" w:space="0" w:color="000000"/>
            </w:tcBorders>
            <w:shd w:val="clear" w:color="auto" w:fill="FFFFFF"/>
          </w:tcPr>
          <w:p w:rsidR="00944BDF" w:rsidRPr="00653421" w:rsidRDefault="00944BDF" w:rsidP="000F5F9A">
            <w:pPr>
              <w:rPr>
                <w:rFonts w:cs="Tahoma"/>
                <w:color w:val="000000"/>
                <w:szCs w:val="20"/>
              </w:rPr>
            </w:pPr>
            <w:r w:rsidRPr="00653421">
              <w:rPr>
                <w:rFonts w:cs="Tahoma"/>
                <w:color w:val="000000"/>
                <w:szCs w:val="20"/>
              </w:rPr>
              <w:t>Uma CAL do Microsoft Dynamics CRM Server 2011 Employee Self Service e Uma CAL (aditiva</w:t>
            </w:r>
            <w:r w:rsidR="000F5F9A" w:rsidRPr="00653421">
              <w:rPr>
                <w:rFonts w:cs="Tahoma"/>
                <w:color w:val="000000"/>
                <w:szCs w:val="20"/>
              </w:rPr>
              <w:t> </w:t>
            </w:r>
            <w:r w:rsidRPr="00653421">
              <w:rPr>
                <w:rFonts w:cs="Tahoma"/>
                <w:color w:val="000000"/>
                <w:szCs w:val="20"/>
              </w:rPr>
              <w:t>à</w:t>
            </w:r>
            <w:r w:rsidR="000F5F9A" w:rsidRPr="00653421">
              <w:rPr>
                <w:rFonts w:cs="Tahoma"/>
                <w:color w:val="000000"/>
                <w:szCs w:val="20"/>
              </w:rPr>
              <w:t> </w:t>
            </w:r>
            <w:r w:rsidRPr="00653421">
              <w:rPr>
                <w:rFonts w:cs="Tahoma"/>
                <w:color w:val="000000"/>
                <w:szCs w:val="20"/>
              </w:rPr>
              <w:t>CAL de Uso Limitado)</w:t>
            </w:r>
          </w:p>
        </w:tc>
      </w:tr>
      <w:tr w:rsidR="00944BDF" w:rsidRPr="00653421" w:rsidTr="00CA14C9">
        <w:tc>
          <w:tcPr>
            <w:tcW w:w="4248" w:type="dxa"/>
            <w:tcBorders>
              <w:top w:val="single" w:sz="6" w:space="0" w:color="000000"/>
            </w:tcBorders>
            <w:shd w:val="clear" w:color="auto" w:fill="FFFFFF"/>
          </w:tcPr>
          <w:p w:rsidR="00944BDF" w:rsidRPr="00653421" w:rsidRDefault="00944BDF" w:rsidP="00E6206A">
            <w:r w:rsidRPr="00653421">
              <w:rPr>
                <w:rFonts w:cs="Tahoma"/>
                <w:color w:val="000000"/>
                <w:szCs w:val="20"/>
              </w:rPr>
              <w:t>External Connector Limitado do Microsoft Dynamics CRM 4.0</w:t>
            </w:r>
          </w:p>
          <w:p w:rsidR="00944BDF" w:rsidRPr="00653421" w:rsidRDefault="00944BDF" w:rsidP="00E6206A">
            <w:pPr>
              <w:rPr>
                <w:rFonts w:cs="Tahoma"/>
                <w:color w:val="000000"/>
                <w:szCs w:val="20"/>
              </w:rPr>
            </w:pPr>
            <w:r w:rsidRPr="00653421">
              <w:rPr>
                <w:rFonts w:cs="Tahoma"/>
                <w:color w:val="000000"/>
                <w:szCs w:val="20"/>
              </w:rPr>
              <w:t xml:space="preserve">(separado </w:t>
            </w:r>
            <w:r w:rsidRPr="00653421">
              <w:rPr>
                <w:color w:val="000000"/>
              </w:rPr>
              <w:t>OU como parte do External Connector</w:t>
            </w:r>
            <w:r w:rsidRPr="00653421">
              <w:rPr>
                <w:rFonts w:cs="Tahoma"/>
                <w:color w:val="000000"/>
                <w:szCs w:val="18"/>
              </w:rPr>
              <w:t xml:space="preserve"> </w:t>
            </w:r>
            <w:r w:rsidRPr="00653421">
              <w:rPr>
                <w:color w:val="000000"/>
              </w:rPr>
              <w:t>Limitado do Microsoft Dynamics CRM 4.0 e</w:t>
            </w:r>
            <w:r w:rsidR="005A52A2" w:rsidRPr="00653421">
              <w:rPr>
                <w:color w:val="000000"/>
              </w:rPr>
              <w:t xml:space="preserve"> </w:t>
            </w:r>
            <w:r w:rsidRPr="00653421">
              <w:rPr>
                <w:color w:val="000000"/>
              </w:rPr>
              <w:t>conjunto do External Connector Adicional de Uso Completo do Microsoft Dynamics CRM 4.0)</w:t>
            </w:r>
          </w:p>
        </w:tc>
        <w:tc>
          <w:tcPr>
            <w:tcW w:w="4212" w:type="dxa"/>
            <w:tcBorders>
              <w:top w:val="single" w:sz="6" w:space="0" w:color="000000"/>
            </w:tcBorders>
            <w:shd w:val="clear" w:color="auto" w:fill="FFFFFF"/>
          </w:tcPr>
          <w:p w:rsidR="00944BDF" w:rsidRPr="00653421" w:rsidRDefault="00944BDF" w:rsidP="005B7886">
            <w:pPr>
              <w:rPr>
                <w:rFonts w:cs="Tahoma"/>
                <w:color w:val="000000"/>
                <w:szCs w:val="20"/>
              </w:rPr>
            </w:pPr>
            <w:r w:rsidRPr="00653421">
              <w:rPr>
                <w:rFonts w:cs="Tahoma"/>
                <w:color w:val="000000"/>
                <w:szCs w:val="20"/>
              </w:rPr>
              <w:t>1 Conector Externo para Microsoft Dynamics CRM</w:t>
            </w:r>
            <w:r w:rsidR="005B7886" w:rsidRPr="00653421">
              <w:rPr>
                <w:rFonts w:cs="Tahoma"/>
                <w:color w:val="000000"/>
                <w:szCs w:val="20"/>
              </w:rPr>
              <w:t> </w:t>
            </w:r>
            <w:r w:rsidRPr="00653421">
              <w:rPr>
                <w:rFonts w:cs="Tahoma"/>
                <w:color w:val="000000"/>
                <w:szCs w:val="20"/>
              </w:rPr>
              <w:t>2011</w:t>
            </w:r>
            <w:r w:rsidRPr="00653421">
              <w:rPr>
                <w:rFonts w:cs="Tahoma"/>
                <w:color w:val="000000"/>
                <w:szCs w:val="20"/>
                <w:vertAlign w:val="superscript"/>
              </w:rPr>
              <w:t>1</w:t>
            </w:r>
          </w:p>
        </w:tc>
      </w:tr>
      <w:tr w:rsidR="00944BDF" w:rsidRPr="00653421" w:rsidTr="00CA14C9">
        <w:tc>
          <w:tcPr>
            <w:tcW w:w="4248" w:type="dxa"/>
            <w:tcBorders>
              <w:top w:val="single" w:sz="6" w:space="0" w:color="000000"/>
            </w:tcBorders>
            <w:shd w:val="clear" w:color="auto" w:fill="FFFFFF"/>
          </w:tcPr>
          <w:p w:rsidR="00944BDF" w:rsidRPr="00653421" w:rsidRDefault="00944BDF" w:rsidP="00E6206A">
            <w:pPr>
              <w:rPr>
                <w:rFonts w:cs="Tahoma"/>
                <w:color w:val="000000"/>
                <w:szCs w:val="20"/>
              </w:rPr>
            </w:pPr>
            <w:r w:rsidRPr="00653421">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653421" w:rsidRDefault="00944BDF" w:rsidP="005B7886">
            <w:pPr>
              <w:rPr>
                <w:rFonts w:cs="Tahoma"/>
                <w:color w:val="000000"/>
                <w:szCs w:val="20"/>
              </w:rPr>
            </w:pPr>
            <w:r w:rsidRPr="00653421">
              <w:rPr>
                <w:rFonts w:cs="Tahoma"/>
                <w:color w:val="000000"/>
                <w:szCs w:val="20"/>
              </w:rPr>
              <w:t>1 Microsoft Dynamics CRM Workgroup Server</w:t>
            </w:r>
            <w:r w:rsidR="005B7886" w:rsidRPr="00653421">
              <w:rPr>
                <w:rFonts w:cs="Tahoma"/>
                <w:color w:val="000000"/>
                <w:szCs w:val="20"/>
              </w:rPr>
              <w:t> </w:t>
            </w:r>
            <w:r w:rsidRPr="00653421">
              <w:rPr>
                <w:rFonts w:cs="Tahoma"/>
                <w:color w:val="000000"/>
                <w:szCs w:val="20"/>
              </w:rPr>
              <w:t>2011</w:t>
            </w:r>
          </w:p>
        </w:tc>
      </w:tr>
      <w:tr w:rsidR="00944BDF" w:rsidRPr="00653421" w:rsidTr="00CA14C9">
        <w:tc>
          <w:tcPr>
            <w:tcW w:w="4248" w:type="dxa"/>
            <w:shd w:val="clear" w:color="auto" w:fill="FFFFFF"/>
          </w:tcPr>
          <w:p w:rsidR="00944BDF" w:rsidRPr="00653421" w:rsidRDefault="00944BDF" w:rsidP="00E6206A">
            <w:pPr>
              <w:rPr>
                <w:rFonts w:cs="Tahoma"/>
                <w:color w:val="000000"/>
                <w:szCs w:val="20"/>
              </w:rPr>
            </w:pPr>
            <w:r w:rsidRPr="00653421">
              <w:rPr>
                <w:rFonts w:cs="Tahoma"/>
                <w:color w:val="000000"/>
                <w:szCs w:val="20"/>
              </w:rPr>
              <w:t>Microsoft Dynamics CRM 4.0 Professional Server</w:t>
            </w:r>
          </w:p>
        </w:tc>
        <w:tc>
          <w:tcPr>
            <w:tcW w:w="4212" w:type="dxa"/>
            <w:shd w:val="clear" w:color="auto" w:fill="FFFFFF"/>
          </w:tcPr>
          <w:p w:rsidR="00944BDF" w:rsidRPr="00653421" w:rsidRDefault="00944BDF" w:rsidP="00E6206A">
            <w:pPr>
              <w:rPr>
                <w:rFonts w:cs="Tahoma"/>
                <w:color w:val="000000"/>
                <w:szCs w:val="20"/>
              </w:rPr>
            </w:pPr>
            <w:r w:rsidRPr="00653421">
              <w:rPr>
                <w:rFonts w:cs="Tahoma"/>
                <w:color w:val="000000"/>
                <w:szCs w:val="20"/>
              </w:rPr>
              <w:t>1 Microsoft Dynamics CRM Server 2011</w:t>
            </w:r>
          </w:p>
        </w:tc>
      </w:tr>
      <w:tr w:rsidR="00944BDF" w:rsidRPr="00653421" w:rsidTr="00CA14C9">
        <w:tc>
          <w:tcPr>
            <w:tcW w:w="4248" w:type="dxa"/>
            <w:shd w:val="clear" w:color="auto" w:fill="FFFFFF"/>
          </w:tcPr>
          <w:p w:rsidR="00944BDF" w:rsidRPr="00653421" w:rsidRDefault="00944BDF" w:rsidP="00E6206A">
            <w:pPr>
              <w:rPr>
                <w:rFonts w:cs="Tahoma"/>
                <w:color w:val="000000"/>
                <w:szCs w:val="20"/>
              </w:rPr>
            </w:pPr>
            <w:r w:rsidRPr="00653421">
              <w:rPr>
                <w:rFonts w:cs="Tahoma"/>
                <w:color w:val="000000"/>
                <w:szCs w:val="20"/>
              </w:rPr>
              <w:t>Microsoft Dynamics CRM 4.0 Enterprise Server</w:t>
            </w:r>
          </w:p>
        </w:tc>
        <w:tc>
          <w:tcPr>
            <w:tcW w:w="4212" w:type="dxa"/>
            <w:shd w:val="clear" w:color="auto" w:fill="FFFFFF"/>
          </w:tcPr>
          <w:p w:rsidR="00944BDF" w:rsidRPr="00653421" w:rsidRDefault="00944BDF" w:rsidP="00E6206A">
            <w:pPr>
              <w:rPr>
                <w:rFonts w:cs="Tahoma"/>
                <w:color w:val="000000"/>
                <w:szCs w:val="20"/>
              </w:rPr>
            </w:pPr>
            <w:r w:rsidRPr="00653421">
              <w:rPr>
                <w:rFonts w:cs="Tahoma"/>
                <w:color w:val="000000"/>
                <w:szCs w:val="20"/>
              </w:rPr>
              <w:t>1 Microsoft Dynamics CRM Server 2011</w:t>
            </w:r>
          </w:p>
        </w:tc>
      </w:tr>
    </w:tbl>
    <w:p w:rsidR="00944BDF" w:rsidRPr="00653421" w:rsidRDefault="00944BDF" w:rsidP="00944BDF">
      <w:pPr>
        <w:ind w:left="540"/>
      </w:pPr>
    </w:p>
    <w:p w:rsidR="00944BDF" w:rsidRPr="00653421" w:rsidRDefault="00944BDF" w:rsidP="00E62BC4">
      <w:pPr>
        <w:ind w:left="810"/>
      </w:pPr>
      <w:r w:rsidRPr="00653421">
        <w:rPr>
          <w:rFonts w:cs="Tahoma"/>
          <w:i/>
          <w:color w:val="000000"/>
          <w:sz w:val="16"/>
          <w:szCs w:val="18"/>
          <w:bdr w:val="none" w:sz="0" w:space="0" w:color="auto" w:frame="1"/>
          <w:vertAlign w:val="superscript"/>
        </w:rPr>
        <w:t>1</w:t>
      </w:r>
      <w:r w:rsidRPr="00653421">
        <w:rPr>
          <w:i/>
          <w:color w:val="000000"/>
          <w:sz w:val="16"/>
          <w:bdr w:val="none" w:sz="0" w:space="0" w:color="auto" w:frame="1"/>
        </w:rPr>
        <w:t xml:space="preserve">O Conector Externo para CRM 2011 é a única licença de conector externo disponível nesta versão. </w:t>
      </w:r>
      <w:r w:rsidRPr="00653421">
        <w:rPr>
          <w:i/>
          <w:color w:val="000000"/>
          <w:sz w:val="16"/>
        </w:rPr>
        <w:t>Os clientes terão os direitos de atualização para uma licença do Conector Externo para CRM 2011 para cada licença qualificada do External Connector Limitado do CRM 4.0 que tiverem, se essa licença do External Connector Limitado do CRM 4.0 foi usada sozinha para permitir acesso à funcionalidade correspondente a essa licença base ou se foi usada em conjunto com o External Connector Adicional de Uso Completo do CRM 4.0 para permitir acesso a toda a Funcionalidade do CRM 4.0. Os</w:t>
      </w:r>
      <w:r w:rsidR="000F5F9A" w:rsidRPr="00653421">
        <w:rPr>
          <w:i/>
          <w:color w:val="000000"/>
          <w:sz w:val="16"/>
        </w:rPr>
        <w:t> </w:t>
      </w:r>
      <w:r w:rsidRPr="00653421">
        <w:rPr>
          <w:i/>
          <w:color w:val="000000"/>
          <w:sz w:val="16"/>
        </w:rPr>
        <w:t>clientes terão um número de licenças do Conector Externo para CRM Server 2011 igual ao número de licenças do External Connector Limitado do CRM 4.0 que possuírem</w:t>
      </w:r>
      <w:r w:rsidRPr="00653421">
        <w:rPr>
          <w:rFonts w:cs="Tahoma"/>
          <w:i/>
          <w:color w:val="000000"/>
          <w:sz w:val="16"/>
          <w:szCs w:val="18"/>
          <w:bdr w:val="none" w:sz="0" w:space="0" w:color="auto" w:frame="1"/>
        </w:rPr>
        <w:t>.</w:t>
      </w:r>
    </w:p>
    <w:p w:rsidR="00944BDF" w:rsidRPr="00653421" w:rsidRDefault="00944BDF" w:rsidP="00E62BC4">
      <w:pPr>
        <w:ind w:left="720"/>
      </w:pPr>
    </w:p>
    <w:p w:rsidR="00944BDF" w:rsidRPr="00653421" w:rsidRDefault="00944BDF" w:rsidP="00E62BC4">
      <w:pPr>
        <w:ind w:left="720"/>
      </w:pPr>
      <w:r w:rsidRPr="00653421">
        <w:rPr>
          <w:rFonts w:cs="Tahoma"/>
          <w:color w:val="000000"/>
          <w:szCs w:val="20"/>
        </w:rPr>
        <w:t>O direito de uso do software Microsoft Dynamics CRM 2011 pelos clientes é comprovado por esta nota de</w:t>
      </w:r>
      <w:r w:rsidR="000F5F9A" w:rsidRPr="00653421">
        <w:rPr>
          <w:rFonts w:cs="Tahoma"/>
          <w:color w:val="000000"/>
          <w:szCs w:val="20"/>
        </w:rPr>
        <w:t> </w:t>
      </w:r>
      <w:r w:rsidRPr="00653421">
        <w:rPr>
          <w:rFonts w:cs="Tahoma"/>
          <w:color w:val="000000"/>
          <w:szCs w:val="20"/>
        </w:rPr>
        <w:t>condição do produto e por evidências de suas licenças e seu Software Assurance correspondentes ao Microsoft Dynamics CRM 4.0.</w:t>
      </w:r>
      <w:r w:rsidR="005A52A2" w:rsidRPr="00653421">
        <w:rPr>
          <w:rFonts w:cs="Tahoma"/>
          <w:color w:val="000000"/>
          <w:szCs w:val="20"/>
        </w:rPr>
        <w:t xml:space="preserve"> </w:t>
      </w:r>
      <w:r w:rsidRPr="00653421">
        <w:rPr>
          <w:rFonts w:cs="Tahoma"/>
          <w:color w:val="000000"/>
          <w:szCs w:val="20"/>
        </w:rPr>
        <w:t>O direito de um cliente de usar o software Microsoft Dynamics CRM 2011 sob esta outorga de migração está sujeito aos termos e às condições do respectivo contrato de licenciamento por volume.</w:t>
      </w:r>
      <w:r w:rsidR="005A52A2" w:rsidRPr="00653421">
        <w:rPr>
          <w:rFonts w:cs="Tahoma"/>
          <w:color w:val="000000"/>
          <w:szCs w:val="20"/>
        </w:rPr>
        <w:t xml:space="preserve"> </w:t>
      </w:r>
      <w:r w:rsidRPr="00653421">
        <w:rPr>
          <w:rFonts w:cs="Tahoma"/>
          <w:color w:val="000000"/>
          <w:szCs w:val="20"/>
        </w:rPr>
        <w:t>Esse</w:t>
      </w:r>
      <w:r w:rsidRPr="00653421">
        <w:rPr>
          <w:rStyle w:val="CommentReference"/>
          <w:sz w:val="18"/>
          <w:szCs w:val="20"/>
        </w:rPr>
        <w:t xml:space="preserve"> </w:t>
      </w:r>
      <w:r w:rsidRPr="00653421">
        <w:rPr>
          <w:rFonts w:cs="Tahoma"/>
          <w:color w:val="000000"/>
          <w:szCs w:val="20"/>
        </w:rPr>
        <w:t>direito cessará em caso de término ou rescisão do direito de usar o Microsoft Dynamics CRM 4.0 de acordo com as licenças do Microsoft Dynamics CRM 4.0 qualificadas correspondentes.</w:t>
      </w:r>
      <w:r w:rsidR="005A52A2" w:rsidRPr="00653421">
        <w:rPr>
          <w:rFonts w:cs="Tahoma"/>
          <w:color w:val="000000"/>
          <w:szCs w:val="20"/>
        </w:rPr>
        <w:t xml:space="preserve"> </w:t>
      </w:r>
      <w:r w:rsidRPr="00653421">
        <w:rPr>
          <w:rFonts w:cs="Tahoma"/>
          <w:color w:val="000000"/>
          <w:szCs w:val="20"/>
        </w:rPr>
        <w:t>Ao término da cobertura do SA sobre as licenças do Microsoft Dynamics CRM 4.0, o cliente poderá renovar o SA</w:t>
      </w:r>
      <w:r w:rsidR="000F5F9A" w:rsidRPr="00653421">
        <w:rPr>
          <w:rFonts w:cs="Tahoma"/>
          <w:color w:val="000000"/>
          <w:szCs w:val="20"/>
        </w:rPr>
        <w:t> </w:t>
      </w:r>
      <w:r w:rsidRPr="00653421">
        <w:rPr>
          <w:rFonts w:cs="Tahoma"/>
          <w:color w:val="000000"/>
          <w:szCs w:val="20"/>
        </w:rPr>
        <w:t>para as licenças outorgadas do Microsoft Dynamics CRM 2011.</w:t>
      </w:r>
      <w:r w:rsidR="005A52A2" w:rsidRPr="00653421">
        <w:rPr>
          <w:rFonts w:cs="Tahoma"/>
          <w:color w:val="000000"/>
          <w:szCs w:val="20"/>
        </w:rPr>
        <w:t xml:space="preserve"> </w:t>
      </w:r>
    </w:p>
    <w:p w:rsidR="00944BDF" w:rsidRPr="00653421" w:rsidRDefault="00944BDF" w:rsidP="00E62BC4">
      <w:pPr>
        <w:ind w:left="720"/>
      </w:pPr>
    </w:p>
    <w:p w:rsidR="00944BDF" w:rsidRPr="00653421" w:rsidRDefault="00944BDF" w:rsidP="00E62BC4">
      <w:pPr>
        <w:ind w:left="720"/>
      </w:pPr>
      <w:r w:rsidRPr="00653421">
        <w:rPr>
          <w:rFonts w:cs="Tahoma"/>
          <w:color w:val="000000"/>
        </w:rPr>
        <w:t>Essa oferta também é válida para clientes cujas licenças do Microsoft Dynamics CRM 4.0 tiverem sido obtidas como resultado de uma migração de outro produto, contanto que o cliente tenha um SA ativo para</w:t>
      </w:r>
      <w:r w:rsidR="000F5F9A" w:rsidRPr="00653421">
        <w:rPr>
          <w:rFonts w:cs="Tahoma"/>
          <w:color w:val="000000"/>
        </w:rPr>
        <w:t> </w:t>
      </w:r>
      <w:r w:rsidRPr="00653421">
        <w:rPr>
          <w:rFonts w:cs="Tahoma"/>
          <w:color w:val="000000"/>
        </w:rPr>
        <w:t>essas licenças a partir de 1° de abril de 2011.</w:t>
      </w:r>
    </w:p>
    <w:p w:rsidR="00944BDF" w:rsidRPr="00653421" w:rsidRDefault="00944BDF" w:rsidP="00E62BC4">
      <w:pPr>
        <w:ind w:left="720"/>
      </w:pPr>
    </w:p>
    <w:p w:rsidR="00944BDF" w:rsidRPr="00653421" w:rsidRDefault="00944BDF" w:rsidP="00E62BC4">
      <w:pPr>
        <w:pStyle w:val="EndnoteText"/>
        <w:ind w:left="720"/>
      </w:pPr>
      <w:r w:rsidRPr="00653421">
        <w:rPr>
          <w:rFonts w:ascii="Tahoma" w:hAnsi="Tahoma" w:cs="Tahoma"/>
          <w:bCs/>
          <w:sz w:val="18"/>
          <w:szCs w:val="18"/>
        </w:rPr>
        <w:t>Para os clientes de Contratos Enterprise qualificados para essas licenças gratuitas e esses direitos conforme descrito acima, as licenças do Microsoft Dynamics CRM 4.0 adquiridas como parte do processo anual de adequação (“true-up”) de um cliente durante o prazo do registro atual também serão licenças qualificadas.</w:t>
      </w:r>
    </w:p>
    <w:p w:rsidR="00944BDF" w:rsidRPr="00653421" w:rsidRDefault="00944BDF" w:rsidP="00E62BC4">
      <w:pPr>
        <w:pStyle w:val="EndnoteText"/>
        <w:ind w:left="720"/>
      </w:pPr>
    </w:p>
    <w:p w:rsidR="00944BDF" w:rsidRPr="00653421" w:rsidRDefault="00944BDF" w:rsidP="00E62BC4">
      <w:pPr>
        <w:pStyle w:val="EndnoteText"/>
        <w:ind w:left="720"/>
        <w:rPr>
          <w:highlight w:val="yellow"/>
        </w:rPr>
      </w:pPr>
      <w:r w:rsidRPr="00653421">
        <w:rPr>
          <w:rFonts w:ascii="Tahoma" w:hAnsi="Tahoma" w:cs="Tahoma"/>
          <w:bCs/>
          <w:color w:val="000000"/>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5A52A2" w:rsidRPr="00653421">
        <w:rPr>
          <w:rFonts w:ascii="Tahoma" w:hAnsi="Tahoma" w:cs="Tahoma"/>
          <w:bCs/>
          <w:color w:val="000000"/>
          <w:sz w:val="18"/>
          <w:szCs w:val="18"/>
        </w:rPr>
        <w:t xml:space="preserve"> </w:t>
      </w:r>
      <w:r w:rsidRPr="00653421">
        <w:rPr>
          <w:rFonts w:ascii="Tahoma" w:hAnsi="Tahoma" w:cs="Tahoma"/>
          <w:bCs/>
          <w:color w:val="000000"/>
          <w:sz w:val="18"/>
          <w:szCs w:val="18"/>
        </w:rPr>
        <w:t>Esses direitos só se tornarão permanentes se a opção de compra (“buy-out”) for exercida e continuarão sujeitos a todos os termos e condições do contrato de licença do cliente.</w:t>
      </w:r>
    </w:p>
    <w:p w:rsidR="00944BDF" w:rsidRPr="00653421" w:rsidRDefault="00944BDF" w:rsidP="00E62BC4">
      <w:pPr>
        <w:ind w:left="720"/>
      </w:pPr>
    </w:p>
    <w:p w:rsidR="000F5F9A" w:rsidRPr="00653421" w:rsidRDefault="000F5F9A" w:rsidP="00E62BC4">
      <w:pPr>
        <w:ind w:left="720"/>
      </w:pPr>
    </w:p>
    <w:p w:rsidR="000F5F9A" w:rsidRPr="00653421" w:rsidRDefault="000F5F9A" w:rsidP="00E62BC4">
      <w:pPr>
        <w:ind w:left="720"/>
      </w:pPr>
    </w:p>
    <w:p w:rsidR="000F5F9A" w:rsidRPr="00653421" w:rsidRDefault="000F5F9A" w:rsidP="00E62BC4">
      <w:pPr>
        <w:ind w:left="720"/>
      </w:pPr>
    </w:p>
    <w:p w:rsidR="00944BDF" w:rsidRPr="00653421" w:rsidRDefault="00944BDF" w:rsidP="007B699C">
      <w:pPr>
        <w:spacing w:after="60"/>
        <w:ind w:left="720"/>
      </w:pPr>
      <w:r w:rsidRPr="00653421">
        <w:rPr>
          <w:rFonts w:cs="Tahoma"/>
          <w:b/>
          <w:bCs/>
          <w:szCs w:val="20"/>
        </w:rPr>
        <w:lastRenderedPageBreak/>
        <w:t xml:space="preserve">Direitos de Downgrade para Microsoft Dynamics CRM 2011 </w:t>
      </w:r>
    </w:p>
    <w:p w:rsidR="00944BDF" w:rsidRPr="00653421" w:rsidRDefault="00944BDF" w:rsidP="00E62BC4">
      <w:pPr>
        <w:ind w:left="720"/>
      </w:pPr>
      <w:r w:rsidRPr="00653421">
        <w:rPr>
          <w:rFonts w:cs="Tahoma"/>
          <w:szCs w:val="20"/>
        </w:rPr>
        <w:t>Os clientes com licenças do Microsoft Dynamics CRM 2011 podem usar o Microsoft Dynamics CRM 4.0 no</w:t>
      </w:r>
      <w:r w:rsidR="005B7886" w:rsidRPr="00653421">
        <w:rPr>
          <w:rFonts w:cs="Tahoma"/>
          <w:szCs w:val="20"/>
        </w:rPr>
        <w:t> </w:t>
      </w:r>
      <w:r w:rsidRPr="00653421">
        <w:rPr>
          <w:rFonts w:cs="Tahoma"/>
          <w:szCs w:val="20"/>
        </w:rPr>
        <w:t>lugar do Microsoft Dynamics CRM 2011. Essas licenças do Microsoft Dynamics CRM 2011 podem ser implantadas como licenças CRM 4.0 da seguinte maneira:</w:t>
      </w:r>
    </w:p>
    <w:p w:rsidR="00944BDF" w:rsidRPr="00653421" w:rsidRDefault="00944BDF" w:rsidP="00944BDF">
      <w:pPr>
        <w:ind w:left="900"/>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653421"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653421" w:rsidRDefault="00944BDF" w:rsidP="005B7886">
            <w:pPr>
              <w:ind w:left="360"/>
              <w:rPr>
                <w:rFonts w:cs="Tahoma"/>
                <w:b/>
                <w:bCs/>
                <w:szCs w:val="20"/>
              </w:rPr>
            </w:pPr>
            <w:r w:rsidRPr="00653421">
              <w:rPr>
                <w:rFonts w:cs="Tahoma"/>
                <w:b/>
                <w:bCs/>
                <w:szCs w:val="20"/>
              </w:rPr>
              <w:t>Licença do Microsoft Dynamics CRM</w:t>
            </w:r>
            <w:r w:rsidR="005B7886" w:rsidRPr="00653421">
              <w:rPr>
                <w:rFonts w:cs="Tahoma"/>
                <w:b/>
                <w:bCs/>
                <w:szCs w:val="20"/>
              </w:rPr>
              <w:t> </w:t>
            </w:r>
            <w:r w:rsidRPr="00653421">
              <w:rPr>
                <w:rFonts w:cs="Tahoma"/>
                <w:b/>
                <w:bCs/>
                <w:szCs w:val="20"/>
              </w:rPr>
              <w:t>2011 Qualificada</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653421" w:rsidRDefault="00944BDF" w:rsidP="00E6206A">
            <w:pPr>
              <w:ind w:left="360"/>
              <w:rPr>
                <w:rFonts w:cs="Tahoma"/>
                <w:b/>
                <w:bCs/>
                <w:szCs w:val="20"/>
              </w:rPr>
            </w:pPr>
            <w:r w:rsidRPr="00653421">
              <w:rPr>
                <w:rFonts w:cs="Tahoma"/>
                <w:b/>
                <w:bCs/>
                <w:szCs w:val="20"/>
              </w:rPr>
              <w:t>Licenças do CRM 4.0 Correspondentes</w:t>
            </w:r>
          </w:p>
        </w:tc>
      </w:tr>
      <w:tr w:rsidR="00944BDF" w:rsidRPr="00653421"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653421" w:rsidRDefault="00944BDF" w:rsidP="00E6206A">
            <w:pPr>
              <w:rPr>
                <w:rFonts w:cs="Tahoma"/>
                <w:color w:val="000000"/>
                <w:szCs w:val="18"/>
              </w:rPr>
            </w:pPr>
            <w:r w:rsidRPr="00653421">
              <w:rPr>
                <w:rFonts w:cs="Tahoma"/>
                <w:szCs w:val="18"/>
              </w:rPr>
              <w:t>CAL Aditiva de Uso Total para Microsoft Dynamics CRM 2011</w:t>
            </w:r>
          </w:p>
        </w:tc>
        <w:tc>
          <w:tcPr>
            <w:tcW w:w="4140" w:type="dxa"/>
            <w:tcBorders>
              <w:top w:val="nil"/>
              <w:left w:val="nil"/>
              <w:bottom w:val="single" w:sz="8" w:space="0" w:color="000000"/>
              <w:right w:val="single" w:sz="8" w:space="0" w:color="000000"/>
            </w:tcBorders>
            <w:vAlign w:val="center"/>
          </w:tcPr>
          <w:p w:rsidR="00944BDF" w:rsidRPr="00653421" w:rsidRDefault="00944BDF" w:rsidP="00E6206A">
            <w:pPr>
              <w:pStyle w:val="ColorfulList-Accent11"/>
              <w:spacing w:line="276" w:lineRule="auto"/>
              <w:ind w:left="288" w:right="162" w:hanging="180"/>
              <w:rPr>
                <w:rFonts w:ascii="Tahoma" w:hAnsi="Tahoma" w:cs="Tahoma"/>
                <w:sz w:val="18"/>
                <w:szCs w:val="18"/>
              </w:rPr>
            </w:pPr>
            <w:r w:rsidRPr="00653421">
              <w:rPr>
                <w:rFonts w:ascii="Tahoma" w:hAnsi="Tahoma" w:cs="Tahoma"/>
                <w:sz w:val="18"/>
                <w:szCs w:val="18"/>
              </w:rPr>
              <w:t>1 CAL Aditiva de Uso Total para Microsoft Dynamics CRM 4.0</w:t>
            </w:r>
          </w:p>
        </w:tc>
      </w:tr>
      <w:tr w:rsidR="00944BDF" w:rsidRPr="00653421"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653421" w:rsidRDefault="00944BDF" w:rsidP="00E6206A">
            <w:pPr>
              <w:rPr>
                <w:rFonts w:cs="Tahoma"/>
                <w:color w:val="000000"/>
                <w:szCs w:val="18"/>
              </w:rPr>
            </w:pPr>
            <w:r w:rsidRPr="00653421">
              <w:rPr>
                <w:rFonts w:cs="Tahoma"/>
                <w:szCs w:val="18"/>
              </w:rPr>
              <w:t>CAL Aditiva de Uso Limitado para Microsoft Dynamics CRM 2011</w:t>
            </w:r>
          </w:p>
        </w:tc>
        <w:tc>
          <w:tcPr>
            <w:tcW w:w="4140" w:type="dxa"/>
            <w:tcBorders>
              <w:top w:val="nil"/>
              <w:left w:val="nil"/>
              <w:bottom w:val="single" w:sz="8" w:space="0" w:color="000000"/>
              <w:right w:val="single" w:sz="8" w:space="0" w:color="000000"/>
            </w:tcBorders>
            <w:vAlign w:val="center"/>
          </w:tcPr>
          <w:p w:rsidR="00944BDF" w:rsidRPr="00653421" w:rsidRDefault="00944BDF" w:rsidP="000F5F9A">
            <w:pPr>
              <w:pStyle w:val="ColorfulList-Accent11"/>
              <w:spacing w:line="276" w:lineRule="auto"/>
              <w:ind w:left="288" w:right="162" w:hanging="180"/>
              <w:rPr>
                <w:rFonts w:ascii="Tahoma" w:hAnsi="Tahoma" w:cs="Tahoma"/>
                <w:sz w:val="18"/>
                <w:szCs w:val="18"/>
              </w:rPr>
            </w:pPr>
            <w:r w:rsidRPr="00653421">
              <w:rPr>
                <w:rFonts w:ascii="Tahoma" w:hAnsi="Tahoma" w:cs="Tahoma"/>
                <w:sz w:val="18"/>
                <w:szCs w:val="18"/>
              </w:rPr>
              <w:t>1 CAL Limitada para Microsoft Dynamics CRM</w:t>
            </w:r>
            <w:r w:rsidR="000F5F9A" w:rsidRPr="00653421">
              <w:rPr>
                <w:rFonts w:ascii="Tahoma" w:hAnsi="Tahoma" w:cs="Tahoma"/>
                <w:sz w:val="18"/>
                <w:szCs w:val="18"/>
              </w:rPr>
              <w:t> </w:t>
            </w:r>
            <w:r w:rsidRPr="00653421">
              <w:rPr>
                <w:rFonts w:ascii="Tahoma" w:hAnsi="Tahoma" w:cs="Tahoma"/>
                <w:sz w:val="18"/>
                <w:szCs w:val="18"/>
              </w:rPr>
              <w:t>4.0</w:t>
            </w:r>
          </w:p>
        </w:tc>
      </w:tr>
      <w:tr w:rsidR="00944BDF" w:rsidRPr="00653421"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653421" w:rsidRDefault="00944BDF" w:rsidP="000F5F9A">
            <w:pPr>
              <w:rPr>
                <w:rFonts w:cs="Tahoma"/>
                <w:szCs w:val="18"/>
              </w:rPr>
            </w:pPr>
            <w:r w:rsidRPr="00653421">
              <w:rPr>
                <w:rFonts w:cs="Tahoma"/>
                <w:szCs w:val="18"/>
              </w:rPr>
              <w:t>Conector Externo para Microsoft Dynamics CRM</w:t>
            </w:r>
            <w:r w:rsidR="000F5F9A" w:rsidRPr="00653421">
              <w:rPr>
                <w:rFonts w:cs="Tahoma"/>
                <w:szCs w:val="18"/>
              </w:rPr>
              <w:t> </w:t>
            </w:r>
            <w:r w:rsidRPr="00653421">
              <w:rPr>
                <w:rFonts w:cs="Tahoma"/>
                <w:szCs w:val="18"/>
              </w:rPr>
              <w:t>2011</w:t>
            </w:r>
          </w:p>
        </w:tc>
        <w:tc>
          <w:tcPr>
            <w:tcW w:w="4140" w:type="dxa"/>
            <w:tcBorders>
              <w:top w:val="nil"/>
              <w:left w:val="nil"/>
              <w:bottom w:val="single" w:sz="8" w:space="0" w:color="000000"/>
              <w:right w:val="single" w:sz="8" w:space="0" w:color="000000"/>
            </w:tcBorders>
            <w:vAlign w:val="center"/>
          </w:tcPr>
          <w:p w:rsidR="00944BDF" w:rsidRPr="00653421" w:rsidRDefault="00944BDF" w:rsidP="00E6206A">
            <w:pPr>
              <w:pStyle w:val="ColorfulList-Accent11"/>
              <w:spacing w:line="276" w:lineRule="auto"/>
              <w:ind w:left="288" w:right="162" w:hanging="180"/>
              <w:rPr>
                <w:rFonts w:ascii="Tahoma" w:hAnsi="Tahoma" w:cs="Tahoma"/>
                <w:sz w:val="18"/>
                <w:szCs w:val="18"/>
              </w:rPr>
            </w:pPr>
            <w:r w:rsidRPr="00653421">
              <w:rPr>
                <w:rFonts w:ascii="Tahoma" w:hAnsi="Tahoma" w:cs="Tahoma"/>
                <w:sz w:val="18"/>
                <w:szCs w:val="18"/>
              </w:rPr>
              <w:t>1 External Connector Limitado do Microsoft Dynamics CRM 4.0</w:t>
            </w:r>
          </w:p>
          <w:p w:rsidR="00944BDF" w:rsidRPr="00653421" w:rsidRDefault="00944BDF" w:rsidP="00E6206A">
            <w:pPr>
              <w:pStyle w:val="ColorfulList-Accent11"/>
              <w:spacing w:line="276" w:lineRule="auto"/>
              <w:ind w:left="288" w:right="162" w:hanging="180"/>
              <w:jc w:val="center"/>
              <w:rPr>
                <w:rFonts w:ascii="Tahoma" w:hAnsi="Tahoma" w:cs="Tahoma"/>
                <w:sz w:val="18"/>
                <w:szCs w:val="18"/>
              </w:rPr>
            </w:pPr>
            <w:r w:rsidRPr="00653421">
              <w:rPr>
                <w:rFonts w:ascii="Tahoma" w:hAnsi="Tahoma" w:cs="Tahoma"/>
                <w:sz w:val="18"/>
                <w:szCs w:val="18"/>
              </w:rPr>
              <w:t>E</w:t>
            </w:r>
          </w:p>
          <w:p w:rsidR="00944BDF" w:rsidRPr="00653421" w:rsidRDefault="00944BDF" w:rsidP="00E6206A">
            <w:pPr>
              <w:pStyle w:val="ColorfulList-Accent11"/>
              <w:spacing w:line="276" w:lineRule="auto"/>
              <w:ind w:left="288" w:right="162" w:hanging="180"/>
              <w:rPr>
                <w:rFonts w:ascii="Tahoma" w:hAnsi="Tahoma" w:cs="Tahoma"/>
                <w:sz w:val="18"/>
                <w:szCs w:val="18"/>
              </w:rPr>
            </w:pPr>
            <w:r w:rsidRPr="00653421">
              <w:rPr>
                <w:rFonts w:ascii="Tahoma" w:hAnsi="Tahoma" w:cs="Tahoma"/>
                <w:sz w:val="18"/>
                <w:szCs w:val="18"/>
              </w:rPr>
              <w:t>1 External Connector Adicional de Uso Completo do Microsoft Dynamics CRM 4.0</w:t>
            </w:r>
          </w:p>
        </w:tc>
      </w:tr>
      <w:tr w:rsidR="00944BDF" w:rsidRPr="00653421"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653421" w:rsidRDefault="00944BDF" w:rsidP="00E6206A">
            <w:pPr>
              <w:rPr>
                <w:rFonts w:cs="Tahoma"/>
                <w:color w:val="000000"/>
                <w:szCs w:val="18"/>
              </w:rPr>
            </w:pPr>
            <w:r w:rsidRPr="00653421">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653421" w:rsidRDefault="00944BDF" w:rsidP="00E6206A">
            <w:pPr>
              <w:pStyle w:val="ColorfulList-Accent11"/>
              <w:spacing w:line="276" w:lineRule="auto"/>
              <w:ind w:left="288" w:right="162" w:hanging="180"/>
              <w:rPr>
                <w:rFonts w:ascii="Tahoma" w:hAnsi="Tahoma" w:cs="Tahoma"/>
                <w:sz w:val="18"/>
                <w:szCs w:val="18"/>
              </w:rPr>
            </w:pPr>
            <w:r w:rsidRPr="00653421">
              <w:rPr>
                <w:rFonts w:ascii="Tahoma" w:hAnsi="Tahoma" w:cs="Tahoma"/>
                <w:sz w:val="18"/>
                <w:szCs w:val="18"/>
              </w:rPr>
              <w:t>1 Microsoft Dynamics CRM 4.0 Professional</w:t>
            </w:r>
            <w:r w:rsidR="000F5F9A" w:rsidRPr="00653421">
              <w:rPr>
                <w:rFonts w:ascii="Tahoma" w:hAnsi="Tahoma" w:cs="Tahoma"/>
                <w:sz w:val="18"/>
                <w:szCs w:val="18"/>
              </w:rPr>
              <w:t> </w:t>
            </w:r>
            <w:r w:rsidRPr="00653421">
              <w:rPr>
                <w:rFonts w:ascii="Tahoma" w:hAnsi="Tahoma" w:cs="Tahoma"/>
                <w:sz w:val="18"/>
                <w:szCs w:val="18"/>
              </w:rPr>
              <w:t xml:space="preserve">Server </w:t>
            </w:r>
          </w:p>
          <w:p w:rsidR="00944BDF" w:rsidRPr="00653421" w:rsidRDefault="00944BDF" w:rsidP="00E6206A">
            <w:pPr>
              <w:pStyle w:val="ColorfulList-Accent11"/>
              <w:spacing w:line="276" w:lineRule="auto"/>
              <w:ind w:left="288" w:right="162" w:hanging="180"/>
              <w:jc w:val="center"/>
              <w:rPr>
                <w:rFonts w:ascii="Tahoma" w:hAnsi="Tahoma" w:cs="Tahoma"/>
                <w:sz w:val="18"/>
                <w:szCs w:val="18"/>
              </w:rPr>
            </w:pPr>
            <w:r w:rsidRPr="00653421">
              <w:rPr>
                <w:rFonts w:ascii="Tahoma" w:hAnsi="Tahoma" w:cs="Tahoma"/>
                <w:sz w:val="18"/>
                <w:szCs w:val="18"/>
              </w:rPr>
              <w:t>OU</w:t>
            </w:r>
          </w:p>
          <w:p w:rsidR="00944BDF" w:rsidRPr="00653421" w:rsidRDefault="00944BDF" w:rsidP="00287758">
            <w:pPr>
              <w:pStyle w:val="ColorfulList-Accent11"/>
              <w:spacing w:line="276" w:lineRule="auto"/>
              <w:ind w:left="288" w:right="162" w:hanging="180"/>
              <w:rPr>
                <w:rFonts w:ascii="Tahoma" w:hAnsi="Tahoma" w:cs="Tahoma"/>
                <w:sz w:val="18"/>
                <w:szCs w:val="18"/>
              </w:rPr>
            </w:pPr>
            <w:r w:rsidRPr="00653421">
              <w:rPr>
                <w:rFonts w:ascii="Tahoma" w:hAnsi="Tahoma" w:cs="Tahoma"/>
                <w:sz w:val="18"/>
                <w:szCs w:val="18"/>
              </w:rPr>
              <w:t xml:space="preserve">1 Microsoft Dynamics CRM 4.0 Enterprise Server </w:t>
            </w:r>
          </w:p>
        </w:tc>
      </w:tr>
      <w:tr w:rsidR="00944BDF" w:rsidRPr="00653421"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653421" w:rsidRDefault="00944BDF" w:rsidP="00E6206A">
            <w:pPr>
              <w:rPr>
                <w:rFonts w:cs="Tahoma"/>
                <w:color w:val="000000"/>
                <w:szCs w:val="18"/>
              </w:rPr>
            </w:pPr>
            <w:r w:rsidRPr="00653421">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44BDF" w:rsidRPr="00653421" w:rsidRDefault="00944BDF" w:rsidP="00E6206A">
            <w:pPr>
              <w:pStyle w:val="ColorfulList-Accent11"/>
              <w:spacing w:line="276" w:lineRule="auto"/>
              <w:ind w:left="288" w:right="162" w:hanging="180"/>
              <w:rPr>
                <w:rFonts w:ascii="Tahoma" w:hAnsi="Tahoma" w:cs="Tahoma"/>
                <w:sz w:val="18"/>
                <w:szCs w:val="18"/>
              </w:rPr>
            </w:pPr>
            <w:r w:rsidRPr="00653421">
              <w:rPr>
                <w:rFonts w:ascii="Tahoma" w:hAnsi="Tahoma" w:cs="Tahoma"/>
                <w:sz w:val="18"/>
                <w:szCs w:val="18"/>
              </w:rPr>
              <w:t xml:space="preserve">1 Microsoft Dynamics CRM 4.0 Workgroup Server </w:t>
            </w:r>
          </w:p>
        </w:tc>
      </w:tr>
    </w:tbl>
    <w:p w:rsidR="00944BDF" w:rsidRPr="00653421" w:rsidRDefault="00944BDF" w:rsidP="00944BDF">
      <w:r w:rsidRPr="00653421">
        <w:rPr>
          <w:rFonts w:cs="Tahoma"/>
          <w:szCs w:val="20"/>
        </w:rPr>
        <w:t xml:space="preserve"> </w:t>
      </w:r>
    </w:p>
    <w:p w:rsidR="00BF7FDE" w:rsidRPr="00653421" w:rsidRDefault="00944BDF" w:rsidP="00586FCE">
      <w:pPr>
        <w:ind w:left="720"/>
      </w:pPr>
      <w:r w:rsidRPr="00653421">
        <w:rPr>
          <w:rFonts w:cs="Tahoma"/>
          <w:szCs w:val="20"/>
        </w:rPr>
        <w:t xml:space="preserve">O direito de o cliente usar o Microsoft Dynamics CRM 4.0 está sujeito aos termos e às condições do contrato de licença do cliente, aos direitos de uso de produto do Microsoft Dynamics CRM 4.0 e a estes termos. Esse direito expirará em caso de término ou rescisão do direito de usar o Microsoft Dynamics CRM 2011 sob as licenças do Microsoft Dynamics CRM 2011 qualificadas. </w:t>
      </w:r>
    </w:p>
    <w:p w:rsidR="00944BDF" w:rsidRPr="00653421" w:rsidRDefault="00944BDF" w:rsidP="00944BDF">
      <w:pPr>
        <w:ind w:left="540"/>
      </w:pPr>
    </w:p>
    <w:p w:rsidR="00944BDF" w:rsidRPr="00653421" w:rsidRDefault="00944BDF" w:rsidP="007B699C">
      <w:pPr>
        <w:spacing w:after="60"/>
        <w:ind w:left="720"/>
      </w:pPr>
      <w:r w:rsidRPr="00653421">
        <w:rPr>
          <w:rFonts w:cs="Tahoma"/>
          <w:b/>
          <w:bCs/>
          <w:color w:val="000000"/>
          <w:szCs w:val="20"/>
        </w:rPr>
        <w:t>Opções de Licença da Licença de Acesso para Cliente e External Connector</w:t>
      </w:r>
    </w:p>
    <w:p w:rsidR="00944BDF" w:rsidRPr="00653421" w:rsidRDefault="00944BDF" w:rsidP="00E62BC4">
      <w:pPr>
        <w:ind w:left="720"/>
      </w:pPr>
      <w:r w:rsidRPr="00653421">
        <w:rPr>
          <w:rFonts w:cs="Tahoma"/>
          <w:color w:val="000000"/>
          <w:szCs w:val="20"/>
        </w:rPr>
        <w:t>Os usos permitidos sob as CALs diferentes do Microsoft Dynamics CRM 2011 são destacados na tabela a</w:t>
      </w:r>
      <w:r w:rsidR="000F5F9A" w:rsidRPr="00653421">
        <w:rPr>
          <w:rFonts w:cs="Tahoma"/>
          <w:color w:val="000000"/>
          <w:szCs w:val="20"/>
        </w:rPr>
        <w:t> </w:t>
      </w:r>
      <w:r w:rsidRPr="00653421">
        <w:rPr>
          <w:rFonts w:cs="Tahoma"/>
          <w:color w:val="000000"/>
          <w:szCs w:val="20"/>
        </w:rPr>
        <w:t>seguir.</w:t>
      </w:r>
      <w:r w:rsidR="005A52A2" w:rsidRPr="00653421">
        <w:rPr>
          <w:rFonts w:cs="Tahoma"/>
          <w:color w:val="000000"/>
          <w:szCs w:val="20"/>
        </w:rPr>
        <w:t xml:space="preserve"> </w:t>
      </w:r>
      <w:r w:rsidRPr="00653421">
        <w:rPr>
          <w:rFonts w:cs="Tahoma"/>
          <w:color w:val="000000"/>
          <w:szCs w:val="20"/>
        </w:rPr>
        <w:t>A CAL Limitada e a CAL Completa são ofertas que incluem várias licenças.</w:t>
      </w:r>
    </w:p>
    <w:p w:rsidR="00AC2872" w:rsidRPr="00653421" w:rsidRDefault="00AC2872" w:rsidP="00AC2872">
      <w:pPr>
        <w:pStyle w:val="ListParagraph"/>
        <w:ind w:left="0"/>
      </w:pPr>
    </w:p>
    <w:tbl>
      <w:tblPr>
        <w:tblW w:w="8878" w:type="dxa"/>
        <w:tblInd w:w="828" w:type="dxa"/>
        <w:tblLayout w:type="fixed"/>
        <w:tblCellMar>
          <w:left w:w="58" w:type="dxa"/>
          <w:right w:w="58" w:type="dxa"/>
        </w:tblCellMar>
        <w:tblLook w:val="04A0" w:firstRow="1" w:lastRow="0" w:firstColumn="1" w:lastColumn="0" w:noHBand="0" w:noVBand="1"/>
      </w:tblPr>
      <w:tblGrid>
        <w:gridCol w:w="2272"/>
        <w:gridCol w:w="954"/>
        <w:gridCol w:w="1071"/>
        <w:gridCol w:w="1152"/>
        <w:gridCol w:w="1107"/>
        <w:gridCol w:w="1134"/>
        <w:gridCol w:w="1188"/>
      </w:tblGrid>
      <w:tr w:rsidR="00AC2872" w:rsidRPr="00653421" w:rsidTr="00185EA2">
        <w:trPr>
          <w:trHeight w:val="226"/>
        </w:trPr>
        <w:tc>
          <w:tcPr>
            <w:tcW w:w="2272" w:type="dxa"/>
            <w:tcBorders>
              <w:top w:val="single" w:sz="4" w:space="0" w:color="auto"/>
              <w:left w:val="single" w:sz="4" w:space="0" w:color="auto"/>
              <w:bottom w:val="single" w:sz="4" w:space="0" w:color="auto"/>
              <w:right w:val="single" w:sz="4" w:space="0" w:color="auto"/>
            </w:tcBorders>
            <w:shd w:val="clear" w:color="auto" w:fill="FABF8F"/>
          </w:tcPr>
          <w:p w:rsidR="00AC2872" w:rsidRPr="00653421" w:rsidRDefault="00AC2872" w:rsidP="00AC2872">
            <w:pPr>
              <w:pStyle w:val="TableHeading"/>
              <w:rPr>
                <w:rFonts w:ascii="Tahoma" w:hAnsi="Tahoma" w:cs="Tahoma"/>
                <w:color w:val="000000"/>
                <w:sz w:val="18"/>
                <w:szCs w:val="18"/>
              </w:rPr>
            </w:pPr>
            <w:r w:rsidRPr="00653421">
              <w:rPr>
                <w:rFonts w:ascii="Tahoma" w:hAnsi="Tahoma" w:cs="Tahoma"/>
                <w:color w:val="000000"/>
                <w:sz w:val="18"/>
                <w:szCs w:val="18"/>
              </w:rPr>
              <w:t>Direito de Uso</w:t>
            </w:r>
          </w:p>
        </w:tc>
        <w:tc>
          <w:tcPr>
            <w:tcW w:w="954" w:type="dxa"/>
            <w:tcBorders>
              <w:top w:val="single" w:sz="4" w:space="0" w:color="auto"/>
              <w:left w:val="single" w:sz="4" w:space="0" w:color="auto"/>
              <w:bottom w:val="single" w:sz="4" w:space="0" w:color="auto"/>
              <w:right w:val="single" w:sz="4" w:space="0" w:color="auto"/>
            </w:tcBorders>
            <w:shd w:val="clear" w:color="auto" w:fill="FABF8F"/>
          </w:tcPr>
          <w:p w:rsidR="00AC2872" w:rsidRPr="00653421" w:rsidRDefault="00AC2872" w:rsidP="00AC2872">
            <w:pPr>
              <w:pStyle w:val="TableHeading"/>
              <w:rPr>
                <w:rFonts w:ascii="Tahoma" w:hAnsi="Tahoma" w:cs="Tahoma"/>
                <w:color w:val="000000"/>
                <w:sz w:val="18"/>
                <w:szCs w:val="18"/>
              </w:rPr>
            </w:pPr>
            <w:r w:rsidRPr="00653421">
              <w:rPr>
                <w:rFonts w:ascii="Tahoma" w:hAnsi="Tahoma" w:cs="Tahoma"/>
                <w:color w:val="000000"/>
                <w:sz w:val="18"/>
                <w:szCs w:val="18"/>
              </w:rPr>
              <w:t>CAL do ESS</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AC2872" w:rsidRPr="00653421" w:rsidRDefault="00AC2872" w:rsidP="00AC2872">
            <w:pPr>
              <w:pStyle w:val="TableHeading"/>
              <w:rPr>
                <w:rFonts w:ascii="Tahoma" w:hAnsi="Tahoma" w:cs="Tahoma"/>
                <w:color w:val="000000"/>
                <w:sz w:val="18"/>
                <w:szCs w:val="18"/>
              </w:rPr>
            </w:pPr>
            <w:r w:rsidRPr="00653421">
              <w:rPr>
                <w:rFonts w:ascii="Tahoma" w:hAnsi="Tahoma" w:cs="Tahoma"/>
                <w:color w:val="000000"/>
                <w:sz w:val="18"/>
                <w:szCs w:val="18"/>
              </w:rPr>
              <w:t>CAL Limitada</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AC2872" w:rsidRPr="00653421" w:rsidRDefault="00AC2872" w:rsidP="00AC2872">
            <w:pPr>
              <w:pStyle w:val="TableHeading"/>
              <w:rPr>
                <w:rFonts w:ascii="Tahoma" w:hAnsi="Tahoma" w:cs="Tahoma"/>
                <w:color w:val="000000"/>
                <w:sz w:val="18"/>
                <w:szCs w:val="18"/>
              </w:rPr>
            </w:pPr>
            <w:r w:rsidRPr="00653421">
              <w:rPr>
                <w:rFonts w:ascii="Tahoma" w:hAnsi="Tahoma" w:cs="Tahoma"/>
                <w:color w:val="000000"/>
                <w:sz w:val="18"/>
                <w:szCs w:val="18"/>
              </w:rPr>
              <w:t>CAL Completa</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AC2872" w:rsidRPr="00653421" w:rsidRDefault="00AC2872" w:rsidP="00AC2872">
            <w:pPr>
              <w:pStyle w:val="TableHeading"/>
              <w:rPr>
                <w:rFonts w:ascii="Tahoma" w:hAnsi="Tahoma" w:cs="Tahoma"/>
                <w:color w:val="000000"/>
                <w:sz w:val="18"/>
                <w:szCs w:val="18"/>
              </w:rPr>
            </w:pPr>
            <w:r w:rsidRPr="00653421">
              <w:rPr>
                <w:rFonts w:ascii="Tahoma" w:hAnsi="Tahoma" w:cs="Tahoma"/>
                <w:color w:val="000000"/>
                <w:sz w:val="18"/>
                <w:szCs w:val="18"/>
              </w:rPr>
              <w:t>CAL Adicional de Uso Limitado</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AC2872" w:rsidRPr="00653421" w:rsidRDefault="00AC2872" w:rsidP="00AC2872">
            <w:pPr>
              <w:pStyle w:val="TableHeading"/>
              <w:rPr>
                <w:rFonts w:ascii="Tahoma" w:hAnsi="Tahoma" w:cs="Tahoma"/>
                <w:color w:val="000000"/>
                <w:sz w:val="18"/>
                <w:szCs w:val="18"/>
              </w:rPr>
            </w:pPr>
            <w:r w:rsidRPr="00653421">
              <w:rPr>
                <w:rFonts w:ascii="Tahoma" w:hAnsi="Tahoma" w:cs="Tahoma"/>
                <w:color w:val="000000"/>
                <w:sz w:val="18"/>
                <w:szCs w:val="18"/>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AC2872" w:rsidRPr="00653421" w:rsidRDefault="00AC2872" w:rsidP="00AC2872">
            <w:pPr>
              <w:pStyle w:val="TableHeading"/>
              <w:rPr>
                <w:rFonts w:ascii="Tahoma" w:hAnsi="Tahoma" w:cs="Tahoma"/>
                <w:color w:val="000000"/>
                <w:sz w:val="18"/>
                <w:szCs w:val="18"/>
              </w:rPr>
            </w:pPr>
            <w:r w:rsidRPr="00653421">
              <w:rPr>
                <w:rFonts w:ascii="Tahoma" w:hAnsi="Tahoma" w:cs="Tahoma"/>
                <w:color w:val="000000"/>
                <w:sz w:val="18"/>
                <w:szCs w:val="18"/>
              </w:rPr>
              <w:t>External Connector</w:t>
            </w:r>
          </w:p>
        </w:tc>
      </w:tr>
      <w:tr w:rsidR="00AC2872" w:rsidRPr="00653421" w:rsidTr="00185EA2">
        <w:trPr>
          <w:trHeight w:val="199"/>
        </w:trPr>
        <w:tc>
          <w:tcPr>
            <w:tcW w:w="2272" w:type="dxa"/>
            <w:tcBorders>
              <w:top w:val="single" w:sz="4" w:space="0" w:color="auto"/>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Contas usando Acesso à API</w:t>
            </w:r>
          </w:p>
        </w:tc>
        <w:tc>
          <w:tcPr>
            <w:tcW w:w="954" w:type="dxa"/>
            <w:tcBorders>
              <w:top w:val="single" w:sz="4" w:space="0" w:color="auto"/>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4" w:space="0" w:color="auto"/>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4" w:space="0" w:color="auto"/>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4" w:space="0" w:color="auto"/>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4" w:space="0" w:color="auto"/>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4" w:space="0" w:color="auto"/>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rPr>
          <w:trHeight w:val="352"/>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lang w:val="fr-FR"/>
              </w:rPr>
            </w:pPr>
            <w:r w:rsidRPr="00653421">
              <w:rPr>
                <w:rFonts w:ascii="Tahoma" w:eastAsia="Calibri" w:hAnsi="Tahoma" w:cs="Tahoma"/>
                <w:sz w:val="18"/>
                <w:szCs w:val="18"/>
              </w:rPr>
              <w:t>Criar Contatos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Casos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Leads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Atividades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Notas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registros de entidades personalizados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Contas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185EA2" w:rsidRPr="00653421" w:rsidTr="00BA1576">
        <w:trPr>
          <w:trHeight w:val="226"/>
        </w:trPr>
        <w:tc>
          <w:tcPr>
            <w:tcW w:w="227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lastRenderedPageBreak/>
              <w:t>Direito de Uso</w:t>
            </w:r>
          </w:p>
        </w:tc>
        <w:tc>
          <w:tcPr>
            <w:tcW w:w="95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do ESS</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Limitada</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Completa</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Adicional de Uso Limitado</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External Connector</w:t>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Contatos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Casos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Leads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Atividades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Notas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registros de entidades personalizados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Contas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Contatos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Casos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Leads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Atividades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Notas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registros de entidades personalizados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Contas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Contatos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Casos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Leads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Atividades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Notas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registros de entidades personalizados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Contas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Contatos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Casos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Leads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Atividades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185EA2" w:rsidRPr="00653421" w:rsidTr="00BA1576">
        <w:trPr>
          <w:trHeight w:val="226"/>
        </w:trPr>
        <w:tc>
          <w:tcPr>
            <w:tcW w:w="227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lastRenderedPageBreak/>
              <w:t>Direito de Uso</w:t>
            </w:r>
          </w:p>
        </w:tc>
        <w:tc>
          <w:tcPr>
            <w:tcW w:w="95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do ESS</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Limitada</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Completa</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Adicional de Uso Limitado</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External Connector</w:t>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Notas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registros de entidades personalizados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Contas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Contatos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Casos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Leads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Atividades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registros de entidades personalizados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Contas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Contatos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Casos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Leads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Atividades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registros de entidades personalizados usando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Contas usando os clientes do Microsoft Dynamics CRM</w:t>
            </w:r>
            <w:r w:rsidRPr="00653421">
              <w:rPr>
                <w:rFonts w:ascii="Tahoma" w:eastAsia="Calibri" w:hAnsi="Tahoma" w:cs="Tahoma"/>
                <w:b/>
                <w:sz w:val="18"/>
                <w:szCs w:val="18"/>
                <w:vertAlign w:val="superscript"/>
              </w:rPr>
              <w:t>1</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Contatos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Casos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Leads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Atividades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Notas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Contas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185EA2" w:rsidRPr="00653421" w:rsidTr="00BA1576">
        <w:trPr>
          <w:trHeight w:val="226"/>
        </w:trPr>
        <w:tc>
          <w:tcPr>
            <w:tcW w:w="227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lastRenderedPageBreak/>
              <w:t>Direito de Uso</w:t>
            </w:r>
          </w:p>
        </w:tc>
        <w:tc>
          <w:tcPr>
            <w:tcW w:w="95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do ESS</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Limitada</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Completa</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Adicional de Uso Limitado</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External Connector</w:t>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Contatos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Casos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Leads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Atividades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Notas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Contas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Contatos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Casos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Leads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Atividades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Notas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Contas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Contatos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Casos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Leads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Atividades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Notas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185EA2" w:rsidRPr="00653421" w:rsidTr="00BA1576">
        <w:trPr>
          <w:trHeight w:val="226"/>
        </w:trPr>
        <w:tc>
          <w:tcPr>
            <w:tcW w:w="227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lastRenderedPageBreak/>
              <w:t>Direito de Uso</w:t>
            </w:r>
          </w:p>
        </w:tc>
        <w:tc>
          <w:tcPr>
            <w:tcW w:w="95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do ESS</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Limitada</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Completa</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Adicional de Uso Limitado</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External Connector</w:t>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Contas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Contatos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Casos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Leads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Atividades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Notas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Contas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Contatos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Casos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Leads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Atividades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rPr>
          <w:trHeight w:val="309"/>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Contas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Contatos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Casos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Leads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Atividades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ascii="Segoe" w:eastAsia="Calibri" w:hAnsi="Segoe"/>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registros de entidades personalizados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185EA2" w:rsidRPr="00653421" w:rsidTr="00BA1576">
        <w:trPr>
          <w:trHeight w:val="226"/>
        </w:trPr>
        <w:tc>
          <w:tcPr>
            <w:tcW w:w="227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lastRenderedPageBreak/>
              <w:t>Direito de Uso</w:t>
            </w:r>
          </w:p>
        </w:tc>
        <w:tc>
          <w:tcPr>
            <w:tcW w:w="95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do ESS</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Limitada</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Completa</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Adicional de Uso Limitado</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185EA2">
            <w:pPr>
              <w:pStyle w:val="TableHeading"/>
              <w:keepNext/>
              <w:keepLines/>
              <w:rPr>
                <w:rFonts w:ascii="Tahoma" w:hAnsi="Tahoma" w:cs="Tahoma"/>
                <w:color w:val="000000"/>
                <w:sz w:val="18"/>
                <w:szCs w:val="18"/>
              </w:rPr>
            </w:pPr>
            <w:r w:rsidRPr="00653421">
              <w:rPr>
                <w:rFonts w:ascii="Tahoma" w:hAnsi="Tahoma" w:cs="Tahoma"/>
                <w:color w:val="000000"/>
                <w:sz w:val="18"/>
                <w:szCs w:val="18"/>
              </w:rPr>
              <w:t>External Connector</w:t>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registros de entidades personalizados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privilégios aos registros de atividades personalizados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3</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3</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privilégios aos registros de entidades personalizados (excluindo os registros de atividades personalizados)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Anexar a privilégios aos registros de entidades personalizados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Excluir registros de entidades personalizados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Atribuir registros de entidades personalizados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registros de entidades personalizados usando os clientes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Customer Care Accelerator Framework</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Consultas de “Localização Avançada”</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Salvar Consultas de “Localização Avançada”</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Exibições Pessoais</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Painel do Sistema</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Painel do Sistema</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Painel pessoal</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Compartilhar Painel pessoal</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Fluxo de Trabalho</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Fluxo de Trabalho</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Executar um fluxo de trabalho automatizado</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185EA2" w:rsidRPr="00653421" w:rsidTr="00BA1576">
        <w:trPr>
          <w:trHeight w:val="226"/>
        </w:trPr>
        <w:tc>
          <w:tcPr>
            <w:tcW w:w="227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lastRenderedPageBreak/>
              <w:t>Direito de Uso</w:t>
            </w:r>
          </w:p>
        </w:tc>
        <w:tc>
          <w:tcPr>
            <w:tcW w:w="95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do ESS</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Limitada</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Completa</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Adicional de Uso Limitado</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185EA2" w:rsidRPr="00653421" w:rsidRDefault="00185EA2" w:rsidP="00BA1576">
            <w:pPr>
              <w:pStyle w:val="TableHeading"/>
              <w:rPr>
                <w:rFonts w:ascii="Tahoma" w:hAnsi="Tahoma" w:cs="Tahoma"/>
                <w:color w:val="000000"/>
                <w:sz w:val="18"/>
                <w:szCs w:val="18"/>
              </w:rPr>
            </w:pPr>
            <w:r w:rsidRPr="00653421">
              <w:rPr>
                <w:rFonts w:ascii="Tahoma" w:hAnsi="Tahoma" w:cs="Tahoma"/>
                <w:color w:val="000000"/>
                <w:sz w:val="18"/>
                <w:szCs w:val="18"/>
              </w:rPr>
              <w:t>External Connector</w:t>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Executar um fluxo de trabalho sob demanda</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Caixa de Diálogo</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Atualizar Caixa de Diálogo</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Iniciar Caixa de Diálogo</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Criar Relatório</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Executar Relatório</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Executar Mala Direta</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Exportar dados para o Microsoft Excel</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Seguir e publicar feeds de atividades sobre registros de entidades personalizados de Contas, Contatos e Leads usando o acesso à API</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Seguir e publicar feeds de atividades sobre registros de entidades padrão do Dynamics CRM Standard usando clientes do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Seguir e publicar feeds de atividades sobre registros de entidades personalizados usando clientes do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Acesso de Leitura para funcionalidade completa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4</w:t>
            </w:r>
          </w:p>
        </w:tc>
      </w:tr>
      <w:tr w:rsidR="00AC2872" w:rsidRPr="00653421" w:rsidTr="00185EA2">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rPr>
                <w:rFonts w:ascii="Tahoma" w:eastAsia="Calibri" w:hAnsi="Tahoma" w:cs="Tahoma"/>
                <w:sz w:val="18"/>
                <w:szCs w:val="18"/>
              </w:rPr>
            </w:pPr>
            <w:r w:rsidRPr="00653421">
              <w:rPr>
                <w:rFonts w:ascii="Tahoma" w:eastAsia="Calibri" w:hAnsi="Tahoma" w:cs="Tahoma"/>
                <w:sz w:val="18"/>
                <w:szCs w:val="18"/>
              </w:rPr>
              <w:t>Acesso de Gravação para funcionalidade completa do Microsoft Dynamics CRM</w:t>
            </w:r>
          </w:p>
        </w:tc>
        <w:tc>
          <w:tcPr>
            <w:tcW w:w="95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AC2872" w:rsidRPr="00653421" w:rsidRDefault="00AC2872" w:rsidP="00AC2872">
            <w:pPr>
              <w:pStyle w:val="TableText"/>
              <w:rPr>
                <w:rFonts w:eastAsia="Calibri" w:cs="Segoe UI"/>
                <w:b/>
                <w:sz w:val="24"/>
                <w:szCs w:val="24"/>
              </w:rPr>
            </w:pPr>
            <w:r w:rsidRPr="00653421">
              <w:rPr>
                <w:rFonts w:eastAsia="Calibri" w:cs="Segoe UI"/>
                <w:b/>
                <w:sz w:val="24"/>
                <w:szCs w:val="24"/>
              </w:rPr>
              <w:sym w:font="Wingdings" w:char="00FC"/>
            </w:r>
            <w:r w:rsidRPr="00653421">
              <w:rPr>
                <w:rFonts w:eastAsia="Calibri" w:cs="Segoe UI"/>
                <w:b/>
                <w:sz w:val="24"/>
                <w:szCs w:val="24"/>
                <w:vertAlign w:val="superscript"/>
              </w:rPr>
              <w:t>4</w:t>
            </w:r>
          </w:p>
        </w:tc>
      </w:tr>
      <w:tr w:rsidR="00AC2872" w:rsidRPr="00653421" w:rsidTr="00AC2872">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AC2872" w:rsidRPr="00653421" w:rsidRDefault="00AC2872" w:rsidP="00AC2872">
            <w:pPr>
              <w:pStyle w:val="TableText"/>
              <w:jc w:val="left"/>
            </w:pPr>
            <w:r w:rsidRPr="00482782">
              <w:rPr>
                <w:rFonts w:ascii="Tahoma" w:eastAsia="Calibri" w:hAnsi="Tahoma" w:cs="Tahoma"/>
                <w:i/>
                <w:sz w:val="14"/>
                <w:szCs w:val="18"/>
                <w:vertAlign w:val="superscript"/>
              </w:rPr>
              <w:t>(1)</w:t>
            </w:r>
            <w:r w:rsidRPr="00653421">
              <w:rPr>
                <w:rFonts w:ascii="Tahoma" w:eastAsia="Calibri" w:hAnsi="Tahoma" w:cs="Tahoma"/>
                <w:i/>
                <w:sz w:val="14"/>
                <w:szCs w:val="18"/>
              </w:rPr>
              <w:t xml:space="preserve"> Cliente da Web do Microsoft Dynamics CRM, Cliente do Microsoft Dynamics CRM para Microsoft Outlook e Mobile Express para Microsoft Dynamics CRM.</w:t>
            </w:r>
          </w:p>
          <w:p w:rsidR="00AC2872" w:rsidRPr="00653421" w:rsidRDefault="00AC2872" w:rsidP="00AC2872">
            <w:pPr>
              <w:pStyle w:val="TableText"/>
              <w:jc w:val="left"/>
            </w:pPr>
            <w:r w:rsidRPr="00482782">
              <w:rPr>
                <w:rFonts w:ascii="Tahoma" w:eastAsia="Calibri" w:hAnsi="Tahoma" w:cs="Tahoma"/>
                <w:i/>
                <w:sz w:val="14"/>
                <w:szCs w:val="18"/>
                <w:vertAlign w:val="superscript"/>
              </w:rPr>
              <w:t>(2)</w:t>
            </w:r>
            <w:r w:rsidRPr="00653421">
              <w:rPr>
                <w:rFonts w:ascii="Tahoma" w:eastAsia="Calibri" w:hAnsi="Tahoma" w:cs="Tahoma"/>
                <w:i/>
                <w:sz w:val="14"/>
                <w:szCs w:val="18"/>
              </w:rPr>
              <w:t xml:space="preserve"> Privilégios aplicáveis apenas a registros criados pelo mesmo usuário.</w:t>
            </w:r>
          </w:p>
          <w:p w:rsidR="00AC2872" w:rsidRPr="00653421" w:rsidRDefault="00AC2872" w:rsidP="00AC2872">
            <w:pPr>
              <w:pStyle w:val="TableText"/>
              <w:jc w:val="left"/>
            </w:pPr>
            <w:r w:rsidRPr="00482782">
              <w:rPr>
                <w:rFonts w:ascii="Tahoma" w:eastAsia="Calibri" w:hAnsi="Tahoma" w:cs="Tahoma"/>
                <w:i/>
                <w:sz w:val="14"/>
                <w:szCs w:val="18"/>
                <w:vertAlign w:val="superscript"/>
              </w:rPr>
              <w:t>(3)</w:t>
            </w:r>
            <w:r w:rsidRPr="00653421">
              <w:rPr>
                <w:rFonts w:ascii="Tahoma" w:eastAsia="Calibri" w:hAnsi="Tahoma" w:cs="Tahoma"/>
                <w:i/>
                <w:sz w:val="14"/>
                <w:szCs w:val="18"/>
              </w:rPr>
              <w:t xml:space="preserve"> Privilégios aplicáveis APENAS a atividades personalizadas.</w:t>
            </w:r>
          </w:p>
          <w:p w:rsidR="00AC2872" w:rsidRPr="00482782" w:rsidRDefault="00AC2872" w:rsidP="00AC2872">
            <w:r w:rsidRPr="00482782">
              <w:rPr>
                <w:rFonts w:eastAsia="Calibri" w:cs="Segoe UI"/>
                <w:i/>
                <w:sz w:val="14"/>
                <w:szCs w:val="18"/>
                <w:vertAlign w:val="superscript"/>
              </w:rPr>
              <w:t>(4)</w:t>
            </w:r>
            <w:r w:rsidRPr="00482782">
              <w:rPr>
                <w:rFonts w:eastAsia="Calibri" w:cs="Segoe UI"/>
                <w:i/>
                <w:sz w:val="14"/>
                <w:szCs w:val="18"/>
              </w:rPr>
              <w:t xml:space="preserve"> Privilégios para criar registros; </w:t>
            </w:r>
            <w:r w:rsidRPr="00482782">
              <w:rPr>
                <w:rFonts w:eastAsia="Calibri"/>
                <w:bCs/>
                <w:i/>
                <w:sz w:val="14"/>
                <w:szCs w:val="18"/>
              </w:rPr>
              <w:t>anexar, anexar a e atualizar</w:t>
            </w:r>
            <w:r w:rsidR="00CC6362" w:rsidRPr="00482782">
              <w:rPr>
                <w:rFonts w:eastAsia="Calibri"/>
                <w:i/>
                <w:sz w:val="14"/>
                <w:szCs w:val="18"/>
              </w:rPr>
              <w:t xml:space="preserve"> </w:t>
            </w:r>
            <w:r w:rsidRPr="00482782">
              <w:rPr>
                <w:rFonts w:eastAsia="Calibri"/>
                <w:bCs/>
                <w:i/>
                <w:sz w:val="14"/>
                <w:szCs w:val="18"/>
              </w:rPr>
              <w:t>registros criados por qualquer usuário CRM. Nenhum privilégio</w:t>
            </w:r>
            <w:r w:rsidRPr="00482782">
              <w:rPr>
                <w:rFonts w:eastAsia="Calibri"/>
                <w:i/>
                <w:sz w:val="14"/>
                <w:szCs w:val="18"/>
              </w:rPr>
              <w:t xml:space="preserve"> de dados para </w:t>
            </w:r>
            <w:r w:rsidRPr="00482782">
              <w:rPr>
                <w:rFonts w:eastAsia="Calibri"/>
                <w:bCs/>
                <w:i/>
                <w:sz w:val="14"/>
                <w:szCs w:val="18"/>
              </w:rPr>
              <w:t>ceder, compartilhar ou excluir</w:t>
            </w:r>
            <w:r w:rsidRPr="00482782">
              <w:rPr>
                <w:rFonts w:eastAsia="Calibri"/>
                <w:i/>
                <w:sz w:val="14"/>
                <w:szCs w:val="18"/>
              </w:rPr>
              <w:t xml:space="preserve"> registros. </w:t>
            </w:r>
            <w:r w:rsidRPr="00482782">
              <w:rPr>
                <w:rFonts w:eastAsia="Calibri"/>
                <w:bCs/>
                <w:i/>
                <w:sz w:val="14"/>
                <w:szCs w:val="18"/>
              </w:rPr>
              <w:t>Acesso apenas à API.</w:t>
            </w:r>
          </w:p>
          <w:p w:rsidR="00AC2872" w:rsidRPr="00653421" w:rsidRDefault="00AC2872" w:rsidP="00AC2872">
            <w:pPr>
              <w:rPr>
                <w:rFonts w:eastAsia="Calibri"/>
                <w:b/>
                <w:bCs/>
                <w:szCs w:val="18"/>
              </w:rPr>
            </w:pPr>
            <w:r w:rsidRPr="00482782">
              <w:rPr>
                <w:rFonts w:eastAsia="Calibri" w:cs="Segoe UI"/>
                <w:i/>
                <w:sz w:val="14"/>
                <w:szCs w:val="18"/>
                <w:vertAlign w:val="superscript"/>
              </w:rPr>
              <w:t>(5)</w:t>
            </w:r>
            <w:r w:rsidRPr="00653421">
              <w:rPr>
                <w:rFonts w:eastAsia="Calibri" w:cs="Segoe UI"/>
                <w:i/>
                <w:sz w:val="14"/>
                <w:szCs w:val="18"/>
              </w:rPr>
              <w:t xml:space="preserve"> </w:t>
            </w:r>
            <w:r w:rsidRPr="00653421">
              <w:rPr>
                <w:rFonts w:eastAsia="Calibri"/>
                <w:i/>
                <w:sz w:val="14"/>
              </w:rPr>
              <w:t>Contas, Contatos, Casos, Leads, Atividades e registros de entidades personalizados apenas.</w:t>
            </w:r>
            <w:r w:rsidRPr="00653421">
              <w:rPr>
                <w:rFonts w:eastAsia="Calibri" w:cs="Segoe UI"/>
                <w:b/>
                <w:sz w:val="14"/>
                <w:szCs w:val="18"/>
              </w:rPr>
              <w:t xml:space="preserve"> </w:t>
            </w:r>
          </w:p>
        </w:tc>
      </w:tr>
    </w:tbl>
    <w:p w:rsidR="00AC2872" w:rsidRPr="00653421" w:rsidRDefault="00AC2872" w:rsidP="00AC2872">
      <w:pPr>
        <w:ind w:left="540"/>
      </w:pPr>
    </w:p>
    <w:p w:rsidR="00BF7FDE" w:rsidRPr="00653421" w:rsidRDefault="0033725C" w:rsidP="007B699C">
      <w:pPr>
        <w:ind w:left="720"/>
      </w:pPr>
      <w:r w:rsidRPr="00653421">
        <w:t>Consulte o guia de licenciamento e preços do Microsoft Dynamics CRM 2011 para obter informações adicionais sobre licenças do Microsoft Dynamics CRM.</w:t>
      </w:r>
      <w:bookmarkStart w:id="1375" w:name="_69_Office_365"/>
      <w:bookmarkStart w:id="1376" w:name="_69_68_Office"/>
      <w:bookmarkEnd w:id="1375"/>
      <w:bookmarkEnd w:id="1376"/>
    </w:p>
    <w:p w:rsidR="006E28CC" w:rsidRPr="00653421" w:rsidRDefault="006E28CC" w:rsidP="006D6A83">
      <w:bookmarkStart w:id="1377" w:name="_71_Office_365_1"/>
      <w:bookmarkStart w:id="1378" w:name="_Toc336338329"/>
      <w:bookmarkStart w:id="1379" w:name="Srv_70Office365PlanE1"/>
      <w:bookmarkEnd w:id="1377"/>
    </w:p>
    <w:p w:rsidR="006E28CC" w:rsidRPr="00653421" w:rsidRDefault="006E28CC" w:rsidP="006D6A83"/>
    <w:p w:rsidR="001A7718" w:rsidRPr="00653421" w:rsidRDefault="001A7718" w:rsidP="006D6A83"/>
    <w:p w:rsidR="001A7718" w:rsidRPr="00653421" w:rsidRDefault="001A7718" w:rsidP="006D6A83"/>
    <w:p w:rsidR="001A7718" w:rsidRPr="00653421" w:rsidRDefault="001A7718" w:rsidP="006D6A83"/>
    <w:p w:rsidR="001A7718" w:rsidRPr="00653421" w:rsidRDefault="001A7718" w:rsidP="006D6A83"/>
    <w:p w:rsidR="001A7718" w:rsidRPr="00653421" w:rsidRDefault="001A7718" w:rsidP="006D6A83"/>
    <w:p w:rsidR="001A7718" w:rsidRPr="00653421" w:rsidRDefault="001A7718" w:rsidP="006D6A83"/>
    <w:p w:rsidR="006E28CC" w:rsidRPr="00653421" w:rsidRDefault="00F66FB0" w:rsidP="009C5D30">
      <w:pPr>
        <w:pStyle w:val="Heading2"/>
        <w:ind w:left="0"/>
      </w:pPr>
      <w:bookmarkStart w:id="1380" w:name="_66_Microsoft_Dynamics"/>
      <w:bookmarkStart w:id="1381" w:name="_Toc353470974"/>
      <w:bookmarkEnd w:id="1380"/>
      <w:r w:rsidRPr="00653421">
        <w:rPr>
          <w:rFonts w:ascii="Tahoma" w:hAnsi="Tahoma" w:cs="Tahoma"/>
          <w:caps/>
          <w:color w:val="FF6600"/>
          <w:sz w:val="22"/>
          <w:szCs w:val="22"/>
          <w:vertAlign w:val="superscript"/>
        </w:rPr>
        <w:lastRenderedPageBreak/>
        <w:t>68</w:t>
      </w:r>
      <w:r w:rsidRPr="00653421">
        <w:rPr>
          <w:rFonts w:ascii="Tahoma" w:hAnsi="Tahoma" w:cs="Tahoma"/>
          <w:caps/>
          <w:color w:val="FF6600"/>
          <w:sz w:val="22"/>
          <w:szCs w:val="22"/>
        </w:rPr>
        <w:t xml:space="preserve"> </w:t>
      </w:r>
      <w:r w:rsidRPr="00653421">
        <w:rPr>
          <w:rFonts w:ascii="Tahoma" w:hAnsi="Tahoma" w:cs="Tahoma"/>
          <w:color w:val="FF6600"/>
          <w:sz w:val="22"/>
          <w:szCs w:val="22"/>
        </w:rPr>
        <w:t>Microsoft Dynamics CRM 2011 Server</w:t>
      </w:r>
      <w:bookmarkEnd w:id="1381"/>
    </w:p>
    <w:p w:rsidR="006E28CC" w:rsidRPr="00653421" w:rsidRDefault="006E28CC" w:rsidP="006E28CC">
      <w:pPr>
        <w:tabs>
          <w:tab w:val="left" w:pos="1800"/>
        </w:tabs>
        <w:spacing w:after="60"/>
      </w:pPr>
    </w:p>
    <w:p w:rsidR="006E28CC" w:rsidRPr="00653421" w:rsidRDefault="006E28CC" w:rsidP="009C5D30">
      <w:pPr>
        <w:spacing w:after="60"/>
        <w:ind w:left="720"/>
      </w:pPr>
      <w:r w:rsidRPr="00653421">
        <w:rPr>
          <w:b/>
        </w:rPr>
        <w:t>Microsoft Dynamics CRM Server 2011 – Concessão de Integração do Microsoft Dynamics Marketing Online</w:t>
      </w:r>
    </w:p>
    <w:p w:rsidR="00A04495" w:rsidRPr="00653421" w:rsidRDefault="006E28CC" w:rsidP="0004051B">
      <w:pPr>
        <w:ind w:left="720"/>
      </w:pPr>
      <w:r w:rsidRPr="00653421">
        <w:rPr>
          <w:rFonts w:eastAsia="Calibri" w:cs="Tahoma"/>
          <w:color w:val="000000"/>
          <w:szCs w:val="18"/>
        </w:rPr>
        <w:t xml:space="preserve">A renúncia de licença a seguir pode ser aplicada aos usuários licenciados do Microsoft Dynamics Marketing Online com a opção de Atualização e Suporte de Manutenção ativa ao acessar o serviço Microsoft Dynamics CRM Server 2011 direta ou indiretamente por meio do Software </w:t>
      </w:r>
      <w:r w:rsidRPr="00653421">
        <w:rPr>
          <w:bCs/>
        </w:rPr>
        <w:t>MarketingPilot Connector para Microsoft Dynamics CRM</w:t>
      </w:r>
      <w:r w:rsidRPr="00653421">
        <w:rPr>
          <w:rFonts w:eastAsia="Calibri" w:cs="Tahoma"/>
          <w:color w:val="000000"/>
          <w:szCs w:val="18"/>
        </w:rPr>
        <w:t xml:space="preserve"> apenas para os fins de sincronização de dados do cliente.</w:t>
      </w:r>
      <w:r w:rsidR="005A52A2" w:rsidRPr="00653421">
        <w:rPr>
          <w:rFonts w:eastAsia="Calibri" w:cs="Tahoma"/>
          <w:color w:val="000000"/>
          <w:szCs w:val="18"/>
        </w:rPr>
        <w:t xml:space="preserve"> </w:t>
      </w:r>
      <w:r w:rsidRPr="00653421">
        <w:rPr>
          <w:rFonts w:eastAsia="Calibri" w:cs="Tahoma"/>
          <w:color w:val="000000"/>
          <w:szCs w:val="18"/>
        </w:rPr>
        <w:t>Tais usuários não precisarão de uma CAL do Microsoft Dynamics CRM 2011. Esta renúncia poderá ser aplicada até 30 de junho de 2014. Depois deste período, a Microsoft reserva para si o direito de exigir CALs apropriadas.</w:t>
      </w:r>
    </w:p>
    <w:p w:rsidR="00A04495" w:rsidRPr="00653421" w:rsidRDefault="00A04495" w:rsidP="007B1734"/>
    <w:p w:rsidR="00F1020A" w:rsidRPr="00653421" w:rsidRDefault="00F1020A" w:rsidP="007B1734"/>
    <w:p w:rsidR="00D70D2C" w:rsidRPr="00653421" w:rsidRDefault="00F66FB0" w:rsidP="00D70D2C">
      <w:pPr>
        <w:pStyle w:val="Heading2"/>
        <w:ind w:left="0"/>
      </w:pPr>
      <w:bookmarkStart w:id="1382" w:name="_70_68_Office"/>
      <w:bookmarkStart w:id="1383" w:name="_Toc353470975"/>
      <w:bookmarkEnd w:id="1382"/>
      <w:r w:rsidRPr="00653421">
        <w:rPr>
          <w:rFonts w:ascii="Tahoma" w:hAnsi="Tahoma" w:cs="Tahoma"/>
          <w:caps/>
          <w:color w:val="FF6600"/>
          <w:sz w:val="22"/>
          <w:szCs w:val="22"/>
          <w:vertAlign w:val="superscript"/>
        </w:rPr>
        <w:t>69</w:t>
      </w:r>
      <w:r w:rsidRPr="00653421">
        <w:rPr>
          <w:rFonts w:ascii="Tahoma" w:hAnsi="Tahoma" w:cs="Tahoma"/>
          <w:color w:val="FF6600"/>
        </w:rPr>
        <w:t xml:space="preserve"> </w:t>
      </w:r>
      <w:r w:rsidRPr="00653421">
        <w:rPr>
          <w:rFonts w:ascii="Tahoma" w:hAnsi="Tahoma" w:cs="Tahoma"/>
          <w:color w:val="FF6600"/>
          <w:sz w:val="22"/>
          <w:szCs w:val="22"/>
        </w:rPr>
        <w:t>Office 365 Enterprise E1</w:t>
      </w:r>
      <w:bookmarkEnd w:id="1378"/>
      <w:bookmarkEnd w:id="1383"/>
    </w:p>
    <w:bookmarkEnd w:id="1379"/>
    <w:p w:rsidR="00D70D2C" w:rsidRPr="00653421" w:rsidRDefault="00D70D2C" w:rsidP="006D0A97">
      <w:pPr>
        <w:spacing w:line="160" w:lineRule="exact"/>
        <w:ind w:left="907"/>
      </w:pPr>
    </w:p>
    <w:p w:rsidR="00F754FE" w:rsidRPr="00653421" w:rsidRDefault="00F754FE" w:rsidP="00E62BC4">
      <w:pPr>
        <w:ind w:left="720"/>
      </w:pPr>
      <w:r w:rsidRPr="00653421">
        <w:rPr>
          <w:rFonts w:cs="Tahoma"/>
          <w:color w:val="000000"/>
          <w:szCs w:val="18"/>
        </w:rPr>
        <w:t>O Office 365 Enterprise E1 era conhecido anteriormente como Business Productivity Online Standard Suite (BPOS Standard). Ele permite acesso ao seguinte: Exchange Online Plano 1, SharePoint Online Plano 1, Lync Online Plano 2 e Aplicativos da Web do Office. Essa lista está sujeita a alterações. Os Direitos de Uso de Produto atuais prevalecerão caso haja conflitos entre os termos da licença do Office 365 Enterprise E1 e</w:t>
      </w:r>
      <w:r w:rsidR="006D0A97" w:rsidRPr="00653421">
        <w:rPr>
          <w:rFonts w:cs="Tahoma"/>
          <w:color w:val="000000"/>
          <w:szCs w:val="18"/>
        </w:rPr>
        <w:t> </w:t>
      </w:r>
      <w:r w:rsidRPr="00653421">
        <w:rPr>
          <w:rFonts w:cs="Tahoma"/>
          <w:color w:val="000000"/>
          <w:szCs w:val="18"/>
        </w:rPr>
        <w:t>esta observação.</w:t>
      </w:r>
    </w:p>
    <w:p w:rsidR="00F754FE" w:rsidRPr="00653421" w:rsidRDefault="00F754FE" w:rsidP="006D0A97">
      <w:pPr>
        <w:spacing w:line="160" w:lineRule="exact"/>
        <w:ind w:left="907"/>
      </w:pPr>
    </w:p>
    <w:p w:rsidR="00A15CF5" w:rsidRPr="00653421" w:rsidRDefault="00F754FE" w:rsidP="00A15CF5">
      <w:pPr>
        <w:ind w:left="720"/>
      </w:pPr>
      <w:r w:rsidRPr="00653421">
        <w:rPr>
          <w:rFonts w:cs="Tahoma"/>
          <w:color w:val="000000"/>
          <w:szCs w:val="18"/>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6D0A97" w:rsidRPr="00653421">
        <w:rPr>
          <w:rFonts w:cs="Tahoma"/>
          <w:color w:val="000000"/>
          <w:szCs w:val="18"/>
        </w:rPr>
        <w:t> </w:t>
      </w:r>
      <w:r w:rsidRPr="00653421">
        <w:rPr>
          <w:rFonts w:cs="Tahoma"/>
          <w:color w:val="000000"/>
          <w:szCs w:val="18"/>
        </w:rPr>
        <w:t>Lync for Mac 2011 a nenhum custo com cada licença de assinatura de teste ou paga do Lync Online. O</w:t>
      </w:r>
      <w:r w:rsidR="006D0A97" w:rsidRPr="00653421">
        <w:rPr>
          <w:rFonts w:cs="Tahoma"/>
          <w:color w:val="000000"/>
          <w:szCs w:val="18"/>
        </w:rPr>
        <w:t> </w:t>
      </w:r>
      <w:r w:rsidRPr="00653421">
        <w:rPr>
          <w:rFonts w:cs="Tahoma"/>
          <w:color w:val="000000"/>
          <w:szCs w:val="18"/>
        </w:rPr>
        <w:t>software só poderá ser usado com o Lync Online, e todos os direitos de uso do software se encerrarão ao</w:t>
      </w:r>
      <w:r w:rsidR="006D0A97" w:rsidRPr="00653421">
        <w:rPr>
          <w:rFonts w:cs="Tahoma"/>
          <w:color w:val="000000"/>
          <w:szCs w:val="18"/>
        </w:rPr>
        <w:t> </w:t>
      </w:r>
      <w:r w:rsidRPr="00653421">
        <w:rPr>
          <w:rFonts w:cs="Tahoma"/>
          <w:color w:val="000000"/>
          <w:szCs w:val="18"/>
        </w:rPr>
        <w:t>término da licença de assinatura básica ou da migração para a próxima nova versão principal do Lync Online, o que ocorrer primeiro.</w:t>
      </w:r>
      <w:r w:rsidR="005A52A2" w:rsidRPr="00653421">
        <w:rPr>
          <w:rFonts w:cs="Tahoma"/>
          <w:color w:val="000000"/>
          <w:szCs w:val="18"/>
        </w:rPr>
        <w:t xml:space="preserve"> </w:t>
      </w:r>
      <w:r w:rsidRPr="00653421">
        <w:rPr>
          <w:rFonts w:cs="Tahoma"/>
          <w:color w:val="000000"/>
          <w:szCs w:val="18"/>
        </w:rPr>
        <w:t xml:space="preserve">Os clientes podem usar o cliente gratuito Lync Basic 2013 para seus usuários finais com base em Windows. </w:t>
      </w:r>
    </w:p>
    <w:p w:rsidR="00BE7AC3" w:rsidRPr="00653421" w:rsidRDefault="00BE7AC3" w:rsidP="006D0A97">
      <w:pPr>
        <w:spacing w:line="160" w:lineRule="exact"/>
        <w:ind w:left="907"/>
      </w:pPr>
      <w:bookmarkStart w:id="1384" w:name="_71_Office_365"/>
      <w:bookmarkEnd w:id="1384"/>
    </w:p>
    <w:p w:rsidR="00F1020A" w:rsidRPr="00653421" w:rsidRDefault="00F1020A" w:rsidP="006D0A97">
      <w:pPr>
        <w:spacing w:line="160" w:lineRule="exact"/>
        <w:ind w:left="907"/>
      </w:pPr>
    </w:p>
    <w:p w:rsidR="00BE7AC3" w:rsidRPr="00653421" w:rsidRDefault="00F66FB0" w:rsidP="00BE7AC3">
      <w:pPr>
        <w:pStyle w:val="Heading2"/>
        <w:ind w:left="0"/>
      </w:pPr>
      <w:bookmarkStart w:id="1385" w:name="_69_Office_365_1"/>
      <w:bookmarkStart w:id="1386" w:name="_Toc353470976"/>
      <w:bookmarkEnd w:id="1385"/>
      <w:r w:rsidRPr="00653421">
        <w:rPr>
          <w:rFonts w:ascii="Tahoma" w:hAnsi="Tahoma" w:cs="Tahoma"/>
          <w:caps/>
          <w:color w:val="F66400"/>
          <w:sz w:val="22"/>
          <w:szCs w:val="20"/>
          <w:vertAlign w:val="superscript"/>
        </w:rPr>
        <w:t>70</w:t>
      </w:r>
      <w:r w:rsidRPr="00653421">
        <w:rPr>
          <w:rFonts w:ascii="Tahoma" w:hAnsi="Tahoma" w:cs="Tahoma"/>
          <w:caps/>
          <w:color w:val="F66400"/>
          <w:sz w:val="22"/>
          <w:szCs w:val="20"/>
        </w:rPr>
        <w:t xml:space="preserve"> </w:t>
      </w:r>
      <w:r w:rsidRPr="00653421">
        <w:rPr>
          <w:rFonts w:ascii="Tahoma" w:hAnsi="Tahoma" w:cs="Tahoma"/>
          <w:color w:val="FF6600"/>
          <w:sz w:val="22"/>
          <w:szCs w:val="22"/>
        </w:rPr>
        <w:t>Office 365 Enterprise K1 e K2 (SL de Usuário)</w:t>
      </w:r>
      <w:bookmarkEnd w:id="1386"/>
    </w:p>
    <w:p w:rsidR="00BE7AC3" w:rsidRPr="00653421" w:rsidRDefault="00BE7AC3" w:rsidP="006D0A97">
      <w:pPr>
        <w:spacing w:line="160" w:lineRule="exact"/>
        <w:ind w:left="907"/>
      </w:pPr>
    </w:p>
    <w:p w:rsidR="00BE7AC3" w:rsidRPr="00653421" w:rsidRDefault="00BE7AC3" w:rsidP="00BE7AC3">
      <w:pPr>
        <w:ind w:left="720"/>
      </w:pPr>
      <w:r w:rsidRPr="00653421">
        <w:rPr>
          <w:rFonts w:cs="Tahoma"/>
          <w:color w:val="000000"/>
          <w:szCs w:val="18"/>
        </w:rPr>
        <w:t>Não obstante quaisquer disposições em contrário nos contratos de licença dos clientes, entre os usuários qualificados não estão incluídos os usuários licenciados para o Quiosque do Exchange Online, Quiosque do SharePoint Online nem para o Office 365 Enterprise K1 e K2</w:t>
      </w:r>
    </w:p>
    <w:p w:rsidR="00BE7AC3" w:rsidRPr="00653421" w:rsidRDefault="00BE7AC3" w:rsidP="006D0A97">
      <w:pPr>
        <w:spacing w:line="160" w:lineRule="exact"/>
        <w:ind w:left="907"/>
      </w:pPr>
    </w:p>
    <w:p w:rsidR="00BE7AC3" w:rsidRPr="00653421" w:rsidRDefault="00BE7AC3" w:rsidP="00BE7AC3">
      <w:pPr>
        <w:ind w:left="720"/>
      </w:pPr>
      <w:r w:rsidRPr="00653421">
        <w:rPr>
          <w:rFonts w:cs="Tahoma"/>
          <w:color w:val="000000"/>
          <w:szCs w:val="18"/>
        </w:rPr>
        <w:t>O Office 365 Enterprise K1 era conhecido anteriormente como Business Productivity Online Deskless Suite (BPOS Deskless).</w:t>
      </w:r>
      <w:r w:rsidR="005A52A2" w:rsidRPr="00653421">
        <w:rPr>
          <w:rFonts w:cs="Tahoma"/>
          <w:color w:val="000000"/>
          <w:szCs w:val="18"/>
        </w:rPr>
        <w:t xml:space="preserve"> </w:t>
      </w:r>
      <w:r w:rsidRPr="00653421">
        <w:rPr>
          <w:rFonts w:cs="Tahoma"/>
          <w:color w:val="000000"/>
          <w:szCs w:val="18"/>
        </w:rPr>
        <w:t>Os clientes no Brasil e no Chile que comprarem o Office 365 Enterprise K1 receberão o BPOS Deskless.</w:t>
      </w:r>
      <w:r w:rsidR="005A52A2" w:rsidRPr="00653421">
        <w:rPr>
          <w:rFonts w:cs="Tahoma"/>
          <w:color w:val="000000"/>
          <w:szCs w:val="18"/>
        </w:rPr>
        <w:t xml:space="preserve"> </w:t>
      </w:r>
      <w:r w:rsidRPr="00653421">
        <w:rPr>
          <w:rFonts w:cs="Tahoma"/>
          <w:color w:val="000000"/>
          <w:szCs w:val="18"/>
        </w:rPr>
        <w:t>Esses clientes poderão migrar para o Office 365 Enterprise K1 posteriormente.</w:t>
      </w:r>
    </w:p>
    <w:p w:rsidR="00BE7AC3" w:rsidRPr="00653421" w:rsidRDefault="00BE7AC3" w:rsidP="006D0A97">
      <w:pPr>
        <w:spacing w:line="160" w:lineRule="exact"/>
        <w:ind w:left="907"/>
      </w:pPr>
    </w:p>
    <w:p w:rsidR="00BE7AC3" w:rsidRPr="00653421" w:rsidRDefault="00BE7AC3" w:rsidP="00BE7AC3">
      <w:pPr>
        <w:spacing w:after="60"/>
        <w:ind w:left="720"/>
      </w:pPr>
      <w:r w:rsidRPr="00653421">
        <w:rPr>
          <w:rFonts w:eastAsia="Calibri" w:cs="Tahoma"/>
          <w:b/>
          <w:color w:val="000000"/>
          <w:szCs w:val="18"/>
        </w:rPr>
        <w:t>Nuvem da Comunidade do Governo (Apenas para os Estados Unidos)</w:t>
      </w:r>
    </w:p>
    <w:p w:rsidR="00BE7AC3" w:rsidRPr="00653421" w:rsidRDefault="00BE7AC3" w:rsidP="00BE7AC3">
      <w:pPr>
        <w:ind w:left="720"/>
      </w:pPr>
      <w:r w:rsidRPr="00653421">
        <w:rPr>
          <w:rFonts w:eastAsia="Calibri" w:cs="Tahoma"/>
          <w:color w:val="000000"/>
          <w:szCs w:val="18"/>
        </w:rPr>
        <w:t>Alguns serviços online na família de produtos do Office 365 (incluindo Office 365 Enterprise K1 e K2) são oferecidos como serviços de nuvem da comunidade do governo e serviços de nuvem da comunidade não governamental.</w:t>
      </w:r>
      <w:r w:rsidR="005A52A2" w:rsidRPr="00653421">
        <w:rPr>
          <w:rFonts w:eastAsia="Calibri" w:cs="Tahoma"/>
          <w:color w:val="000000"/>
          <w:szCs w:val="18"/>
        </w:rPr>
        <w:t xml:space="preserve"> </w:t>
      </w:r>
      <w:r w:rsidRPr="00653421">
        <w:rPr>
          <w:rFonts w:eastAsia="Calibri" w:cs="Tahoma"/>
          <w:color w:val="000000"/>
          <w:szCs w:val="18"/>
        </w:rPr>
        <w:t>Os clientes podem ser provisionados como um ou outro, mas não com uma mistura dos dois.</w:t>
      </w:r>
      <w:r w:rsidR="005A52A2" w:rsidRPr="00653421">
        <w:rPr>
          <w:rFonts w:eastAsia="Calibri" w:cs="Tahoma"/>
          <w:color w:val="000000"/>
          <w:szCs w:val="18"/>
        </w:rPr>
        <w:t xml:space="preserve"> </w:t>
      </w:r>
      <w:r w:rsidRPr="00653421">
        <w:rPr>
          <w:rFonts w:eastAsia="Calibri" w:cs="Tahoma"/>
          <w:color w:val="000000"/>
          <w:szCs w:val="18"/>
        </w:rPr>
        <w:t>Os Serviços Online projetados como nuvem de comunidade do governo não podem ser implantados no</w:t>
      </w:r>
      <w:r w:rsidR="006D0A97" w:rsidRPr="00653421">
        <w:rPr>
          <w:rFonts w:eastAsia="Calibri" w:cs="Tahoma"/>
          <w:color w:val="000000"/>
          <w:szCs w:val="18"/>
        </w:rPr>
        <w:t> </w:t>
      </w:r>
      <w:r w:rsidRPr="00653421">
        <w:rPr>
          <w:rFonts w:eastAsia="Calibri" w:cs="Tahoma"/>
          <w:color w:val="000000"/>
          <w:szCs w:val="18"/>
        </w:rPr>
        <w:t>mesmo domínio que os serviços de nuvem da comunidade não governamental específicos.</w:t>
      </w:r>
      <w:r w:rsidR="005A52A2" w:rsidRPr="00653421">
        <w:rPr>
          <w:rFonts w:eastAsia="Calibri" w:cs="Tahoma"/>
          <w:color w:val="000000"/>
          <w:szCs w:val="18"/>
        </w:rPr>
        <w:t xml:space="preserve"> </w:t>
      </w:r>
      <w:r w:rsidRPr="00653421">
        <w:rPr>
          <w:rFonts w:eastAsia="Calibri" w:cs="Tahoma"/>
          <w:color w:val="000000"/>
          <w:szCs w:val="18"/>
        </w:rPr>
        <w:t>Esta limitação</w:t>
      </w:r>
      <w:r w:rsidR="006D0A97" w:rsidRPr="00653421">
        <w:rPr>
          <w:rFonts w:eastAsia="Calibri" w:cs="Tahoma"/>
          <w:color w:val="000000"/>
          <w:szCs w:val="18"/>
        </w:rPr>
        <w:t> </w:t>
      </w:r>
      <w:r w:rsidRPr="00653421">
        <w:rPr>
          <w:rFonts w:eastAsia="Calibri" w:cs="Tahoma"/>
          <w:color w:val="000000"/>
          <w:szCs w:val="18"/>
        </w:rPr>
        <w:t>se estende a qualquer serviço online que faça parte da família de produtos do Office 365, incluindo</w:t>
      </w:r>
      <w:r w:rsidR="006D0A97" w:rsidRPr="00653421">
        <w:rPr>
          <w:rFonts w:eastAsia="Calibri" w:cs="Tahoma"/>
          <w:color w:val="000000"/>
          <w:szCs w:val="18"/>
        </w:rPr>
        <w:t> </w:t>
      </w:r>
      <w:r w:rsidRPr="00653421">
        <w:rPr>
          <w:rFonts w:eastAsia="Calibri" w:cs="Tahoma"/>
          <w:color w:val="000000"/>
          <w:szCs w:val="18"/>
        </w:rPr>
        <w:t>Exchange Online, SharePoint Online e Lync Online.</w:t>
      </w:r>
      <w:r w:rsidR="005A52A2" w:rsidRPr="00653421">
        <w:rPr>
          <w:rFonts w:eastAsia="Calibri" w:cs="Tahoma"/>
          <w:color w:val="000000"/>
          <w:szCs w:val="18"/>
        </w:rPr>
        <w:t xml:space="preserve"> </w:t>
      </w:r>
    </w:p>
    <w:p w:rsidR="00BE7AC3" w:rsidRPr="00653421" w:rsidRDefault="00BE7AC3" w:rsidP="006D0A97">
      <w:pPr>
        <w:spacing w:line="160" w:lineRule="exact"/>
        <w:ind w:left="907"/>
      </w:pPr>
    </w:p>
    <w:p w:rsidR="00BE7AC3" w:rsidRPr="00653421" w:rsidRDefault="00BE7AC3" w:rsidP="00BE7AC3">
      <w:pPr>
        <w:ind w:left="720"/>
      </w:pPr>
      <w:r w:rsidRPr="00653421">
        <w:rPr>
          <w:rFonts w:eastAsia="Calibri" w:cs="Tahoma"/>
          <w:color w:val="000000"/>
          <w:szCs w:val="18"/>
        </w:rPr>
        <w:t>Assim que um serviço online é provisionado na nuvem de comunidade do governo, ele permanecerá lá pela</w:t>
      </w:r>
      <w:r w:rsidR="006D0A97" w:rsidRPr="00653421">
        <w:rPr>
          <w:rFonts w:eastAsia="Calibri" w:cs="Tahoma"/>
          <w:color w:val="000000"/>
          <w:szCs w:val="18"/>
        </w:rPr>
        <w:t> </w:t>
      </w:r>
      <w:r w:rsidRPr="00653421">
        <w:rPr>
          <w:rFonts w:eastAsia="Calibri" w:cs="Tahoma"/>
          <w:color w:val="000000"/>
          <w:szCs w:val="18"/>
        </w:rPr>
        <w:t>duração da vigência da assinatura.</w:t>
      </w:r>
      <w:r w:rsidR="005A52A2" w:rsidRPr="00653421">
        <w:rPr>
          <w:rFonts w:eastAsia="Calibri" w:cs="Tahoma"/>
          <w:color w:val="000000"/>
          <w:szCs w:val="18"/>
        </w:rPr>
        <w:t xml:space="preserve"> </w:t>
      </w:r>
      <w:r w:rsidRPr="00653421">
        <w:rPr>
          <w:rFonts w:eastAsia="Calibri" w:cs="Tahoma"/>
          <w:color w:val="000000"/>
          <w:szCs w:val="18"/>
        </w:rPr>
        <w:t>Clientes que são instituições governamentais federais, estaduais, locais ou tribais dos Estados Unidos devem fazer parte de um Registro Enterprise do Governo Americano ou</w:t>
      </w:r>
      <w:r w:rsidR="006D0A97" w:rsidRPr="00653421">
        <w:rPr>
          <w:rFonts w:eastAsia="Calibri" w:cs="Tahoma"/>
          <w:color w:val="000000"/>
          <w:szCs w:val="18"/>
        </w:rPr>
        <w:t> </w:t>
      </w:r>
      <w:r w:rsidRPr="00653421">
        <w:rPr>
          <w:rFonts w:eastAsia="Calibri" w:cs="Tahoma"/>
          <w:color w:val="000000"/>
          <w:szCs w:val="18"/>
        </w:rPr>
        <w:t>Registro Enterprise Subscription para estar qualificado para comprar serviços online designados como nuvem da comunidade do governo.</w:t>
      </w:r>
      <w:r w:rsidR="005A52A2" w:rsidRPr="00653421">
        <w:rPr>
          <w:rFonts w:eastAsia="Calibri" w:cs="Tahoma"/>
          <w:color w:val="000000"/>
          <w:szCs w:val="18"/>
        </w:rPr>
        <w:t xml:space="preserve"> </w:t>
      </w:r>
      <w:r w:rsidRPr="00653421">
        <w:rPr>
          <w:rFonts w:eastAsia="Calibri" w:cs="Tahoma"/>
          <w:color w:val="000000"/>
          <w:szCs w:val="18"/>
        </w:rPr>
        <w:t>Os Direitos de Uso para serviços de nuvem da comunidade do governo</w:t>
      </w:r>
      <w:r w:rsidR="006D0A97" w:rsidRPr="00653421">
        <w:rPr>
          <w:rFonts w:eastAsia="Calibri" w:cs="Tahoma"/>
          <w:color w:val="000000"/>
          <w:szCs w:val="18"/>
        </w:rPr>
        <w:t> </w:t>
      </w:r>
      <w:r w:rsidRPr="00653421">
        <w:rPr>
          <w:rFonts w:eastAsia="Calibri" w:cs="Tahoma"/>
          <w:color w:val="000000"/>
          <w:szCs w:val="18"/>
        </w:rPr>
        <w:t>são equivalentes àqueles dos seus diversos locatários padrão.</w:t>
      </w:r>
    </w:p>
    <w:p w:rsidR="00BE7AC3" w:rsidRPr="00653421" w:rsidRDefault="00BE7AC3" w:rsidP="006D0A97">
      <w:pPr>
        <w:spacing w:line="160" w:lineRule="exact"/>
        <w:ind w:left="907"/>
      </w:pPr>
    </w:p>
    <w:p w:rsidR="00F1020A" w:rsidRPr="00653421" w:rsidRDefault="00F1020A" w:rsidP="006D0A97">
      <w:pPr>
        <w:spacing w:line="160" w:lineRule="exact"/>
        <w:ind w:left="907"/>
      </w:pPr>
    </w:p>
    <w:p w:rsidR="001A7718" w:rsidRPr="00653421" w:rsidRDefault="001A7718" w:rsidP="006D0A97">
      <w:pPr>
        <w:spacing w:line="160" w:lineRule="exact"/>
        <w:ind w:left="907"/>
      </w:pPr>
    </w:p>
    <w:p w:rsidR="001A7718" w:rsidRPr="00653421" w:rsidRDefault="001A7718" w:rsidP="006D0A97">
      <w:pPr>
        <w:spacing w:line="160" w:lineRule="exact"/>
        <w:ind w:left="907"/>
      </w:pPr>
    </w:p>
    <w:p w:rsidR="001A7718" w:rsidRPr="00653421" w:rsidRDefault="001A7718" w:rsidP="006D0A97">
      <w:pPr>
        <w:spacing w:line="160" w:lineRule="exact"/>
        <w:ind w:left="907"/>
      </w:pPr>
    </w:p>
    <w:p w:rsidR="001A7718" w:rsidRPr="00653421" w:rsidRDefault="001A7718" w:rsidP="006D0A97">
      <w:pPr>
        <w:spacing w:line="160" w:lineRule="exact"/>
        <w:ind w:left="907"/>
      </w:pPr>
    </w:p>
    <w:p w:rsidR="00A83600" w:rsidRPr="00653421" w:rsidRDefault="00F66FB0" w:rsidP="00A83600">
      <w:pPr>
        <w:pStyle w:val="Heading2"/>
        <w:ind w:left="0"/>
      </w:pPr>
      <w:bookmarkStart w:id="1387" w:name="_70_Office_365"/>
      <w:bookmarkStart w:id="1388" w:name="_Toc336338330"/>
      <w:bookmarkStart w:id="1389" w:name="_Toc353470977"/>
      <w:bookmarkStart w:id="1390" w:name="Srv_73Office365PlanG2toG4"/>
      <w:bookmarkEnd w:id="1387"/>
      <w:r w:rsidRPr="00653421">
        <w:rPr>
          <w:rFonts w:ascii="Tahoma" w:hAnsi="Tahoma" w:cs="Tahoma"/>
          <w:caps/>
          <w:color w:val="FF6600"/>
          <w:sz w:val="22"/>
          <w:szCs w:val="22"/>
          <w:vertAlign w:val="superscript"/>
        </w:rPr>
        <w:lastRenderedPageBreak/>
        <w:t>71</w:t>
      </w:r>
      <w:r w:rsidRPr="00653421">
        <w:rPr>
          <w:rFonts w:ascii="Tahoma" w:hAnsi="Tahoma" w:cs="Tahoma"/>
          <w:color w:val="FF6600"/>
        </w:rPr>
        <w:t xml:space="preserve"> </w:t>
      </w:r>
      <w:r w:rsidRPr="00653421">
        <w:rPr>
          <w:rFonts w:ascii="Tahoma" w:hAnsi="Tahoma" w:cs="Tahoma"/>
          <w:color w:val="FF6600"/>
          <w:sz w:val="22"/>
          <w:szCs w:val="22"/>
        </w:rPr>
        <w:t>Office 365 Government G1-G4</w:t>
      </w:r>
      <w:bookmarkEnd w:id="1388"/>
      <w:bookmarkEnd w:id="1389"/>
    </w:p>
    <w:p w:rsidR="00A83600" w:rsidRPr="00653421" w:rsidRDefault="00A83600" w:rsidP="006D0A97">
      <w:pPr>
        <w:spacing w:line="160" w:lineRule="exact"/>
        <w:ind w:left="907"/>
      </w:pPr>
    </w:p>
    <w:bookmarkEnd w:id="1390"/>
    <w:p w:rsidR="00A83600" w:rsidRPr="00653421" w:rsidRDefault="00A83600" w:rsidP="00E62BC4">
      <w:pPr>
        <w:ind w:left="720"/>
      </w:pPr>
      <w:r w:rsidRPr="00653421">
        <w:rPr>
          <w:color w:val="000000"/>
        </w:rPr>
        <w:t>O Office 365 Government G1-G4 permite acesso aos seguintes Serviços Online:</w:t>
      </w:r>
    </w:p>
    <w:p w:rsidR="00A83600" w:rsidRPr="00653421" w:rsidRDefault="00A83600" w:rsidP="006D0A97">
      <w:pPr>
        <w:spacing w:line="160" w:lineRule="exact"/>
        <w:ind w:left="907"/>
      </w:pPr>
    </w:p>
    <w:tbl>
      <w:tblPr>
        <w:tblW w:w="8617"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60"/>
        <w:gridCol w:w="2313"/>
        <w:gridCol w:w="2097"/>
      </w:tblGrid>
      <w:tr w:rsidR="00A83600" w:rsidRPr="00653421" w:rsidTr="006D0A97">
        <w:tc>
          <w:tcPr>
            <w:tcW w:w="2047" w:type="dxa"/>
            <w:shd w:val="clear" w:color="auto" w:fill="FABF8F"/>
          </w:tcPr>
          <w:p w:rsidR="00A83600" w:rsidRPr="00653421" w:rsidRDefault="00A83600" w:rsidP="006D0A97">
            <w:pPr>
              <w:jc w:val="center"/>
              <w:rPr>
                <w:rFonts w:eastAsia="Calibri"/>
                <w:b/>
                <w:color w:val="000000"/>
                <w:sz w:val="20"/>
              </w:rPr>
            </w:pPr>
            <w:r w:rsidRPr="00653421">
              <w:rPr>
                <w:rFonts w:eastAsia="Calibri"/>
                <w:b/>
                <w:color w:val="000000"/>
                <w:sz w:val="20"/>
              </w:rPr>
              <w:t>Office 365 Government G1</w:t>
            </w:r>
          </w:p>
        </w:tc>
        <w:tc>
          <w:tcPr>
            <w:tcW w:w="2160" w:type="dxa"/>
            <w:shd w:val="clear" w:color="auto" w:fill="FABF8F"/>
          </w:tcPr>
          <w:p w:rsidR="00A83600" w:rsidRPr="00653421" w:rsidRDefault="00A83600" w:rsidP="006D0A97">
            <w:pPr>
              <w:jc w:val="center"/>
              <w:rPr>
                <w:rFonts w:eastAsia="Calibri"/>
                <w:b/>
                <w:color w:val="000000"/>
                <w:sz w:val="20"/>
              </w:rPr>
            </w:pPr>
            <w:r w:rsidRPr="00653421">
              <w:rPr>
                <w:rFonts w:eastAsia="Calibri"/>
                <w:b/>
                <w:color w:val="000000"/>
                <w:sz w:val="20"/>
              </w:rPr>
              <w:t>Office 365 Government G2</w:t>
            </w:r>
          </w:p>
        </w:tc>
        <w:tc>
          <w:tcPr>
            <w:tcW w:w="2313" w:type="dxa"/>
            <w:shd w:val="clear" w:color="auto" w:fill="FABF8F"/>
          </w:tcPr>
          <w:p w:rsidR="00A83600" w:rsidRPr="00653421" w:rsidRDefault="00A83600" w:rsidP="006D0A97">
            <w:pPr>
              <w:jc w:val="center"/>
              <w:rPr>
                <w:rFonts w:eastAsia="Calibri"/>
                <w:b/>
                <w:color w:val="000000"/>
                <w:sz w:val="20"/>
              </w:rPr>
            </w:pPr>
            <w:r w:rsidRPr="00653421">
              <w:rPr>
                <w:rFonts w:eastAsia="Calibri"/>
                <w:b/>
                <w:color w:val="000000"/>
                <w:sz w:val="20"/>
              </w:rPr>
              <w:t>Office 365 Government G3</w:t>
            </w:r>
          </w:p>
        </w:tc>
        <w:tc>
          <w:tcPr>
            <w:tcW w:w="2097" w:type="dxa"/>
            <w:shd w:val="clear" w:color="auto" w:fill="FABF8F"/>
          </w:tcPr>
          <w:p w:rsidR="00A83600" w:rsidRPr="00653421" w:rsidRDefault="00A83600" w:rsidP="006D0A97">
            <w:pPr>
              <w:jc w:val="center"/>
              <w:rPr>
                <w:rFonts w:eastAsia="Calibri"/>
                <w:b/>
                <w:color w:val="000000"/>
                <w:sz w:val="20"/>
              </w:rPr>
            </w:pPr>
            <w:r w:rsidRPr="00653421">
              <w:rPr>
                <w:rFonts w:eastAsia="Calibri"/>
                <w:b/>
                <w:color w:val="000000"/>
                <w:sz w:val="20"/>
              </w:rPr>
              <w:t>Office 365 Government G4</w:t>
            </w:r>
          </w:p>
        </w:tc>
      </w:tr>
      <w:tr w:rsidR="00A83600" w:rsidRPr="00653421" w:rsidTr="006D0A97">
        <w:tc>
          <w:tcPr>
            <w:tcW w:w="2047" w:type="dxa"/>
          </w:tcPr>
          <w:p w:rsidR="00A83600" w:rsidRPr="00653421" w:rsidRDefault="00A83600" w:rsidP="006D0A97">
            <w:pPr>
              <w:ind w:right="186"/>
              <w:rPr>
                <w:rFonts w:eastAsia="Calibri"/>
                <w:color w:val="000000"/>
              </w:rPr>
            </w:pPr>
            <w:r w:rsidRPr="00653421">
              <w:rPr>
                <w:rFonts w:eastAsia="Calibri"/>
                <w:color w:val="000000"/>
              </w:rPr>
              <w:t>Exchange Online Plano 1</w:t>
            </w:r>
          </w:p>
        </w:tc>
        <w:tc>
          <w:tcPr>
            <w:tcW w:w="2160" w:type="dxa"/>
            <w:shd w:val="clear" w:color="auto" w:fill="auto"/>
          </w:tcPr>
          <w:p w:rsidR="00A83600" w:rsidRPr="00653421" w:rsidRDefault="00A83600" w:rsidP="006D0A97">
            <w:pPr>
              <w:ind w:left="22" w:right="186"/>
              <w:rPr>
                <w:rFonts w:eastAsia="Calibri"/>
                <w:color w:val="000000"/>
              </w:rPr>
            </w:pPr>
            <w:r w:rsidRPr="00653421">
              <w:rPr>
                <w:rFonts w:eastAsia="Calibri"/>
                <w:color w:val="000000"/>
              </w:rPr>
              <w:t>Exchange Online Plano 1</w:t>
            </w:r>
          </w:p>
        </w:tc>
        <w:tc>
          <w:tcPr>
            <w:tcW w:w="2313" w:type="dxa"/>
            <w:shd w:val="clear" w:color="auto" w:fill="auto"/>
          </w:tcPr>
          <w:p w:rsidR="00A83600" w:rsidRPr="00653421" w:rsidRDefault="00A83600" w:rsidP="006D0A97">
            <w:pPr>
              <w:ind w:left="22" w:right="138"/>
              <w:rPr>
                <w:rFonts w:eastAsia="Calibri"/>
                <w:color w:val="000000"/>
              </w:rPr>
            </w:pPr>
            <w:r w:rsidRPr="00653421">
              <w:rPr>
                <w:rFonts w:eastAsia="Calibri"/>
                <w:color w:val="000000"/>
              </w:rPr>
              <w:t>Exchange Online Plano</w:t>
            </w:r>
            <w:r w:rsidR="006D0A97" w:rsidRPr="00653421">
              <w:rPr>
                <w:rFonts w:eastAsia="Calibri"/>
                <w:color w:val="000000"/>
              </w:rPr>
              <w:t> </w:t>
            </w:r>
            <w:r w:rsidRPr="00653421">
              <w:rPr>
                <w:rFonts w:eastAsia="Calibri"/>
                <w:color w:val="000000"/>
              </w:rPr>
              <w:t xml:space="preserve">2 </w:t>
            </w:r>
          </w:p>
        </w:tc>
        <w:tc>
          <w:tcPr>
            <w:tcW w:w="2097" w:type="dxa"/>
            <w:shd w:val="clear" w:color="auto" w:fill="auto"/>
          </w:tcPr>
          <w:p w:rsidR="00A83600" w:rsidRPr="00653421" w:rsidRDefault="00A83600" w:rsidP="006D0A97">
            <w:pPr>
              <w:ind w:left="22" w:right="180"/>
              <w:rPr>
                <w:rFonts w:eastAsia="Calibri"/>
                <w:color w:val="000000"/>
              </w:rPr>
            </w:pPr>
            <w:r w:rsidRPr="00653421">
              <w:rPr>
                <w:rFonts w:eastAsia="Calibri"/>
                <w:color w:val="000000"/>
              </w:rPr>
              <w:t>Exchange Online Plano 2</w:t>
            </w:r>
          </w:p>
        </w:tc>
      </w:tr>
      <w:tr w:rsidR="00A83600" w:rsidRPr="00653421" w:rsidTr="006D0A97">
        <w:tc>
          <w:tcPr>
            <w:tcW w:w="2047" w:type="dxa"/>
          </w:tcPr>
          <w:p w:rsidR="00A83600" w:rsidRPr="00653421" w:rsidRDefault="00A83600" w:rsidP="006D0A97">
            <w:pPr>
              <w:ind w:right="186"/>
              <w:rPr>
                <w:rFonts w:eastAsia="Calibri"/>
                <w:color w:val="000000"/>
              </w:rPr>
            </w:pPr>
            <w:r w:rsidRPr="00653421">
              <w:rPr>
                <w:rFonts w:eastAsia="Calibri"/>
                <w:color w:val="000000"/>
              </w:rPr>
              <w:t>SharePoint Online Plano 1</w:t>
            </w:r>
          </w:p>
        </w:tc>
        <w:tc>
          <w:tcPr>
            <w:tcW w:w="2160" w:type="dxa"/>
            <w:shd w:val="clear" w:color="auto" w:fill="auto"/>
          </w:tcPr>
          <w:p w:rsidR="00A83600" w:rsidRPr="00653421" w:rsidRDefault="00A83600" w:rsidP="006D0A97">
            <w:pPr>
              <w:ind w:left="22" w:right="186"/>
              <w:rPr>
                <w:rFonts w:eastAsia="Calibri"/>
                <w:color w:val="000000"/>
              </w:rPr>
            </w:pPr>
            <w:r w:rsidRPr="00653421">
              <w:rPr>
                <w:rFonts w:eastAsia="Calibri"/>
                <w:color w:val="000000"/>
              </w:rPr>
              <w:t>SharePoint Online Plano 1</w:t>
            </w:r>
          </w:p>
        </w:tc>
        <w:tc>
          <w:tcPr>
            <w:tcW w:w="2313" w:type="dxa"/>
            <w:shd w:val="clear" w:color="auto" w:fill="auto"/>
          </w:tcPr>
          <w:p w:rsidR="00A83600" w:rsidRPr="00653421" w:rsidRDefault="00A83600" w:rsidP="00185EA2">
            <w:pPr>
              <w:ind w:left="22" w:right="138"/>
              <w:rPr>
                <w:rFonts w:eastAsia="Calibri"/>
                <w:color w:val="000000"/>
              </w:rPr>
            </w:pPr>
            <w:r w:rsidRPr="00653421">
              <w:rPr>
                <w:rFonts w:eastAsia="Calibri"/>
                <w:color w:val="000000"/>
              </w:rPr>
              <w:t>SharePoint Online Plano</w:t>
            </w:r>
            <w:r w:rsidR="00185EA2" w:rsidRPr="00653421">
              <w:rPr>
                <w:rFonts w:eastAsia="Calibri"/>
                <w:color w:val="000000"/>
              </w:rPr>
              <w:t> </w:t>
            </w:r>
            <w:r w:rsidRPr="00653421">
              <w:rPr>
                <w:rFonts w:eastAsia="Calibri"/>
                <w:color w:val="000000"/>
              </w:rPr>
              <w:t>2</w:t>
            </w:r>
          </w:p>
        </w:tc>
        <w:tc>
          <w:tcPr>
            <w:tcW w:w="2097" w:type="dxa"/>
            <w:shd w:val="clear" w:color="auto" w:fill="auto"/>
          </w:tcPr>
          <w:p w:rsidR="00A83600" w:rsidRPr="00653421" w:rsidRDefault="00A83600" w:rsidP="006D0A97">
            <w:pPr>
              <w:ind w:left="22" w:right="180"/>
              <w:rPr>
                <w:rFonts w:eastAsia="Calibri"/>
                <w:color w:val="000000"/>
              </w:rPr>
            </w:pPr>
            <w:r w:rsidRPr="00653421">
              <w:rPr>
                <w:rFonts w:eastAsia="Calibri"/>
                <w:color w:val="000000"/>
              </w:rPr>
              <w:t>SharePoint Online Plano 2</w:t>
            </w:r>
          </w:p>
        </w:tc>
      </w:tr>
      <w:tr w:rsidR="00A83600" w:rsidRPr="00653421" w:rsidTr="006D0A97">
        <w:tc>
          <w:tcPr>
            <w:tcW w:w="2047" w:type="dxa"/>
          </w:tcPr>
          <w:p w:rsidR="00A83600" w:rsidRPr="00653421" w:rsidRDefault="00A83600" w:rsidP="006D0A97">
            <w:pPr>
              <w:ind w:right="186"/>
              <w:rPr>
                <w:rFonts w:eastAsia="Calibri"/>
                <w:color w:val="000000"/>
              </w:rPr>
            </w:pPr>
            <w:r w:rsidRPr="00653421">
              <w:rPr>
                <w:rFonts w:eastAsia="Calibri"/>
                <w:color w:val="000000"/>
              </w:rPr>
              <w:t>Lync Online Plano 2</w:t>
            </w:r>
          </w:p>
        </w:tc>
        <w:tc>
          <w:tcPr>
            <w:tcW w:w="2160" w:type="dxa"/>
            <w:shd w:val="clear" w:color="auto" w:fill="auto"/>
          </w:tcPr>
          <w:p w:rsidR="00A83600" w:rsidRPr="00653421" w:rsidRDefault="00A83600" w:rsidP="006D0A97">
            <w:pPr>
              <w:ind w:left="22" w:right="186"/>
              <w:rPr>
                <w:rFonts w:eastAsia="Calibri"/>
                <w:color w:val="000000"/>
              </w:rPr>
            </w:pPr>
            <w:r w:rsidRPr="00653421">
              <w:rPr>
                <w:rFonts w:eastAsia="Calibri"/>
                <w:color w:val="000000"/>
              </w:rPr>
              <w:t>Lync Online Plano 2</w:t>
            </w:r>
          </w:p>
        </w:tc>
        <w:tc>
          <w:tcPr>
            <w:tcW w:w="2313" w:type="dxa"/>
            <w:shd w:val="clear" w:color="auto" w:fill="auto"/>
          </w:tcPr>
          <w:p w:rsidR="00A83600" w:rsidRPr="00653421" w:rsidRDefault="00A83600" w:rsidP="006D0A97">
            <w:pPr>
              <w:ind w:left="22" w:right="138"/>
              <w:rPr>
                <w:rFonts w:eastAsia="Calibri"/>
                <w:color w:val="000000"/>
              </w:rPr>
            </w:pPr>
            <w:r w:rsidRPr="00653421">
              <w:rPr>
                <w:rFonts w:eastAsia="Calibri"/>
                <w:color w:val="000000"/>
              </w:rPr>
              <w:t>Lync Online Plano 2</w:t>
            </w:r>
          </w:p>
        </w:tc>
        <w:tc>
          <w:tcPr>
            <w:tcW w:w="2097" w:type="dxa"/>
            <w:shd w:val="clear" w:color="auto" w:fill="auto"/>
          </w:tcPr>
          <w:p w:rsidR="00A83600" w:rsidRPr="00653421" w:rsidRDefault="00A83600" w:rsidP="006D0A97">
            <w:pPr>
              <w:ind w:left="22" w:right="180"/>
              <w:rPr>
                <w:rFonts w:eastAsia="Calibri"/>
                <w:color w:val="000000"/>
              </w:rPr>
            </w:pPr>
            <w:r w:rsidRPr="00653421">
              <w:rPr>
                <w:rFonts w:eastAsia="Calibri"/>
                <w:color w:val="000000"/>
              </w:rPr>
              <w:t>Lync Online Plano 2</w:t>
            </w:r>
          </w:p>
        </w:tc>
      </w:tr>
      <w:tr w:rsidR="00A83600" w:rsidRPr="00653421" w:rsidTr="006D0A97">
        <w:tc>
          <w:tcPr>
            <w:tcW w:w="2047" w:type="dxa"/>
          </w:tcPr>
          <w:p w:rsidR="00A83600" w:rsidRPr="00653421" w:rsidRDefault="0050116B" w:rsidP="006D0A97">
            <w:pPr>
              <w:ind w:right="9"/>
              <w:rPr>
                <w:rFonts w:eastAsia="Calibri"/>
                <w:color w:val="000000"/>
              </w:rPr>
            </w:pPr>
            <w:r w:rsidRPr="00653421">
              <w:rPr>
                <w:rFonts w:eastAsia="Calibri"/>
                <w:color w:val="000000"/>
              </w:rPr>
              <w:t>Aplicativos da Web do Office (Hospedados pela Microsoft)</w:t>
            </w:r>
          </w:p>
        </w:tc>
        <w:tc>
          <w:tcPr>
            <w:tcW w:w="2160" w:type="dxa"/>
            <w:shd w:val="clear" w:color="auto" w:fill="auto"/>
          </w:tcPr>
          <w:p w:rsidR="00A83600" w:rsidRPr="00653421" w:rsidRDefault="00A83600" w:rsidP="006D0A97">
            <w:pPr>
              <w:ind w:left="22"/>
              <w:rPr>
                <w:rFonts w:eastAsia="Calibri"/>
                <w:color w:val="000000"/>
              </w:rPr>
            </w:pPr>
            <w:r w:rsidRPr="00653421">
              <w:rPr>
                <w:rFonts w:eastAsia="Calibri"/>
                <w:color w:val="000000"/>
              </w:rPr>
              <w:t>Aplicativos da Web do Office (Hospedados pela Microsoft)</w:t>
            </w:r>
          </w:p>
        </w:tc>
        <w:tc>
          <w:tcPr>
            <w:tcW w:w="2313" w:type="dxa"/>
            <w:shd w:val="clear" w:color="auto" w:fill="auto"/>
          </w:tcPr>
          <w:p w:rsidR="00A83600" w:rsidRPr="00653421" w:rsidRDefault="00A83600" w:rsidP="006D0A97">
            <w:pPr>
              <w:ind w:left="22"/>
              <w:rPr>
                <w:rFonts w:eastAsia="Calibri"/>
                <w:color w:val="000000"/>
              </w:rPr>
            </w:pPr>
            <w:r w:rsidRPr="00653421">
              <w:rPr>
                <w:rFonts w:eastAsia="Calibri"/>
                <w:color w:val="000000"/>
              </w:rPr>
              <w:t>Aplicativos da Web do Office (Hospedados pela Microsoft)</w:t>
            </w:r>
          </w:p>
        </w:tc>
        <w:tc>
          <w:tcPr>
            <w:tcW w:w="2097" w:type="dxa"/>
            <w:shd w:val="clear" w:color="auto" w:fill="auto"/>
          </w:tcPr>
          <w:p w:rsidR="00A83600" w:rsidRPr="00653421" w:rsidRDefault="00A83600" w:rsidP="006D0A97">
            <w:pPr>
              <w:ind w:left="22" w:right="9"/>
              <w:rPr>
                <w:rFonts w:eastAsia="Calibri"/>
                <w:color w:val="000000"/>
              </w:rPr>
            </w:pPr>
            <w:r w:rsidRPr="00653421">
              <w:rPr>
                <w:rFonts w:eastAsia="Calibri"/>
                <w:color w:val="000000"/>
              </w:rPr>
              <w:t>Aplicativos da Web do Office (Hospedados pela Microsoft)</w:t>
            </w:r>
          </w:p>
        </w:tc>
      </w:tr>
      <w:tr w:rsidR="00A83600" w:rsidRPr="00653421" w:rsidTr="006D0A97">
        <w:tc>
          <w:tcPr>
            <w:tcW w:w="2047" w:type="dxa"/>
          </w:tcPr>
          <w:p w:rsidR="00A83600" w:rsidRPr="00653421" w:rsidRDefault="00A83600" w:rsidP="006D0A97">
            <w:pPr>
              <w:ind w:left="180" w:right="186"/>
              <w:rPr>
                <w:rFonts w:eastAsia="Calibri"/>
                <w:color w:val="000000"/>
              </w:rPr>
            </w:pPr>
          </w:p>
        </w:tc>
        <w:tc>
          <w:tcPr>
            <w:tcW w:w="2160" w:type="dxa"/>
            <w:shd w:val="clear" w:color="auto" w:fill="auto"/>
          </w:tcPr>
          <w:p w:rsidR="00A83600" w:rsidRPr="00653421" w:rsidRDefault="00A83600" w:rsidP="006D0A97">
            <w:pPr>
              <w:ind w:left="180" w:right="186"/>
              <w:rPr>
                <w:rFonts w:eastAsia="Calibri"/>
                <w:color w:val="000000"/>
              </w:rPr>
            </w:pPr>
          </w:p>
        </w:tc>
        <w:tc>
          <w:tcPr>
            <w:tcW w:w="2313" w:type="dxa"/>
            <w:shd w:val="clear" w:color="auto" w:fill="auto"/>
          </w:tcPr>
          <w:p w:rsidR="00A83600" w:rsidRPr="00653421" w:rsidRDefault="00A83600" w:rsidP="006D0A97">
            <w:pPr>
              <w:ind w:left="22" w:right="138"/>
              <w:rPr>
                <w:rFonts w:eastAsia="Calibri"/>
                <w:color w:val="000000"/>
              </w:rPr>
            </w:pPr>
            <w:r w:rsidRPr="00653421">
              <w:rPr>
                <w:rFonts w:eastAsia="Calibri"/>
                <w:color w:val="000000"/>
              </w:rPr>
              <w:t xml:space="preserve">Assinatura do Office Professional Plus </w:t>
            </w:r>
          </w:p>
        </w:tc>
        <w:tc>
          <w:tcPr>
            <w:tcW w:w="2097" w:type="dxa"/>
            <w:shd w:val="clear" w:color="auto" w:fill="auto"/>
          </w:tcPr>
          <w:p w:rsidR="00A83600" w:rsidRPr="00653421" w:rsidRDefault="00A83600" w:rsidP="006D0A97">
            <w:pPr>
              <w:ind w:left="22" w:right="180"/>
              <w:rPr>
                <w:rFonts w:eastAsia="Calibri"/>
                <w:color w:val="000000"/>
              </w:rPr>
            </w:pPr>
            <w:r w:rsidRPr="00653421">
              <w:rPr>
                <w:rFonts w:eastAsia="Calibri"/>
                <w:color w:val="000000"/>
              </w:rPr>
              <w:t xml:space="preserve">Assinatura do Office Professional Plus </w:t>
            </w:r>
          </w:p>
        </w:tc>
      </w:tr>
    </w:tbl>
    <w:p w:rsidR="00577E83" w:rsidRDefault="00577E83" w:rsidP="00E62BC4">
      <w:pPr>
        <w:ind w:left="720"/>
        <w:rPr>
          <w:color w:val="000000"/>
        </w:rPr>
      </w:pPr>
    </w:p>
    <w:p w:rsidR="00A83600" w:rsidRPr="00653421" w:rsidRDefault="00A83600" w:rsidP="00E62BC4">
      <w:pPr>
        <w:ind w:left="720"/>
      </w:pPr>
      <w:r w:rsidRPr="00653421">
        <w:rPr>
          <w:color w:val="000000"/>
        </w:rPr>
        <w:t>Essa lista está sujeita a alterações.</w:t>
      </w:r>
      <w:r w:rsidR="005A52A2" w:rsidRPr="00653421">
        <w:rPr>
          <w:color w:val="000000"/>
        </w:rPr>
        <w:t xml:space="preserve"> </w:t>
      </w:r>
      <w:r w:rsidRPr="00653421">
        <w:rPr>
          <w:color w:val="000000"/>
        </w:rPr>
        <w:t>Os Direitos de Uso de Produto atuais prevalecerão caso haja conflitos entre os termos da licença do Office 365 Government G1 - G4 e esta observação.</w:t>
      </w:r>
      <w:r w:rsidR="005A52A2" w:rsidRPr="00653421">
        <w:rPr>
          <w:color w:val="000000"/>
        </w:rPr>
        <w:t xml:space="preserve"> </w:t>
      </w:r>
      <w:r w:rsidRPr="00653421">
        <w:rPr>
          <w:color w:val="000000"/>
        </w:rPr>
        <w:t>Os direitos de acesso adicionais, se houver, a softwares locais licenciados separadamente estão especificados nos Direitos de Uso</w:t>
      </w:r>
      <w:r w:rsidR="006D0A97" w:rsidRPr="00653421">
        <w:rPr>
          <w:color w:val="000000"/>
        </w:rPr>
        <w:t> </w:t>
      </w:r>
      <w:r w:rsidRPr="00653421">
        <w:rPr>
          <w:color w:val="000000"/>
        </w:rPr>
        <w:t>de Produto.</w:t>
      </w:r>
    </w:p>
    <w:p w:rsidR="00A83600" w:rsidRPr="00653421" w:rsidRDefault="00A83600" w:rsidP="00E62BC4">
      <w:pPr>
        <w:ind w:left="720"/>
      </w:pPr>
    </w:p>
    <w:p w:rsidR="00A83600" w:rsidRPr="00653421" w:rsidRDefault="00A83600" w:rsidP="00E62BC4">
      <w:pPr>
        <w:ind w:left="720"/>
      </w:pPr>
      <w:r w:rsidRPr="00653421">
        <w:rPr>
          <w:color w:val="000000"/>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6D0A97" w:rsidRPr="00653421">
        <w:rPr>
          <w:color w:val="000000"/>
        </w:rPr>
        <w:t> </w:t>
      </w:r>
      <w:r w:rsidRPr="00653421">
        <w:rPr>
          <w:color w:val="000000"/>
        </w:rPr>
        <w:t>Lync for Mac 2011 a nenhum custo com cada licença de assinatura de teste ou paga do Lync Online. O</w:t>
      </w:r>
      <w:r w:rsidR="006D0A97" w:rsidRPr="00653421">
        <w:rPr>
          <w:color w:val="000000"/>
        </w:rPr>
        <w:t> </w:t>
      </w:r>
      <w:r w:rsidRPr="00653421">
        <w:rPr>
          <w:color w:val="000000"/>
        </w:rPr>
        <w:t>software só poderá ser usado com o Lync Online, e todos os direitos de uso do software se encerrarão ao</w:t>
      </w:r>
      <w:r w:rsidR="006D0A97" w:rsidRPr="00653421">
        <w:rPr>
          <w:color w:val="000000"/>
        </w:rPr>
        <w:t> </w:t>
      </w:r>
      <w:r w:rsidRPr="00653421">
        <w:rPr>
          <w:color w:val="000000"/>
        </w:rPr>
        <w:t>término da licença de assinatura básica ou da migração para a próxima nova versão principal do Lync Online, o que ocorrer primeiro.</w:t>
      </w:r>
      <w:r w:rsidR="00C133AB" w:rsidRPr="00653421">
        <w:rPr>
          <w:color w:val="000000"/>
        </w:rPr>
        <w:t xml:space="preserve"> </w:t>
      </w:r>
      <w:r w:rsidRPr="00653421">
        <w:t>Os clientes podem usar o cliente gratuito Lync Basic 2013 para seus usuários</w:t>
      </w:r>
      <w:r w:rsidR="006D0A97" w:rsidRPr="00653421">
        <w:t> </w:t>
      </w:r>
      <w:r w:rsidRPr="00653421">
        <w:t>finais com base em Windows.</w:t>
      </w:r>
    </w:p>
    <w:p w:rsidR="00A83600" w:rsidRPr="00653421" w:rsidRDefault="00A83600" w:rsidP="00E62BC4">
      <w:pPr>
        <w:ind w:left="720"/>
      </w:pPr>
    </w:p>
    <w:p w:rsidR="00A83600" w:rsidRPr="00653421" w:rsidRDefault="00A83600" w:rsidP="00E62BC4">
      <w:pPr>
        <w:ind w:left="720"/>
      </w:pPr>
      <w:r w:rsidRPr="00653421">
        <w:rPr>
          <w:rFonts w:eastAsia="Calibri" w:cs="Tahoma"/>
          <w:color w:val="000000"/>
          <w:szCs w:val="18"/>
        </w:rPr>
        <w:t>G1-G4 não podem ser implantados no mesmo domínio que os serviços de nuvem da comunidade não governamental específicos.</w:t>
      </w:r>
      <w:r w:rsidR="005A52A2" w:rsidRPr="00653421">
        <w:rPr>
          <w:rFonts w:eastAsia="Calibri" w:cs="Tahoma"/>
          <w:color w:val="000000"/>
          <w:szCs w:val="18"/>
        </w:rPr>
        <w:t xml:space="preserve"> </w:t>
      </w:r>
      <w:r w:rsidRPr="00653421">
        <w:rPr>
          <w:rFonts w:eastAsia="Calibri" w:cs="Tahoma"/>
          <w:color w:val="000000"/>
          <w:szCs w:val="18"/>
        </w:rPr>
        <w:t>Esta limitação se estende a qualquer serviço online que faça parte da família de</w:t>
      </w:r>
      <w:r w:rsidR="006D0A97" w:rsidRPr="00653421">
        <w:rPr>
          <w:rFonts w:eastAsia="Calibri" w:cs="Tahoma"/>
          <w:color w:val="000000"/>
          <w:szCs w:val="18"/>
        </w:rPr>
        <w:t> </w:t>
      </w:r>
      <w:r w:rsidRPr="00653421">
        <w:rPr>
          <w:rFonts w:eastAsia="Calibri" w:cs="Tahoma"/>
          <w:color w:val="000000"/>
          <w:szCs w:val="18"/>
        </w:rPr>
        <w:t>produtos do Office 365, incluindo Exchange Online, SharePoint Online e Lync Online.</w:t>
      </w:r>
    </w:p>
    <w:p w:rsidR="00A83600" w:rsidRPr="00653421" w:rsidRDefault="00A83600" w:rsidP="00E62BC4">
      <w:pPr>
        <w:ind w:left="720"/>
      </w:pPr>
    </w:p>
    <w:p w:rsidR="00A83600" w:rsidRPr="00653421" w:rsidRDefault="00A83600" w:rsidP="00E62BC4">
      <w:pPr>
        <w:ind w:left="720"/>
      </w:pPr>
      <w:r w:rsidRPr="00653421">
        <w:rPr>
          <w:rFonts w:eastAsia="Calibri" w:cs="Tahoma"/>
          <w:color w:val="000000"/>
          <w:szCs w:val="18"/>
        </w:rPr>
        <w:t>Assim que um serviço online é provisionado na nuvem de comunidade do governo, ele permanecerá lá pela</w:t>
      </w:r>
      <w:r w:rsidR="006D0A97" w:rsidRPr="00653421">
        <w:rPr>
          <w:rFonts w:eastAsia="Calibri" w:cs="Tahoma"/>
          <w:color w:val="000000"/>
          <w:szCs w:val="18"/>
        </w:rPr>
        <w:t> </w:t>
      </w:r>
      <w:r w:rsidRPr="00653421">
        <w:rPr>
          <w:rFonts w:eastAsia="Calibri" w:cs="Tahoma"/>
          <w:color w:val="000000"/>
          <w:szCs w:val="18"/>
        </w:rPr>
        <w:t>duração da vigência da assinatura.</w:t>
      </w:r>
      <w:r w:rsidR="005A52A2" w:rsidRPr="00653421">
        <w:rPr>
          <w:rFonts w:eastAsia="Calibri" w:cs="Tahoma"/>
          <w:color w:val="000000"/>
          <w:szCs w:val="18"/>
        </w:rPr>
        <w:t xml:space="preserve"> </w:t>
      </w:r>
      <w:r w:rsidRPr="00653421">
        <w:rPr>
          <w:rFonts w:eastAsia="Calibri" w:cs="Tahoma"/>
          <w:color w:val="000000"/>
          <w:szCs w:val="18"/>
        </w:rPr>
        <w:t>Clientes que são instituições governamentais federais, estaduais, locais ou tribais dos Estados Unidos devem fazer parte de um Registro Enterprise do Governo Americano ou</w:t>
      </w:r>
      <w:r w:rsidR="006D0A97" w:rsidRPr="00653421">
        <w:rPr>
          <w:rFonts w:eastAsia="Calibri" w:cs="Tahoma"/>
          <w:color w:val="000000"/>
          <w:szCs w:val="18"/>
        </w:rPr>
        <w:t> </w:t>
      </w:r>
      <w:r w:rsidRPr="00653421">
        <w:rPr>
          <w:rFonts w:eastAsia="Calibri" w:cs="Tahoma"/>
          <w:color w:val="000000"/>
          <w:szCs w:val="18"/>
        </w:rPr>
        <w:t>Registro Enterprise Subscription para estar qualificado para comprar serviços online designados como nuvem da comunidade do governo.</w:t>
      </w:r>
      <w:r w:rsidR="005A52A2" w:rsidRPr="00653421">
        <w:rPr>
          <w:rFonts w:eastAsia="Calibri" w:cs="Tahoma"/>
          <w:color w:val="000000"/>
          <w:szCs w:val="18"/>
        </w:rPr>
        <w:t xml:space="preserve"> </w:t>
      </w:r>
      <w:r w:rsidRPr="00653421">
        <w:rPr>
          <w:rFonts w:eastAsia="Calibri" w:cs="Tahoma"/>
          <w:color w:val="000000"/>
          <w:szCs w:val="18"/>
        </w:rPr>
        <w:t>Os Direitos de Uso para serviços de nuvem da comunidade do governo são equivalentes àqueles dos seus diversos locatários padrão, conforme indicado na tabela a seguir:</w:t>
      </w:r>
    </w:p>
    <w:p w:rsidR="00A83600" w:rsidRPr="00653421" w:rsidRDefault="00A83600" w:rsidP="00A83600">
      <w:pPr>
        <w:ind w:left="900"/>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3"/>
        <w:gridCol w:w="4319"/>
      </w:tblGrid>
      <w:tr w:rsidR="00A83600" w:rsidRPr="00653421" w:rsidTr="00CA14C9">
        <w:tc>
          <w:tcPr>
            <w:tcW w:w="4202" w:type="dxa"/>
            <w:shd w:val="clear" w:color="auto" w:fill="FABF8F"/>
          </w:tcPr>
          <w:p w:rsidR="00A83600" w:rsidRPr="00653421" w:rsidRDefault="00A83600" w:rsidP="00722522">
            <w:pPr>
              <w:rPr>
                <w:rFonts w:eastAsia="Calibri"/>
                <w:b/>
                <w:color w:val="000000"/>
                <w:sz w:val="20"/>
                <w:szCs w:val="20"/>
              </w:rPr>
            </w:pPr>
            <w:r w:rsidRPr="00653421">
              <w:rPr>
                <w:rFonts w:eastAsia="Calibri"/>
                <w:b/>
                <w:color w:val="000000"/>
                <w:sz w:val="20"/>
                <w:szCs w:val="20"/>
              </w:rPr>
              <w:t xml:space="preserve">Office 365 Enterprise E </w:t>
            </w:r>
          </w:p>
        </w:tc>
        <w:tc>
          <w:tcPr>
            <w:tcW w:w="4366" w:type="dxa"/>
            <w:shd w:val="clear" w:color="auto" w:fill="FABF8F"/>
          </w:tcPr>
          <w:p w:rsidR="00A83600" w:rsidRPr="00653421" w:rsidRDefault="00A83600" w:rsidP="00722522">
            <w:pPr>
              <w:rPr>
                <w:rFonts w:eastAsia="Calibri"/>
                <w:b/>
                <w:color w:val="000000"/>
                <w:sz w:val="20"/>
                <w:szCs w:val="20"/>
              </w:rPr>
            </w:pPr>
            <w:r w:rsidRPr="00653421">
              <w:rPr>
                <w:rFonts w:eastAsia="Calibri"/>
                <w:b/>
                <w:color w:val="000000"/>
                <w:sz w:val="20"/>
                <w:szCs w:val="20"/>
              </w:rPr>
              <w:t>Serviço Office 365 Government G com Direitos de uso equivalentes</w:t>
            </w:r>
          </w:p>
        </w:tc>
      </w:tr>
      <w:tr w:rsidR="00A83600" w:rsidRPr="00653421" w:rsidTr="00CA14C9">
        <w:tc>
          <w:tcPr>
            <w:tcW w:w="4202" w:type="dxa"/>
            <w:shd w:val="clear" w:color="auto" w:fill="auto"/>
          </w:tcPr>
          <w:p w:rsidR="00A83600" w:rsidRPr="00653421" w:rsidRDefault="00A83600" w:rsidP="00722522">
            <w:pPr>
              <w:rPr>
                <w:rFonts w:eastAsia="Calibri"/>
                <w:color w:val="000000"/>
              </w:rPr>
            </w:pPr>
            <w:r w:rsidRPr="00653421">
              <w:rPr>
                <w:rFonts w:eastAsia="Calibri"/>
                <w:color w:val="000000"/>
              </w:rPr>
              <w:t>Office 365 Enterprise E1</w:t>
            </w:r>
          </w:p>
        </w:tc>
        <w:tc>
          <w:tcPr>
            <w:tcW w:w="4366" w:type="dxa"/>
            <w:shd w:val="clear" w:color="auto" w:fill="auto"/>
          </w:tcPr>
          <w:p w:rsidR="00A83600" w:rsidRPr="00653421" w:rsidRDefault="00A83600" w:rsidP="00722522">
            <w:pPr>
              <w:rPr>
                <w:rFonts w:eastAsia="Calibri"/>
                <w:color w:val="000000"/>
              </w:rPr>
            </w:pPr>
            <w:r w:rsidRPr="00653421">
              <w:rPr>
                <w:rFonts w:eastAsia="Calibri"/>
                <w:color w:val="000000"/>
              </w:rPr>
              <w:t>Office 365 Government G1</w:t>
            </w:r>
          </w:p>
        </w:tc>
      </w:tr>
      <w:tr w:rsidR="00A83600" w:rsidRPr="00653421" w:rsidTr="00CA14C9">
        <w:tc>
          <w:tcPr>
            <w:tcW w:w="4202" w:type="dxa"/>
            <w:shd w:val="clear" w:color="auto" w:fill="auto"/>
          </w:tcPr>
          <w:p w:rsidR="00A83600" w:rsidRPr="00653421" w:rsidRDefault="00A83600" w:rsidP="00722522">
            <w:pPr>
              <w:rPr>
                <w:rFonts w:eastAsia="Calibri"/>
                <w:color w:val="000000"/>
              </w:rPr>
            </w:pPr>
            <w:r w:rsidRPr="00653421">
              <w:rPr>
                <w:rFonts w:eastAsia="Calibri"/>
                <w:color w:val="000000"/>
              </w:rPr>
              <w:t>Office 365 Enterprise E2</w:t>
            </w:r>
          </w:p>
        </w:tc>
        <w:tc>
          <w:tcPr>
            <w:tcW w:w="4366" w:type="dxa"/>
            <w:shd w:val="clear" w:color="auto" w:fill="auto"/>
          </w:tcPr>
          <w:p w:rsidR="00A83600" w:rsidRPr="00653421" w:rsidRDefault="00A83600" w:rsidP="00722522">
            <w:pPr>
              <w:rPr>
                <w:rFonts w:eastAsia="Calibri"/>
                <w:color w:val="000000"/>
              </w:rPr>
            </w:pPr>
            <w:r w:rsidRPr="00653421">
              <w:rPr>
                <w:rFonts w:eastAsia="Calibri"/>
                <w:color w:val="000000"/>
              </w:rPr>
              <w:t>Office 365 Government G2</w:t>
            </w:r>
          </w:p>
        </w:tc>
      </w:tr>
      <w:tr w:rsidR="00A83600" w:rsidRPr="00653421" w:rsidTr="00CA14C9">
        <w:tc>
          <w:tcPr>
            <w:tcW w:w="4202" w:type="dxa"/>
            <w:shd w:val="clear" w:color="auto" w:fill="auto"/>
          </w:tcPr>
          <w:p w:rsidR="00A83600" w:rsidRPr="00653421" w:rsidRDefault="00A83600" w:rsidP="00722522">
            <w:pPr>
              <w:rPr>
                <w:rFonts w:eastAsia="Calibri"/>
                <w:color w:val="000000"/>
              </w:rPr>
            </w:pPr>
            <w:r w:rsidRPr="00653421">
              <w:rPr>
                <w:rFonts w:eastAsia="Calibri"/>
                <w:color w:val="000000"/>
              </w:rPr>
              <w:t>Office 365 Enterprise E3</w:t>
            </w:r>
          </w:p>
        </w:tc>
        <w:tc>
          <w:tcPr>
            <w:tcW w:w="4366" w:type="dxa"/>
            <w:shd w:val="clear" w:color="auto" w:fill="auto"/>
          </w:tcPr>
          <w:p w:rsidR="00A83600" w:rsidRPr="00653421" w:rsidRDefault="00A83600" w:rsidP="00722522">
            <w:pPr>
              <w:rPr>
                <w:rFonts w:eastAsia="Calibri"/>
                <w:color w:val="000000"/>
              </w:rPr>
            </w:pPr>
            <w:r w:rsidRPr="00653421">
              <w:rPr>
                <w:rFonts w:eastAsia="Calibri"/>
                <w:color w:val="000000"/>
              </w:rPr>
              <w:t>Office 365 Government G3</w:t>
            </w:r>
          </w:p>
        </w:tc>
      </w:tr>
      <w:tr w:rsidR="00A83600" w:rsidRPr="00653421" w:rsidTr="00CA14C9">
        <w:tc>
          <w:tcPr>
            <w:tcW w:w="4202" w:type="dxa"/>
            <w:shd w:val="clear" w:color="auto" w:fill="auto"/>
          </w:tcPr>
          <w:p w:rsidR="00A83600" w:rsidRPr="00653421" w:rsidRDefault="00A83600" w:rsidP="00722522">
            <w:pPr>
              <w:rPr>
                <w:rFonts w:eastAsia="Calibri"/>
                <w:color w:val="000000"/>
              </w:rPr>
            </w:pPr>
            <w:r w:rsidRPr="00653421">
              <w:rPr>
                <w:rFonts w:eastAsia="Calibri"/>
                <w:color w:val="000000"/>
              </w:rPr>
              <w:t>Office 365 Enterprise E4</w:t>
            </w:r>
          </w:p>
        </w:tc>
        <w:tc>
          <w:tcPr>
            <w:tcW w:w="4366" w:type="dxa"/>
            <w:shd w:val="clear" w:color="auto" w:fill="auto"/>
          </w:tcPr>
          <w:p w:rsidR="00A83600" w:rsidRPr="00653421" w:rsidRDefault="00A83600" w:rsidP="00722522">
            <w:pPr>
              <w:rPr>
                <w:rFonts w:eastAsia="Calibri"/>
                <w:color w:val="000000"/>
              </w:rPr>
            </w:pPr>
            <w:r w:rsidRPr="00653421">
              <w:rPr>
                <w:rFonts w:eastAsia="Calibri"/>
                <w:color w:val="000000"/>
              </w:rPr>
              <w:t>Office 365 Government G4</w:t>
            </w:r>
          </w:p>
        </w:tc>
      </w:tr>
    </w:tbl>
    <w:p w:rsidR="004574E9" w:rsidRPr="00653421" w:rsidRDefault="004574E9" w:rsidP="00194DAF"/>
    <w:p w:rsidR="00C737B6" w:rsidRPr="00653421" w:rsidRDefault="00C737B6" w:rsidP="007B699C">
      <w:pPr>
        <w:pStyle w:val="EndnoteText"/>
        <w:ind w:left="0"/>
      </w:pPr>
      <w:bookmarkStart w:id="1391" w:name="_59_Office_Communications"/>
      <w:bookmarkStart w:id="1392" w:name="_57_Office_Communications"/>
      <w:bookmarkStart w:id="1393" w:name="_59_Office_Groove"/>
      <w:bookmarkStart w:id="1394" w:name="Srv_62OfficePerfPointSvr07"/>
      <w:bookmarkEnd w:id="1366"/>
      <w:bookmarkEnd w:id="1391"/>
      <w:bookmarkEnd w:id="1392"/>
      <w:bookmarkEnd w:id="1393"/>
    </w:p>
    <w:p w:rsidR="00F42FD5" w:rsidRPr="00653421" w:rsidRDefault="00F66FB0" w:rsidP="00F42FD5">
      <w:pPr>
        <w:pStyle w:val="Heading2"/>
        <w:ind w:left="0"/>
      </w:pPr>
      <w:bookmarkStart w:id="1395" w:name="_68_SharePoint_Online"/>
      <w:bookmarkStart w:id="1396" w:name="_71_SharePoint_Online"/>
      <w:bookmarkStart w:id="1397" w:name="_72_SharePoint_Online"/>
      <w:bookmarkStart w:id="1398" w:name="_Toc336338334"/>
      <w:bookmarkStart w:id="1399" w:name="_Toc353470978"/>
      <w:bookmarkStart w:id="1400" w:name="Srv_73SharepointOnlinePlan1"/>
      <w:bookmarkStart w:id="1401" w:name="Srv_74SharepointOnlinePlan1"/>
      <w:bookmarkEnd w:id="1395"/>
      <w:bookmarkEnd w:id="1396"/>
      <w:bookmarkEnd w:id="1397"/>
      <w:r w:rsidRPr="00653421">
        <w:rPr>
          <w:rFonts w:ascii="Tahoma" w:hAnsi="Tahoma" w:cs="Tahoma"/>
          <w:caps/>
          <w:color w:val="FF6600"/>
          <w:sz w:val="22"/>
          <w:vertAlign w:val="superscript"/>
        </w:rPr>
        <w:t>72</w:t>
      </w:r>
      <w:r w:rsidRPr="00653421">
        <w:rPr>
          <w:rFonts w:ascii="Tahoma" w:hAnsi="Tahoma" w:cs="Tahoma"/>
          <w:color w:val="FF6600"/>
        </w:rPr>
        <w:t xml:space="preserve"> </w:t>
      </w:r>
      <w:r w:rsidRPr="00653421">
        <w:rPr>
          <w:rFonts w:ascii="Tahoma" w:hAnsi="Tahoma" w:cs="Tahoma"/>
          <w:color w:val="FF6600"/>
          <w:sz w:val="22"/>
          <w:szCs w:val="22"/>
        </w:rPr>
        <w:t>SharePoint Online Planos 1 e 2</w:t>
      </w:r>
      <w:bookmarkEnd w:id="1398"/>
      <w:bookmarkEnd w:id="1399"/>
    </w:p>
    <w:bookmarkEnd w:id="1400"/>
    <w:bookmarkEnd w:id="1401"/>
    <w:p w:rsidR="00F42FD5" w:rsidRPr="00653421" w:rsidRDefault="00F42FD5" w:rsidP="00F42FD5"/>
    <w:p w:rsidR="00F42FD5" w:rsidRPr="00653421" w:rsidRDefault="00F42FD5" w:rsidP="00AC0ED2">
      <w:pPr>
        <w:pStyle w:val="EndnoteText"/>
        <w:ind w:left="720"/>
      </w:pPr>
      <w:r w:rsidRPr="00653421">
        <w:rPr>
          <w:rFonts w:ascii="Tahoma" w:hAnsi="Tahoma" w:cs="Tahoma"/>
          <w:color w:val="000000"/>
          <w:sz w:val="18"/>
          <w:szCs w:val="18"/>
        </w:rPr>
        <w:t>O SharePoint Online Plano 1 era conhecido anteriormente como SharePoint Online Standard.</w:t>
      </w:r>
    </w:p>
    <w:p w:rsidR="00F42FD5" w:rsidRPr="00653421" w:rsidRDefault="00F42FD5" w:rsidP="00AC0ED2">
      <w:pPr>
        <w:pStyle w:val="EndnoteText"/>
        <w:ind w:left="720"/>
      </w:pPr>
    </w:p>
    <w:p w:rsidR="00F42FD5" w:rsidRPr="00653421" w:rsidRDefault="00F42FD5" w:rsidP="00AC0ED2">
      <w:pPr>
        <w:pStyle w:val="EndnoteText"/>
        <w:ind w:left="720"/>
      </w:pPr>
      <w:r w:rsidRPr="00653421">
        <w:rPr>
          <w:rFonts w:ascii="Tahoma" w:hAnsi="Tahoma" w:cs="Tahoma"/>
          <w:color w:val="000000"/>
          <w:sz w:val="18"/>
          <w:szCs w:val="18"/>
        </w:rPr>
        <w:t>Os Clientes no Brasil ou no Chile que comprarem o SharePoint Online Plano 1 receberão o SharePoint Online Standard.</w:t>
      </w:r>
      <w:r w:rsidR="005A52A2" w:rsidRPr="00653421">
        <w:rPr>
          <w:rFonts w:ascii="Tahoma" w:hAnsi="Tahoma" w:cs="Tahoma"/>
          <w:color w:val="000000"/>
          <w:sz w:val="18"/>
          <w:szCs w:val="18"/>
        </w:rPr>
        <w:t xml:space="preserve"> </w:t>
      </w:r>
      <w:r w:rsidRPr="00653421">
        <w:rPr>
          <w:rFonts w:ascii="Tahoma" w:hAnsi="Tahoma" w:cs="Tahoma"/>
          <w:color w:val="000000"/>
          <w:sz w:val="18"/>
          <w:szCs w:val="18"/>
        </w:rPr>
        <w:t>Esses clientes poderão migrar para o SharePoint Online Plano 1 posteriormente.</w:t>
      </w:r>
    </w:p>
    <w:p w:rsidR="007316A1" w:rsidRPr="00653421" w:rsidRDefault="007316A1" w:rsidP="00AC0ED2">
      <w:pPr>
        <w:pStyle w:val="EndnoteText"/>
        <w:ind w:left="720"/>
      </w:pPr>
    </w:p>
    <w:p w:rsidR="00577E83" w:rsidRPr="00653421" w:rsidRDefault="00577E83" w:rsidP="00AC0ED2">
      <w:pPr>
        <w:pStyle w:val="EndnoteText"/>
        <w:ind w:left="720"/>
      </w:pPr>
    </w:p>
    <w:p w:rsidR="00DB7BD1" w:rsidRPr="00653421" w:rsidRDefault="00DB7BD1" w:rsidP="007B699C">
      <w:pPr>
        <w:spacing w:after="60"/>
        <w:ind w:left="720"/>
      </w:pPr>
      <w:r w:rsidRPr="00653421">
        <w:rPr>
          <w:rFonts w:eastAsia="Calibri" w:cs="Tahoma"/>
          <w:b/>
          <w:color w:val="000000"/>
          <w:szCs w:val="18"/>
        </w:rPr>
        <w:lastRenderedPageBreak/>
        <w:t>Nuvem da Comunidade do Governo (Apenas para os Estados Unidos)</w:t>
      </w:r>
    </w:p>
    <w:p w:rsidR="00DB7BD1" w:rsidRPr="00653421" w:rsidRDefault="00DB7BD1" w:rsidP="00AC0ED2">
      <w:pPr>
        <w:ind w:left="720"/>
      </w:pPr>
      <w:r w:rsidRPr="00653421">
        <w:rPr>
          <w:rFonts w:eastAsia="Calibri" w:cs="Tahoma"/>
          <w:color w:val="000000"/>
          <w:szCs w:val="18"/>
        </w:rPr>
        <w:t>Alguns serviços online na família de produtos do Office 365 (incluindo SharePoint Online Planos 1 e 2) são oferecidos como serviços de nuvem da comunidade do governo e serviços de nuvem da comunidade não governamental.</w:t>
      </w:r>
      <w:r w:rsidR="005A52A2" w:rsidRPr="00653421">
        <w:rPr>
          <w:rFonts w:eastAsia="Calibri" w:cs="Tahoma"/>
          <w:color w:val="000000"/>
          <w:szCs w:val="18"/>
        </w:rPr>
        <w:t xml:space="preserve"> </w:t>
      </w:r>
      <w:r w:rsidRPr="00653421">
        <w:rPr>
          <w:rFonts w:eastAsia="Calibri" w:cs="Tahoma"/>
          <w:color w:val="000000"/>
          <w:szCs w:val="18"/>
        </w:rPr>
        <w:t>Os clientes podem ser provisionados como um ou outro, mas não com uma mistura dos dois.</w:t>
      </w:r>
      <w:r w:rsidR="005A52A2" w:rsidRPr="00653421">
        <w:rPr>
          <w:rFonts w:eastAsia="Calibri" w:cs="Tahoma"/>
          <w:color w:val="000000"/>
          <w:szCs w:val="18"/>
        </w:rPr>
        <w:t xml:space="preserve"> </w:t>
      </w:r>
      <w:r w:rsidRPr="00653421">
        <w:rPr>
          <w:rFonts w:eastAsia="Calibri" w:cs="Tahoma"/>
          <w:color w:val="000000"/>
          <w:szCs w:val="18"/>
        </w:rPr>
        <w:t>Os Serviços Online projetados como nuvem de comunidade do governo não podem ser implantados no</w:t>
      </w:r>
      <w:r w:rsidR="006D0A97" w:rsidRPr="00653421">
        <w:rPr>
          <w:rFonts w:eastAsia="Calibri" w:cs="Tahoma"/>
          <w:color w:val="000000"/>
          <w:szCs w:val="18"/>
        </w:rPr>
        <w:t> </w:t>
      </w:r>
      <w:r w:rsidRPr="00653421">
        <w:rPr>
          <w:rFonts w:eastAsia="Calibri" w:cs="Tahoma"/>
          <w:color w:val="000000"/>
          <w:szCs w:val="18"/>
        </w:rPr>
        <w:t>mesmo domínio que os serviços de nuvem da comunidade não governamental específicos.</w:t>
      </w:r>
      <w:r w:rsidR="005A52A2" w:rsidRPr="00653421">
        <w:rPr>
          <w:rFonts w:eastAsia="Calibri" w:cs="Tahoma"/>
          <w:color w:val="000000"/>
          <w:szCs w:val="18"/>
        </w:rPr>
        <w:t xml:space="preserve"> </w:t>
      </w:r>
      <w:r w:rsidRPr="00653421">
        <w:rPr>
          <w:rFonts w:eastAsia="Calibri" w:cs="Tahoma"/>
          <w:color w:val="000000"/>
          <w:szCs w:val="18"/>
        </w:rPr>
        <w:t>Esta limitação se estende a qualquer serviço online que faça parte da família de produtos do Office 365, incluindo Exchange Online, SharePoint Online e Lync Online.</w:t>
      </w:r>
      <w:r w:rsidR="005A52A2" w:rsidRPr="00653421">
        <w:rPr>
          <w:rFonts w:eastAsia="Calibri" w:cs="Tahoma"/>
          <w:color w:val="000000"/>
          <w:szCs w:val="18"/>
        </w:rPr>
        <w:t xml:space="preserve"> </w:t>
      </w:r>
    </w:p>
    <w:p w:rsidR="00DB7BD1" w:rsidRPr="00653421" w:rsidRDefault="00DB7BD1" w:rsidP="00AC0ED2">
      <w:pPr>
        <w:ind w:left="720"/>
      </w:pPr>
    </w:p>
    <w:p w:rsidR="00DB7BD1" w:rsidRPr="00653421" w:rsidRDefault="00DB7BD1" w:rsidP="00AC0ED2">
      <w:pPr>
        <w:ind w:left="720"/>
      </w:pPr>
      <w:r w:rsidRPr="00653421">
        <w:rPr>
          <w:rFonts w:eastAsia="Calibri" w:cs="Tahoma"/>
          <w:color w:val="000000"/>
          <w:szCs w:val="18"/>
        </w:rPr>
        <w:t>Assim que um serviço online é provisionado na nuvem de comunidade do governo, ele permanecerá lá pela</w:t>
      </w:r>
      <w:r w:rsidR="006D0A97" w:rsidRPr="00653421">
        <w:rPr>
          <w:rFonts w:eastAsia="Calibri" w:cs="Tahoma"/>
          <w:color w:val="000000"/>
          <w:szCs w:val="18"/>
        </w:rPr>
        <w:t> </w:t>
      </w:r>
      <w:r w:rsidRPr="00653421">
        <w:rPr>
          <w:rFonts w:eastAsia="Calibri" w:cs="Tahoma"/>
          <w:color w:val="000000"/>
          <w:szCs w:val="18"/>
        </w:rPr>
        <w:t>duração da vigência da assinatura.</w:t>
      </w:r>
      <w:r w:rsidR="005A52A2" w:rsidRPr="00653421">
        <w:rPr>
          <w:rFonts w:eastAsia="Calibri" w:cs="Tahoma"/>
          <w:color w:val="000000"/>
          <w:szCs w:val="18"/>
        </w:rPr>
        <w:t xml:space="preserve"> </w:t>
      </w:r>
      <w:r w:rsidRPr="00653421">
        <w:rPr>
          <w:rFonts w:eastAsia="Calibri" w:cs="Tahoma"/>
          <w:color w:val="000000"/>
          <w:szCs w:val="18"/>
        </w:rPr>
        <w:t>Clientes que são instituições governamentais federais, estaduais, locais ou tribais dos Estados Unidos devem fazer parte de um Registro Enterprise do Governo Americano ou</w:t>
      </w:r>
      <w:r w:rsidR="006D0A97" w:rsidRPr="00653421">
        <w:rPr>
          <w:rFonts w:eastAsia="Calibri" w:cs="Tahoma"/>
          <w:color w:val="000000"/>
          <w:szCs w:val="18"/>
        </w:rPr>
        <w:t> </w:t>
      </w:r>
      <w:r w:rsidRPr="00653421">
        <w:rPr>
          <w:rFonts w:eastAsia="Calibri" w:cs="Tahoma"/>
          <w:color w:val="000000"/>
          <w:szCs w:val="18"/>
        </w:rPr>
        <w:t>Registro Enterprise Subscription para estar qualificado para comprar serviços online designados como nuvem da comunidade do governo.</w:t>
      </w:r>
      <w:r w:rsidR="005A52A2" w:rsidRPr="00653421">
        <w:rPr>
          <w:rFonts w:eastAsia="Calibri" w:cs="Tahoma"/>
          <w:color w:val="000000"/>
          <w:szCs w:val="18"/>
        </w:rPr>
        <w:t xml:space="preserve"> </w:t>
      </w:r>
      <w:r w:rsidRPr="00653421">
        <w:rPr>
          <w:rFonts w:eastAsia="Calibri" w:cs="Tahoma"/>
          <w:color w:val="000000"/>
          <w:szCs w:val="18"/>
        </w:rPr>
        <w:t>Os Direitos de Uso para serviços de nuvem da comunidade do governo são equivalentes àqueles dos seus diversos locatários padrão.</w:t>
      </w:r>
    </w:p>
    <w:p w:rsidR="00C737B6" w:rsidRPr="00653421" w:rsidRDefault="00C737B6" w:rsidP="00697E59">
      <w:pPr>
        <w:pStyle w:val="EndnoteText"/>
        <w:ind w:left="0"/>
      </w:pPr>
    </w:p>
    <w:p w:rsidR="007B699C" w:rsidRPr="00653421" w:rsidRDefault="007B699C" w:rsidP="00697E59">
      <w:pPr>
        <w:pStyle w:val="EndnoteText"/>
        <w:ind w:left="0"/>
      </w:pPr>
    </w:p>
    <w:p w:rsidR="002F7FB8" w:rsidRPr="00653421" w:rsidRDefault="00F66FB0" w:rsidP="002F7FB8">
      <w:pPr>
        <w:pStyle w:val="Heading2"/>
        <w:ind w:left="0"/>
      </w:pPr>
      <w:bookmarkStart w:id="1402" w:name="_69_SharePoint_Server"/>
      <w:bookmarkStart w:id="1403" w:name="_74_72_SharePoint"/>
      <w:bookmarkStart w:id="1404" w:name="_73_SharePoint_Server"/>
      <w:bookmarkStart w:id="1405" w:name="_Toc336338335"/>
      <w:bookmarkStart w:id="1406" w:name="_Toc353470979"/>
      <w:bookmarkStart w:id="1407" w:name="Srv_65ShareptSvr10"/>
      <w:bookmarkStart w:id="1408" w:name="Srv_64OfficeShareptSvr10"/>
      <w:bookmarkStart w:id="1409" w:name="Srv_63OfficeShareptSvr07"/>
      <w:bookmarkStart w:id="1410" w:name="Srv_62OfficeShareptSvr07"/>
      <w:bookmarkEnd w:id="1394"/>
      <w:bookmarkEnd w:id="1402"/>
      <w:bookmarkEnd w:id="1403"/>
      <w:bookmarkEnd w:id="1404"/>
      <w:r w:rsidRPr="00653421">
        <w:rPr>
          <w:rFonts w:ascii="Tahoma" w:hAnsi="Tahoma" w:cs="Tahoma"/>
          <w:caps/>
          <w:color w:val="FA6500"/>
          <w:sz w:val="22"/>
          <w:vertAlign w:val="superscript"/>
        </w:rPr>
        <w:t>73</w:t>
      </w:r>
      <w:r w:rsidRPr="00653421">
        <w:rPr>
          <w:rFonts w:ascii="Tahoma" w:hAnsi="Tahoma" w:cs="Tahoma"/>
          <w:caps/>
          <w:color w:val="FA6500"/>
          <w:sz w:val="22"/>
        </w:rPr>
        <w:t xml:space="preserve"> </w:t>
      </w:r>
      <w:r w:rsidRPr="00653421">
        <w:rPr>
          <w:rFonts w:ascii="Tahoma" w:hAnsi="Tahoma" w:cs="Tahoma"/>
          <w:color w:val="FA6500"/>
          <w:sz w:val="22"/>
        </w:rPr>
        <w:t xml:space="preserve">SharePoint Server </w:t>
      </w:r>
      <w:bookmarkEnd w:id="1405"/>
      <w:r w:rsidRPr="00653421">
        <w:rPr>
          <w:rFonts w:ascii="Tahoma" w:hAnsi="Tahoma" w:cs="Tahoma"/>
          <w:color w:val="FA6500"/>
          <w:sz w:val="22"/>
        </w:rPr>
        <w:t>2013</w:t>
      </w:r>
      <w:bookmarkEnd w:id="1406"/>
      <w:r w:rsidRPr="00653421">
        <w:rPr>
          <w:rFonts w:ascii="Tahoma" w:hAnsi="Tahoma" w:cs="Tahoma"/>
          <w:color w:val="FA6500"/>
          <w:sz w:val="22"/>
        </w:rPr>
        <w:t xml:space="preserve"> </w:t>
      </w:r>
    </w:p>
    <w:bookmarkEnd w:id="1407"/>
    <w:bookmarkEnd w:id="1408"/>
    <w:bookmarkEnd w:id="1409"/>
    <w:bookmarkEnd w:id="1410"/>
    <w:p w:rsidR="002F7FB8" w:rsidRPr="00653421" w:rsidRDefault="002F7FB8" w:rsidP="00CA6633">
      <w:pPr>
        <w:spacing w:line="180" w:lineRule="exact"/>
        <w:ind w:left="720"/>
      </w:pPr>
    </w:p>
    <w:p w:rsidR="002F7FB8" w:rsidRPr="00653421" w:rsidRDefault="002F7FB8" w:rsidP="002F7FB8">
      <w:pPr>
        <w:ind w:left="720"/>
      </w:pPr>
      <w:r w:rsidRPr="00653421">
        <w:rPr>
          <w:rFonts w:cs="Tahoma"/>
          <w:color w:val="000000"/>
          <w:szCs w:val="18"/>
        </w:rPr>
        <w:t>SharePoint Server 2013 é a versão mais recente do SharePoint Server.</w:t>
      </w:r>
    </w:p>
    <w:p w:rsidR="002F7FB8" w:rsidRPr="00653421" w:rsidRDefault="002F7FB8" w:rsidP="00CA6633">
      <w:pPr>
        <w:spacing w:line="180" w:lineRule="exact"/>
        <w:ind w:left="720"/>
      </w:pPr>
    </w:p>
    <w:p w:rsidR="002F7FB8" w:rsidRPr="00653421" w:rsidRDefault="002F7FB8" w:rsidP="007B699C">
      <w:pPr>
        <w:spacing w:after="60"/>
        <w:ind w:left="720"/>
      </w:pPr>
      <w:r w:rsidRPr="00653421">
        <w:rPr>
          <w:rFonts w:cs="Tahoma"/>
          <w:b/>
          <w:color w:val="000000"/>
          <w:szCs w:val="18"/>
        </w:rPr>
        <w:t>Outorgas de Licença para SharePoint 2010 para Internet Sites Enterprise, SharePoint Server 2010 para Internet Sites Standard, FAST Search Server 2010 para Clientes do SharePoint Server, Search Server 2010</w:t>
      </w:r>
    </w:p>
    <w:p w:rsidR="002F7FB8" w:rsidRPr="00653421" w:rsidRDefault="00CD0D74" w:rsidP="002F7FB8">
      <w:pPr>
        <w:ind w:left="720"/>
      </w:pPr>
      <w:r w:rsidRPr="00653421">
        <w:rPr>
          <w:rFonts w:cs="Tahoma"/>
          <w:color w:val="000000"/>
          <w:szCs w:val="18"/>
        </w:rPr>
        <w:t>A versão 2010 do SharePoint Server para Internet Sites Enterprise e SharePoint Server para Internet Sites Standard, FAST Search Server para SharePoint Server e Search Server é a versão final desses produtos.</w:t>
      </w:r>
      <w:r w:rsidR="005A52A2" w:rsidRPr="00653421">
        <w:rPr>
          <w:rFonts w:cs="Tahoma"/>
          <w:color w:val="000000"/>
          <w:szCs w:val="18"/>
        </w:rPr>
        <w:t xml:space="preserve"> </w:t>
      </w:r>
      <w:r w:rsidRPr="00653421">
        <w:rPr>
          <w:rFonts w:cs="Tahoma"/>
          <w:color w:val="000000"/>
          <w:szCs w:val="18"/>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dezembro de 2012 estão qualificados para as seguintes outorgas de licença.</w:t>
      </w:r>
    </w:p>
    <w:p w:rsidR="002F7FB8" w:rsidRPr="00653421" w:rsidRDefault="002F7FB8" w:rsidP="00CA6633">
      <w:pPr>
        <w:spacing w:line="180" w:lineRule="exact"/>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4140"/>
      </w:tblGrid>
      <w:tr w:rsidR="002F7FB8" w:rsidRPr="00653421" w:rsidTr="00CA6633">
        <w:trPr>
          <w:trHeight w:val="332"/>
        </w:trPr>
        <w:tc>
          <w:tcPr>
            <w:tcW w:w="4230" w:type="dxa"/>
            <w:shd w:val="clear" w:color="auto" w:fill="FABF8F"/>
          </w:tcPr>
          <w:p w:rsidR="002F7FB8" w:rsidRPr="00653421" w:rsidRDefault="002F7FB8" w:rsidP="007E466C">
            <w:pPr>
              <w:keepNext/>
              <w:keepLines/>
              <w:spacing w:before="60" w:after="60"/>
              <w:rPr>
                <w:rFonts w:cs="Tahoma"/>
                <w:b/>
                <w:color w:val="000000"/>
                <w:szCs w:val="18"/>
              </w:rPr>
            </w:pPr>
            <w:r w:rsidRPr="00653421">
              <w:rPr>
                <w:rFonts w:cs="Tahoma"/>
                <w:b/>
                <w:color w:val="000000"/>
                <w:szCs w:val="18"/>
              </w:rPr>
              <w:t>Licença Qualificada</w:t>
            </w:r>
          </w:p>
        </w:tc>
        <w:tc>
          <w:tcPr>
            <w:tcW w:w="4140" w:type="dxa"/>
            <w:shd w:val="clear" w:color="auto" w:fill="FABF8F"/>
          </w:tcPr>
          <w:p w:rsidR="002F7FB8" w:rsidRPr="00653421" w:rsidRDefault="002F7FB8" w:rsidP="007E466C">
            <w:pPr>
              <w:keepNext/>
              <w:keepLines/>
              <w:spacing w:before="60" w:after="60"/>
              <w:rPr>
                <w:rFonts w:cs="Tahoma"/>
                <w:b/>
                <w:color w:val="000000"/>
                <w:szCs w:val="18"/>
              </w:rPr>
            </w:pPr>
            <w:r w:rsidRPr="00653421">
              <w:rPr>
                <w:rFonts w:cs="Tahoma"/>
                <w:b/>
                <w:color w:val="000000"/>
                <w:szCs w:val="18"/>
              </w:rPr>
              <w:t>Licença Complementar e Benefícios</w:t>
            </w:r>
          </w:p>
        </w:tc>
      </w:tr>
      <w:tr w:rsidR="00CD0D74" w:rsidRPr="00653421" w:rsidTr="00CA6633">
        <w:trPr>
          <w:trHeight w:val="70"/>
        </w:trPr>
        <w:tc>
          <w:tcPr>
            <w:tcW w:w="4230" w:type="dxa"/>
            <w:shd w:val="clear" w:color="auto" w:fill="auto"/>
          </w:tcPr>
          <w:p w:rsidR="00CD0D74" w:rsidRPr="00653421" w:rsidRDefault="00CD0D74" w:rsidP="00CA6633">
            <w:pPr>
              <w:keepNext/>
              <w:keepLines/>
              <w:rPr>
                <w:rFonts w:cs="Tahoma"/>
                <w:color w:val="000000"/>
                <w:szCs w:val="18"/>
              </w:rPr>
            </w:pPr>
            <w:r w:rsidRPr="00653421">
              <w:rPr>
                <w:rFonts w:cs="Tahoma"/>
                <w:color w:val="000000"/>
                <w:szCs w:val="18"/>
              </w:rPr>
              <w:t>Licença do SharePoint Server 2010 para Internet Sites Enterprise com Software Assurance ativo em 1º</w:t>
            </w:r>
            <w:r w:rsidR="00CA6633" w:rsidRPr="00653421">
              <w:rPr>
                <w:rFonts w:cs="Tahoma"/>
                <w:color w:val="000000"/>
                <w:szCs w:val="18"/>
              </w:rPr>
              <w:t> </w:t>
            </w:r>
            <w:r w:rsidRPr="00653421">
              <w:rPr>
                <w:rFonts w:cs="Tahoma"/>
                <w:color w:val="000000"/>
                <w:szCs w:val="18"/>
              </w:rPr>
              <w:t>de dezembro de 2012</w:t>
            </w:r>
          </w:p>
        </w:tc>
        <w:tc>
          <w:tcPr>
            <w:tcW w:w="4140" w:type="dxa"/>
            <w:shd w:val="clear" w:color="auto" w:fill="auto"/>
          </w:tcPr>
          <w:p w:rsidR="00CD0D74" w:rsidRPr="00653421" w:rsidRDefault="00CD0D74" w:rsidP="00C066F9">
            <w:pPr>
              <w:keepNext/>
              <w:keepLines/>
              <w:rPr>
                <w:rFonts w:cs="Tahoma"/>
                <w:color w:val="000000"/>
                <w:szCs w:val="18"/>
              </w:rPr>
            </w:pPr>
            <w:r w:rsidRPr="00653421">
              <w:rPr>
                <w:rFonts w:cs="Tahoma"/>
                <w:color w:val="000000"/>
                <w:szCs w:val="18"/>
              </w:rPr>
              <w:t>Uma licença do SharePoint Server 2013</w:t>
            </w:r>
          </w:p>
        </w:tc>
      </w:tr>
      <w:tr w:rsidR="00CD0D74" w:rsidRPr="00653421" w:rsidTr="00CA6633">
        <w:trPr>
          <w:trHeight w:val="152"/>
        </w:trPr>
        <w:tc>
          <w:tcPr>
            <w:tcW w:w="4230" w:type="dxa"/>
            <w:shd w:val="clear" w:color="auto" w:fill="auto"/>
          </w:tcPr>
          <w:p w:rsidR="00CD0D74" w:rsidRPr="00653421" w:rsidRDefault="00CD0D74" w:rsidP="00CA6633">
            <w:pPr>
              <w:keepNext/>
              <w:keepLines/>
              <w:rPr>
                <w:rFonts w:cs="Tahoma"/>
                <w:color w:val="000000"/>
                <w:szCs w:val="18"/>
              </w:rPr>
            </w:pPr>
            <w:r w:rsidRPr="00653421">
              <w:rPr>
                <w:rFonts w:cs="Tahoma"/>
                <w:color w:val="000000"/>
                <w:szCs w:val="18"/>
              </w:rPr>
              <w:t>Licença do SharePoint Server 2010 para Internet Sites Standard com Software Assurance ativo em 1º</w:t>
            </w:r>
            <w:r w:rsidR="00CA6633" w:rsidRPr="00653421">
              <w:rPr>
                <w:rFonts w:cs="Tahoma"/>
                <w:color w:val="000000"/>
                <w:szCs w:val="18"/>
              </w:rPr>
              <w:t> </w:t>
            </w:r>
            <w:r w:rsidRPr="00653421">
              <w:rPr>
                <w:rFonts w:cs="Tahoma"/>
                <w:color w:val="000000"/>
                <w:szCs w:val="18"/>
              </w:rPr>
              <w:t xml:space="preserve">de dezembro de 2012 </w:t>
            </w:r>
          </w:p>
        </w:tc>
        <w:tc>
          <w:tcPr>
            <w:tcW w:w="4140" w:type="dxa"/>
            <w:shd w:val="clear" w:color="auto" w:fill="auto"/>
          </w:tcPr>
          <w:p w:rsidR="00CD0D74" w:rsidRPr="00653421" w:rsidRDefault="00CD0D74" w:rsidP="00C066F9">
            <w:pPr>
              <w:keepNext/>
              <w:keepLines/>
              <w:rPr>
                <w:rFonts w:cs="Tahoma"/>
                <w:color w:val="000000"/>
                <w:szCs w:val="18"/>
              </w:rPr>
            </w:pPr>
            <w:r w:rsidRPr="00653421">
              <w:rPr>
                <w:rFonts w:cs="Tahoma"/>
                <w:color w:val="000000"/>
                <w:szCs w:val="18"/>
              </w:rPr>
              <w:t>Uma licença do SharePoint Server 2013</w:t>
            </w:r>
          </w:p>
        </w:tc>
      </w:tr>
      <w:tr w:rsidR="00CD0D74" w:rsidRPr="00653421" w:rsidTr="00CA6633">
        <w:trPr>
          <w:trHeight w:val="152"/>
        </w:trPr>
        <w:tc>
          <w:tcPr>
            <w:tcW w:w="4230" w:type="dxa"/>
            <w:shd w:val="clear" w:color="auto" w:fill="auto"/>
          </w:tcPr>
          <w:p w:rsidR="00CD0D74" w:rsidRPr="00653421" w:rsidRDefault="00CD0D74" w:rsidP="00CA6633">
            <w:pPr>
              <w:keepNext/>
              <w:keepLines/>
              <w:rPr>
                <w:rFonts w:cs="Tahoma"/>
                <w:color w:val="000000"/>
                <w:szCs w:val="18"/>
              </w:rPr>
            </w:pPr>
            <w:r w:rsidRPr="00653421">
              <w:rPr>
                <w:rFonts w:cs="Tahoma"/>
                <w:color w:val="000000"/>
                <w:szCs w:val="18"/>
              </w:rPr>
              <w:t>Licença do FAST Search Server 2010 para SharePoint Server com Software Assurance ativo em 1º</w:t>
            </w:r>
            <w:r w:rsidR="00CA6633" w:rsidRPr="00653421">
              <w:rPr>
                <w:rFonts w:cs="Tahoma"/>
                <w:color w:val="000000"/>
                <w:szCs w:val="18"/>
              </w:rPr>
              <w:t> </w:t>
            </w:r>
            <w:r w:rsidRPr="00653421">
              <w:rPr>
                <w:rFonts w:cs="Tahoma"/>
                <w:color w:val="000000"/>
                <w:szCs w:val="18"/>
              </w:rPr>
              <w:t>de</w:t>
            </w:r>
            <w:r w:rsidR="00CA6633" w:rsidRPr="00653421">
              <w:rPr>
                <w:rFonts w:cs="Tahoma"/>
                <w:color w:val="000000"/>
                <w:szCs w:val="18"/>
              </w:rPr>
              <w:t> </w:t>
            </w:r>
            <w:r w:rsidRPr="00653421">
              <w:rPr>
                <w:rFonts w:cs="Tahoma"/>
                <w:color w:val="000000"/>
                <w:szCs w:val="18"/>
              </w:rPr>
              <w:t>dezembro de 2012</w:t>
            </w:r>
          </w:p>
        </w:tc>
        <w:tc>
          <w:tcPr>
            <w:tcW w:w="4140" w:type="dxa"/>
            <w:shd w:val="clear" w:color="auto" w:fill="auto"/>
          </w:tcPr>
          <w:p w:rsidR="00CD0D74" w:rsidRPr="00653421" w:rsidRDefault="00CD0D74" w:rsidP="00C066F9">
            <w:pPr>
              <w:keepNext/>
              <w:keepLines/>
              <w:rPr>
                <w:rFonts w:cs="Tahoma"/>
                <w:color w:val="000000"/>
                <w:szCs w:val="18"/>
              </w:rPr>
            </w:pPr>
            <w:r w:rsidRPr="00653421">
              <w:rPr>
                <w:rFonts w:cs="Tahoma"/>
                <w:color w:val="000000"/>
                <w:szCs w:val="18"/>
              </w:rPr>
              <w:t>Uma licença do SharePoint Server 2013</w:t>
            </w:r>
          </w:p>
        </w:tc>
      </w:tr>
      <w:tr w:rsidR="00CD0D74" w:rsidRPr="00653421" w:rsidTr="00CA6633">
        <w:trPr>
          <w:trHeight w:val="233"/>
        </w:trPr>
        <w:tc>
          <w:tcPr>
            <w:tcW w:w="4230" w:type="dxa"/>
            <w:shd w:val="clear" w:color="auto" w:fill="auto"/>
          </w:tcPr>
          <w:p w:rsidR="00CD0D74" w:rsidRPr="00653421" w:rsidRDefault="00CD0D74" w:rsidP="00C066F9">
            <w:pPr>
              <w:keepNext/>
              <w:keepLines/>
              <w:rPr>
                <w:rFonts w:cs="Tahoma"/>
                <w:color w:val="000000"/>
                <w:szCs w:val="18"/>
              </w:rPr>
            </w:pPr>
            <w:r w:rsidRPr="00653421">
              <w:rPr>
                <w:rFonts w:cs="Tahoma"/>
                <w:color w:val="000000"/>
                <w:szCs w:val="18"/>
              </w:rPr>
              <w:t>Licença do Search Server 2010 com Software Assurance ativo em 1º de dezembro de 2012</w:t>
            </w:r>
          </w:p>
        </w:tc>
        <w:tc>
          <w:tcPr>
            <w:tcW w:w="4140" w:type="dxa"/>
            <w:shd w:val="clear" w:color="auto" w:fill="auto"/>
          </w:tcPr>
          <w:p w:rsidR="00CD0D74" w:rsidRPr="00653421" w:rsidRDefault="00CD0D74" w:rsidP="00C066F9">
            <w:pPr>
              <w:keepNext/>
              <w:keepLines/>
            </w:pPr>
            <w:r w:rsidRPr="00653421">
              <w:rPr>
                <w:rFonts w:cs="Tahoma"/>
                <w:color w:val="000000"/>
                <w:szCs w:val="18"/>
              </w:rPr>
              <w:t xml:space="preserve">Uma licença do SharePoint Server 2013 </w:t>
            </w:r>
            <w:r w:rsidRPr="00653421">
              <w:rPr>
                <w:rFonts w:cs="Tahoma"/>
                <w:b/>
                <w:color w:val="000000"/>
                <w:szCs w:val="18"/>
              </w:rPr>
              <w:t>e</w:t>
            </w:r>
          </w:p>
          <w:p w:rsidR="00CD0D74" w:rsidRPr="00653421" w:rsidRDefault="00CD0D74" w:rsidP="00C066F9">
            <w:pPr>
              <w:keepNext/>
              <w:keepLines/>
            </w:pPr>
          </w:p>
          <w:p w:rsidR="00CD0D74" w:rsidRPr="00653421" w:rsidRDefault="00CD0D74" w:rsidP="00CA6633">
            <w:pPr>
              <w:keepNext/>
              <w:keepLines/>
              <w:rPr>
                <w:rFonts w:cs="Tahoma"/>
                <w:color w:val="000000"/>
                <w:szCs w:val="18"/>
              </w:rPr>
            </w:pPr>
            <w:r w:rsidRPr="00653421">
              <w:rPr>
                <w:rFonts w:cs="Tahoma"/>
                <w:color w:val="000000"/>
                <w:szCs w:val="18"/>
              </w:rPr>
              <w:t>100 CALs do SharePoint Server 2013</w:t>
            </w:r>
            <w:r w:rsidR="00CA6633" w:rsidRPr="00653421">
              <w:rPr>
                <w:rFonts w:cs="Tahoma"/>
                <w:color w:val="000000"/>
                <w:szCs w:val="18"/>
              </w:rPr>
              <w:t> </w:t>
            </w:r>
            <w:r w:rsidRPr="00653421">
              <w:rPr>
                <w:rFonts w:cs="Tahoma"/>
                <w:color w:val="000000"/>
                <w:szCs w:val="18"/>
              </w:rPr>
              <w:t>Standard</w:t>
            </w:r>
          </w:p>
        </w:tc>
      </w:tr>
    </w:tbl>
    <w:p w:rsidR="00586FCE" w:rsidRPr="00653421" w:rsidRDefault="00586FCE" w:rsidP="00CA6633">
      <w:pPr>
        <w:spacing w:line="180" w:lineRule="exact"/>
        <w:ind w:left="720"/>
      </w:pPr>
    </w:p>
    <w:p w:rsidR="002F7FB8" w:rsidRPr="00653421" w:rsidRDefault="002F7FB8" w:rsidP="002F7FB8">
      <w:pPr>
        <w:ind w:left="720"/>
      </w:pPr>
      <w:r w:rsidRPr="00653421">
        <w:rPr>
          <w:rFonts w:cs="Tahoma"/>
          <w:color w:val="000000"/>
          <w:szCs w:val="18"/>
        </w:rPr>
        <w:t>Os termos e as condições a seguir se aplicam à outorga de licença acima.</w:t>
      </w:r>
    </w:p>
    <w:p w:rsidR="002F7FB8" w:rsidRPr="00653421" w:rsidRDefault="002F7FB8" w:rsidP="00CA6633">
      <w:pPr>
        <w:spacing w:line="180" w:lineRule="exact"/>
        <w:ind w:left="720"/>
      </w:pPr>
    </w:p>
    <w:p w:rsidR="002F7FB8" w:rsidRPr="00653421" w:rsidRDefault="002F7FB8" w:rsidP="007B699C">
      <w:pPr>
        <w:numPr>
          <w:ilvl w:val="0"/>
          <w:numId w:val="124"/>
        </w:numPr>
        <w:spacing w:after="60"/>
        <w:ind w:left="1440"/>
      </w:pPr>
      <w:r w:rsidRPr="00653421">
        <w:rPr>
          <w:rFonts w:cs="Tahoma"/>
          <w:bCs/>
          <w:color w:val="000000"/>
          <w:szCs w:val="18"/>
          <w:u w:val="single"/>
        </w:rPr>
        <w:t>Caminho de Migração</w:t>
      </w:r>
      <w:r w:rsidRPr="00653421">
        <w:rPr>
          <w:rFonts w:cs="Tahoma"/>
          <w:color w:val="000000"/>
          <w:szCs w:val="18"/>
        </w:rPr>
        <w:t xml:space="preserve">: </w:t>
      </w:r>
      <w:r w:rsidR="00185EA2" w:rsidRPr="00653421">
        <w:rPr>
          <w:rFonts w:cs="Tahoma"/>
          <w:color w:val="000000"/>
          <w:szCs w:val="18"/>
        </w:rPr>
        <w:t>O</w:t>
      </w:r>
      <w:r w:rsidRPr="00653421">
        <w:rPr>
          <w:rFonts w:cs="Tahoma"/>
          <w:color w:val="000000"/>
          <w:szCs w:val="18"/>
        </w:rPr>
        <w:t>s clientes com cobertura do Software Assurance ativa para uma determinada Licença Qualificada a partir de 1º de dezembro de 2012 e mediante o lançamento do</w:t>
      </w:r>
      <w:r w:rsidR="00CA6633" w:rsidRPr="00653421">
        <w:rPr>
          <w:rFonts w:cs="Tahoma"/>
          <w:color w:val="000000"/>
          <w:szCs w:val="18"/>
        </w:rPr>
        <w:t> </w:t>
      </w:r>
      <w:r w:rsidRPr="00653421">
        <w:rPr>
          <w:rFonts w:cs="Tahoma"/>
          <w:color w:val="000000"/>
          <w:szCs w:val="18"/>
        </w:rPr>
        <w:t>SharePoint Server 2013 estão qualificados para atualizar e usar o software SharePoint 2013 sob</w:t>
      </w:r>
      <w:r w:rsidR="00CA6633" w:rsidRPr="00653421">
        <w:rPr>
          <w:rFonts w:cs="Tahoma"/>
          <w:color w:val="000000"/>
          <w:szCs w:val="18"/>
        </w:rPr>
        <w:t> </w:t>
      </w:r>
      <w:r w:rsidRPr="00653421">
        <w:rPr>
          <w:rFonts w:cs="Tahoma"/>
          <w:color w:val="000000"/>
          <w:szCs w:val="18"/>
        </w:rPr>
        <w:t>a Licença Complementar em vez da cópia licenciada correspondente do software de 2010.</w:t>
      </w:r>
      <w:r w:rsidR="005A52A2" w:rsidRPr="00653421">
        <w:rPr>
          <w:rFonts w:cs="Tahoma"/>
          <w:color w:val="000000"/>
          <w:szCs w:val="18"/>
        </w:rPr>
        <w:t xml:space="preserve"> </w:t>
      </w:r>
    </w:p>
    <w:p w:rsidR="002F7FB8" w:rsidRPr="00653421" w:rsidRDefault="002F7FB8" w:rsidP="007B699C">
      <w:pPr>
        <w:numPr>
          <w:ilvl w:val="0"/>
          <w:numId w:val="124"/>
        </w:numPr>
        <w:spacing w:after="60"/>
        <w:ind w:left="1440"/>
      </w:pPr>
      <w:r w:rsidRPr="00653421">
        <w:rPr>
          <w:rFonts w:cs="Tahoma"/>
          <w:color w:val="000000"/>
          <w:szCs w:val="18"/>
          <w:u w:val="single"/>
        </w:rPr>
        <w:t>Direitos de uso</w:t>
      </w:r>
      <w:r w:rsidRPr="00653421">
        <w:rPr>
          <w:rFonts w:cs="Tahoma"/>
          <w:color w:val="000000"/>
          <w:szCs w:val="18"/>
        </w:rPr>
        <w:t>: O direito de usar o software sob as Licenças Complementares nessa oferta expirará quando o direito de usar o software sob as Licenças Qualificadas expirar.</w:t>
      </w:r>
      <w:r w:rsidR="005A52A2" w:rsidRPr="00653421">
        <w:rPr>
          <w:rFonts w:cs="Tahoma"/>
          <w:color w:val="000000"/>
          <w:szCs w:val="18"/>
        </w:rPr>
        <w:t xml:space="preserve"> </w:t>
      </w:r>
      <w:r w:rsidRPr="00653421">
        <w:rPr>
          <w:rFonts w:cs="Tahoma"/>
          <w:color w:val="000000"/>
          <w:szCs w:val="18"/>
        </w:rPr>
        <w:t>O uso desse software é regido pelos direitos de uso do software e pelos termos e condições do contrato de licenciamento por volume do cliente.</w:t>
      </w:r>
      <w:r w:rsidR="005A52A2" w:rsidRPr="00653421">
        <w:rPr>
          <w:rFonts w:cs="Tahoma"/>
          <w:color w:val="000000"/>
          <w:szCs w:val="18"/>
        </w:rPr>
        <w:t xml:space="preserve"> </w:t>
      </w:r>
      <w:r w:rsidRPr="00653421">
        <w:rPr>
          <w:rFonts w:cs="Tahoma"/>
          <w:color w:val="000000"/>
          <w:szCs w:val="18"/>
        </w:rPr>
        <w:t>Essa nota de condição do produto e a evidência do cliente da</w:t>
      </w:r>
      <w:r w:rsidR="00CA6633" w:rsidRPr="00653421">
        <w:rPr>
          <w:rFonts w:cs="Tahoma"/>
          <w:color w:val="000000"/>
          <w:szCs w:val="18"/>
        </w:rPr>
        <w:t> </w:t>
      </w:r>
      <w:r w:rsidRPr="00653421">
        <w:rPr>
          <w:rFonts w:cs="Tahoma"/>
          <w:color w:val="000000"/>
          <w:szCs w:val="18"/>
        </w:rPr>
        <w:t>Licença Qualificada e do Software Assurance do cliente juntas comprovam o direito de usar o</w:t>
      </w:r>
      <w:r w:rsidR="00CA6633" w:rsidRPr="00653421">
        <w:rPr>
          <w:rFonts w:cs="Tahoma"/>
          <w:color w:val="000000"/>
          <w:szCs w:val="18"/>
        </w:rPr>
        <w:t> </w:t>
      </w:r>
      <w:r w:rsidRPr="00653421">
        <w:rPr>
          <w:rFonts w:cs="Tahoma"/>
          <w:color w:val="000000"/>
          <w:szCs w:val="18"/>
        </w:rPr>
        <w:t xml:space="preserve">software sob a Licença Complementar nessa oferta. </w:t>
      </w:r>
    </w:p>
    <w:p w:rsidR="002F7FB8" w:rsidRPr="00653421" w:rsidRDefault="002F7FB8" w:rsidP="007B699C">
      <w:pPr>
        <w:numPr>
          <w:ilvl w:val="0"/>
          <w:numId w:val="8"/>
        </w:numPr>
        <w:spacing w:after="60"/>
        <w:ind w:left="1440"/>
      </w:pPr>
      <w:r w:rsidRPr="00653421">
        <w:rPr>
          <w:rFonts w:cs="Tahoma"/>
          <w:color w:val="000000"/>
          <w:szCs w:val="18"/>
          <w:u w:val="single"/>
        </w:rPr>
        <w:lastRenderedPageBreak/>
        <w:t>Licença e Software Assurance (L&amp;SA)</w:t>
      </w:r>
      <w:r w:rsidRPr="00653421">
        <w:rPr>
          <w:rFonts w:cs="Tahoma"/>
          <w:color w:val="000000"/>
          <w:szCs w:val="18"/>
        </w:rPr>
        <w:t>: A Licença Complementar inclui a cobertura do Software Assurance.</w:t>
      </w:r>
      <w:r w:rsidR="005A52A2" w:rsidRPr="00653421">
        <w:rPr>
          <w:rFonts w:cs="Tahoma"/>
          <w:color w:val="000000"/>
          <w:szCs w:val="18"/>
        </w:rPr>
        <w:t xml:space="preserve"> </w:t>
      </w:r>
      <w:r w:rsidRPr="00653421">
        <w:rPr>
          <w:rFonts w:cs="Tahoma"/>
          <w:color w:val="000000"/>
          <w:szCs w:val="18"/>
        </w:rPr>
        <w:t>A cobertura do Software Assurance sobre a Licença Complementar expirará quando a</w:t>
      </w:r>
      <w:r w:rsidR="00CA6633" w:rsidRPr="00653421">
        <w:rPr>
          <w:rFonts w:cs="Tahoma"/>
          <w:color w:val="000000"/>
          <w:szCs w:val="18"/>
        </w:rPr>
        <w:t> </w:t>
      </w:r>
      <w:r w:rsidRPr="00653421">
        <w:rPr>
          <w:rFonts w:cs="Tahoma"/>
          <w:color w:val="000000"/>
          <w:szCs w:val="18"/>
        </w:rPr>
        <w:t>cobertura da Licença Qualificada expirar.</w:t>
      </w:r>
      <w:r w:rsidR="005A52A2" w:rsidRPr="00653421">
        <w:rPr>
          <w:rFonts w:cs="Tahoma"/>
          <w:color w:val="000000"/>
          <w:szCs w:val="18"/>
        </w:rPr>
        <w:t xml:space="preserve"> </w:t>
      </w:r>
      <w:r w:rsidRPr="00653421">
        <w:rPr>
          <w:rFonts w:cs="Tahoma"/>
          <w:color w:val="000000"/>
          <w:szCs w:val="18"/>
        </w:rPr>
        <w:t>No término da cobertura do Software Assurance para</w:t>
      </w:r>
      <w:r w:rsidR="00CA6633" w:rsidRPr="00653421">
        <w:rPr>
          <w:rFonts w:cs="Tahoma"/>
          <w:color w:val="000000"/>
          <w:szCs w:val="18"/>
        </w:rPr>
        <w:t> </w:t>
      </w:r>
      <w:r w:rsidRPr="00653421">
        <w:rPr>
          <w:rFonts w:cs="Tahoma"/>
          <w:color w:val="000000"/>
          <w:szCs w:val="18"/>
        </w:rPr>
        <w:t>a</w:t>
      </w:r>
      <w:r w:rsidR="00CA6633" w:rsidRPr="00653421">
        <w:rPr>
          <w:rFonts w:cs="Tahoma"/>
          <w:color w:val="000000"/>
          <w:szCs w:val="18"/>
        </w:rPr>
        <w:t> </w:t>
      </w:r>
      <w:r w:rsidRPr="00653421">
        <w:rPr>
          <w:rFonts w:cs="Tahoma"/>
          <w:color w:val="000000"/>
          <w:szCs w:val="18"/>
        </w:rPr>
        <w:t>Licença Qualificada, o cliente poderá renovar o Software Assurance para a Licença Complementar sem precisar adquirir uma nova licença separadamente.</w:t>
      </w:r>
    </w:p>
    <w:p w:rsidR="002F7FB8" w:rsidRPr="00653421" w:rsidRDefault="002F7FB8" w:rsidP="007B699C">
      <w:pPr>
        <w:numPr>
          <w:ilvl w:val="0"/>
          <w:numId w:val="125"/>
        </w:numPr>
        <w:spacing w:after="60"/>
        <w:ind w:left="1440"/>
      </w:pPr>
      <w:r w:rsidRPr="00653421">
        <w:rPr>
          <w:rFonts w:eastAsia="Calibri" w:cs="Tahoma"/>
          <w:color w:val="000000"/>
          <w:szCs w:val="18"/>
          <w:u w:val="single"/>
        </w:rPr>
        <w:t>Adequações (“true-ups”)</w:t>
      </w:r>
      <w:r w:rsidRPr="00273672">
        <w:rPr>
          <w:rFonts w:eastAsia="Calibri" w:cs="Tahoma"/>
          <w:color w:val="000000"/>
          <w:szCs w:val="18"/>
        </w:rPr>
        <w:t>.</w:t>
      </w:r>
      <w:r w:rsidR="005A52A2" w:rsidRPr="00653421">
        <w:rPr>
          <w:rFonts w:eastAsia="Calibri" w:cs="Tahoma"/>
          <w:color w:val="000000"/>
          <w:szCs w:val="18"/>
        </w:rPr>
        <w:t xml:space="preserve"> </w:t>
      </w:r>
      <w:r w:rsidRPr="00653421">
        <w:rPr>
          <w:rFonts w:eastAsia="Calibri" w:cs="Tahoma"/>
          <w:color w:val="000000"/>
          <w:szCs w:val="18"/>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653421">
        <w:rPr>
          <w:rFonts w:cs="Tahoma"/>
          <w:color w:val="000000"/>
          <w:szCs w:val="20"/>
        </w:rPr>
        <w:t>e FAST Search</w:t>
      </w:r>
      <w:r w:rsidR="00CA6633" w:rsidRPr="00653421">
        <w:rPr>
          <w:rFonts w:cs="Tahoma"/>
          <w:color w:val="000000"/>
          <w:szCs w:val="20"/>
        </w:rPr>
        <w:t> </w:t>
      </w:r>
      <w:r w:rsidRPr="00653421">
        <w:rPr>
          <w:rFonts w:cs="Tahoma"/>
          <w:color w:val="000000"/>
          <w:szCs w:val="20"/>
        </w:rPr>
        <w:t xml:space="preserve">Server 2010 para SharePoint Server </w:t>
      </w:r>
      <w:r w:rsidRPr="00653421">
        <w:rPr>
          <w:rFonts w:eastAsia="Calibri" w:cs="Tahoma"/>
          <w:color w:val="000000"/>
          <w:szCs w:val="18"/>
        </w:rPr>
        <w:t xml:space="preserve">adquiridas como parte de um processo de adequações (“true-ups”) </w:t>
      </w:r>
      <w:r w:rsidRPr="00653421">
        <w:rPr>
          <w:rFonts w:cs="Tahoma"/>
          <w:color w:val="000000"/>
          <w:szCs w:val="18"/>
        </w:rPr>
        <w:t xml:space="preserve">anuais do cliente também são licenças qualificadas. </w:t>
      </w:r>
    </w:p>
    <w:p w:rsidR="002F7FB8" w:rsidRPr="00653421" w:rsidRDefault="002F7FB8" w:rsidP="007B699C">
      <w:pPr>
        <w:numPr>
          <w:ilvl w:val="0"/>
          <w:numId w:val="125"/>
        </w:numPr>
        <w:spacing w:after="60"/>
        <w:ind w:left="1440"/>
      </w:pPr>
      <w:r w:rsidRPr="00653421">
        <w:rPr>
          <w:rFonts w:cs="Tahoma"/>
          <w:color w:val="000000"/>
          <w:szCs w:val="18"/>
          <w:u w:val="single"/>
        </w:rPr>
        <w:t>Contratos Subscription</w:t>
      </w:r>
      <w:r w:rsidRPr="00653421">
        <w:rPr>
          <w:rFonts w:cs="Tahoma"/>
          <w:color w:val="000000"/>
          <w:szCs w:val="18"/>
        </w:rPr>
        <w:t>.</w:t>
      </w:r>
      <w:r w:rsidR="005A52A2" w:rsidRPr="00653421">
        <w:rPr>
          <w:rFonts w:cs="Tahoma"/>
          <w:color w:val="000000"/>
          <w:szCs w:val="18"/>
        </w:rPr>
        <w:t xml:space="preserve"> </w:t>
      </w:r>
      <w:r w:rsidRPr="00653421">
        <w:rPr>
          <w:rFonts w:cs="Tahoma"/>
          <w:color w:val="000000"/>
          <w:szCs w:val="18"/>
        </w:rPr>
        <w:t xml:space="preserve">Para Enterprise Subscription, </w:t>
      </w:r>
      <w:r w:rsidRPr="00653421">
        <w:rPr>
          <w:rFonts w:cs="Tahoma"/>
          <w:szCs w:val="18"/>
        </w:rPr>
        <w:t>Open Value Subscription, Campus e School, Enrollment for Education Solutions e Open Value Subscription – Education Solutions, os mesmos direitos serão outorgados temporariamente sob as mesmas condições</w:t>
      </w:r>
      <w:r w:rsidRPr="00653421">
        <w:rPr>
          <w:rFonts w:cs="Tahoma"/>
          <w:color w:val="000000"/>
          <w:szCs w:val="18"/>
        </w:rPr>
        <w:t xml:space="preserve"> até o final do prazo do registro atual (ou prazo do contrato no caso do Open Value).</w:t>
      </w:r>
      <w:r w:rsidR="005A52A2" w:rsidRPr="00653421">
        <w:rPr>
          <w:rFonts w:cs="Tahoma"/>
          <w:color w:val="000000"/>
          <w:szCs w:val="18"/>
        </w:rPr>
        <w:t xml:space="preserve"> </w:t>
      </w:r>
      <w:r w:rsidRPr="00653421">
        <w:rPr>
          <w:rFonts w:cs="Tahoma"/>
          <w:color w:val="000000"/>
          <w:szCs w:val="18"/>
        </w:rPr>
        <w:t>O cliente deverá manter uma cobertura contínua da assinatura.</w:t>
      </w:r>
      <w:r w:rsidR="005A52A2" w:rsidRPr="00653421">
        <w:rPr>
          <w:rFonts w:cs="Tahoma"/>
          <w:color w:val="000000"/>
          <w:szCs w:val="18"/>
        </w:rPr>
        <w:t xml:space="preserve"> </w:t>
      </w:r>
      <w:r w:rsidRPr="00653421">
        <w:rPr>
          <w:rFonts w:cs="Tahoma"/>
          <w:color w:val="000000"/>
          <w:szCs w:val="18"/>
        </w:rPr>
        <w:t>Esses direitos só se tornarão permanentes se a opção de compra</w:t>
      </w:r>
      <w:r w:rsidR="00CA6633" w:rsidRPr="00653421">
        <w:rPr>
          <w:rFonts w:cs="Tahoma"/>
          <w:color w:val="000000"/>
          <w:szCs w:val="18"/>
        </w:rPr>
        <w:t> </w:t>
      </w:r>
      <w:r w:rsidRPr="00653421">
        <w:rPr>
          <w:rFonts w:cs="Tahoma"/>
          <w:color w:val="000000"/>
          <w:szCs w:val="18"/>
        </w:rPr>
        <w:t>(“buy-out”) for exercida e continuarão sujeitos a todos os termos e condições do contrato</w:t>
      </w:r>
      <w:r w:rsidR="00273672">
        <w:rPr>
          <w:rFonts w:cs="Tahoma"/>
          <w:color w:val="000000"/>
          <w:szCs w:val="18"/>
        </w:rPr>
        <w:t> </w:t>
      </w:r>
      <w:r w:rsidRPr="00653421">
        <w:rPr>
          <w:rFonts w:cs="Tahoma"/>
          <w:color w:val="000000"/>
          <w:szCs w:val="18"/>
        </w:rPr>
        <w:t>de licença do cliente.</w:t>
      </w:r>
    </w:p>
    <w:p w:rsidR="002F7FB8" w:rsidRPr="00653421" w:rsidRDefault="002F7FB8" w:rsidP="007B699C">
      <w:pPr>
        <w:numPr>
          <w:ilvl w:val="0"/>
          <w:numId w:val="126"/>
        </w:numPr>
        <w:spacing w:after="60"/>
        <w:ind w:left="1440"/>
      </w:pPr>
      <w:r w:rsidRPr="00653421">
        <w:rPr>
          <w:rFonts w:cs="Tahoma"/>
          <w:szCs w:val="18"/>
          <w:u w:val="single"/>
        </w:rPr>
        <w:t>Transições do Contrato Campus e Escola</w:t>
      </w:r>
      <w:r w:rsidRPr="00653421">
        <w:rPr>
          <w:rFonts w:cs="Tahoma"/>
          <w:szCs w:val="18"/>
        </w:rPr>
        <w:t>. Para os clientes que estão fazendo transição a médio prazo dos contratos Campus e School para os contratos Enrollment for Education Solutions ou Open Value Subscription – Education Solutions enquanto mantêm a cobertura contínua de assinatura:</w:t>
      </w:r>
    </w:p>
    <w:p w:rsidR="002F7FB8" w:rsidRPr="00653421" w:rsidRDefault="002F7FB8" w:rsidP="007B699C">
      <w:pPr>
        <w:pStyle w:val="ListParagraph"/>
        <w:numPr>
          <w:ilvl w:val="0"/>
          <w:numId w:val="105"/>
        </w:numPr>
        <w:spacing w:after="60"/>
        <w:ind w:left="1800"/>
      </w:pPr>
      <w:r w:rsidRPr="00653421">
        <w:rPr>
          <w:rFonts w:ascii="Tahoma" w:hAnsi="Tahoma" w:cs="Tahoma"/>
          <w:sz w:val="18"/>
          <w:szCs w:val="18"/>
        </w:rPr>
        <w:t>Os mesmos direitos serão concedidos temporariamente sob as mesmas condições até o final</w:t>
      </w:r>
      <w:r w:rsidR="00CA6633" w:rsidRPr="00653421">
        <w:rPr>
          <w:rFonts w:ascii="Tahoma" w:hAnsi="Tahoma" w:cs="Tahoma"/>
          <w:sz w:val="18"/>
          <w:szCs w:val="18"/>
        </w:rPr>
        <w:t> </w:t>
      </w:r>
      <w:r w:rsidRPr="00653421">
        <w:rPr>
          <w:rFonts w:ascii="Tahoma" w:hAnsi="Tahoma" w:cs="Tahoma"/>
          <w:sz w:val="18"/>
          <w:szCs w:val="18"/>
        </w:rPr>
        <w:t xml:space="preserve">dos seus contratos Enrollment for Education Solutions ou Open Value Subscription – Education Solutions, respectivamente. </w:t>
      </w:r>
    </w:p>
    <w:p w:rsidR="002512D3" w:rsidRPr="00653421" w:rsidRDefault="002F7FB8" w:rsidP="003165D6">
      <w:pPr>
        <w:pStyle w:val="ListParagraph"/>
        <w:numPr>
          <w:ilvl w:val="0"/>
          <w:numId w:val="105"/>
        </w:numPr>
        <w:spacing w:after="60"/>
        <w:ind w:left="1800"/>
      </w:pPr>
      <w:r w:rsidRPr="00653421">
        <w:rPr>
          <w:rFonts w:ascii="Tahoma" w:hAnsi="Tahoma" w:cs="Tahoma"/>
          <w:sz w:val="18"/>
          <w:szCs w:val="18"/>
        </w:rPr>
        <w:t>Esses direitos só se tornarão permanentes se a opção de compra (“buy-out”) for exercida e</w:t>
      </w:r>
      <w:r w:rsidR="00CA6633" w:rsidRPr="00653421">
        <w:rPr>
          <w:rFonts w:ascii="Tahoma" w:hAnsi="Tahoma" w:cs="Tahoma"/>
          <w:sz w:val="18"/>
          <w:szCs w:val="18"/>
        </w:rPr>
        <w:t> </w:t>
      </w:r>
      <w:r w:rsidRPr="00653421">
        <w:rPr>
          <w:rFonts w:ascii="Tahoma" w:hAnsi="Tahoma" w:cs="Tahoma"/>
          <w:sz w:val="18"/>
          <w:szCs w:val="18"/>
        </w:rPr>
        <w:t>continuarão sujeitos a todos os termos e condições do contrato de licença do cliente.</w:t>
      </w:r>
    </w:p>
    <w:p w:rsidR="0004051B" w:rsidRPr="00653421" w:rsidRDefault="0004051B" w:rsidP="0004051B">
      <w:pPr>
        <w:ind w:left="720"/>
      </w:pPr>
    </w:p>
    <w:p w:rsidR="002F7FB8" w:rsidRPr="00653421" w:rsidRDefault="002F7FB8" w:rsidP="007B699C">
      <w:pPr>
        <w:spacing w:after="60"/>
        <w:ind w:left="720"/>
      </w:pPr>
      <w:r w:rsidRPr="00653421">
        <w:rPr>
          <w:rFonts w:cs="Tahoma"/>
          <w:b/>
          <w:color w:val="000000"/>
          <w:szCs w:val="18"/>
        </w:rPr>
        <w:t>Direitos excepcionais de downgrade do SharePoint Server 2013</w:t>
      </w:r>
    </w:p>
    <w:p w:rsidR="002F7FB8" w:rsidRPr="00653421" w:rsidRDefault="002F7FB8" w:rsidP="002F7FB8">
      <w:pPr>
        <w:ind w:left="720"/>
      </w:pPr>
      <w:r w:rsidRPr="00653421">
        <w:rPr>
          <w:rFonts w:cs="Tahoma"/>
          <w:szCs w:val="18"/>
        </w:rPr>
        <w:t>Os clientes licenciados para o SharePoint Server 2013 poderão acessar e usar qualquer um dos produtos listados na tabela abaixo em vez do SharePoint Server 2013, como pode ser visto a seguir:</w:t>
      </w:r>
    </w:p>
    <w:p w:rsidR="002F7FB8" w:rsidRPr="00653421" w:rsidRDefault="002F7FB8" w:rsidP="002F7FB8">
      <w:pPr>
        <w:ind w:left="810"/>
      </w:pPr>
      <w:r w:rsidRPr="00653421">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653421"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653421" w:rsidRDefault="00BD1A6A" w:rsidP="007E466C">
            <w:pPr>
              <w:spacing w:before="60" w:after="60"/>
              <w:ind w:left="162"/>
              <w:rPr>
                <w:rFonts w:cs="Tahoma"/>
                <w:b/>
                <w:bCs/>
                <w:color w:val="000000"/>
                <w:szCs w:val="18"/>
              </w:rPr>
            </w:pPr>
            <w:r w:rsidRPr="00653421">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653421" w:rsidRDefault="00BD1A6A" w:rsidP="007E466C">
            <w:pPr>
              <w:spacing w:before="60" w:after="60"/>
              <w:ind w:left="180"/>
              <w:rPr>
                <w:rFonts w:cs="Tahoma"/>
                <w:b/>
                <w:bCs/>
                <w:color w:val="000000"/>
                <w:szCs w:val="18"/>
              </w:rPr>
            </w:pPr>
            <w:r w:rsidRPr="00653421">
              <w:rPr>
                <w:rFonts w:cs="Tahoma"/>
                <w:b/>
                <w:bCs/>
                <w:color w:val="000000"/>
                <w:szCs w:val="18"/>
              </w:rPr>
              <w:t>Uso de Versão Anterior (Downgrade) para</w:t>
            </w:r>
          </w:p>
        </w:tc>
      </w:tr>
      <w:tr w:rsidR="00BD1A6A" w:rsidRPr="00653421"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653421" w:rsidRDefault="00BD1A6A" w:rsidP="00722522">
            <w:pPr>
              <w:ind w:left="162"/>
              <w:rPr>
                <w:rFonts w:cs="Tahoma"/>
                <w:color w:val="000000"/>
                <w:szCs w:val="18"/>
              </w:rPr>
            </w:pPr>
            <w:r w:rsidRPr="00653421">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rsidR="00BD1A6A" w:rsidRPr="00653421" w:rsidRDefault="00BD1A6A" w:rsidP="00F249BF">
            <w:pPr>
              <w:ind w:left="162" w:right="180"/>
            </w:pPr>
            <w:r w:rsidRPr="00653421">
              <w:rPr>
                <w:rFonts w:cs="Tahoma"/>
                <w:color w:val="000000"/>
                <w:szCs w:val="18"/>
              </w:rPr>
              <w:t xml:space="preserve">SharePoint Server 2010 </w:t>
            </w:r>
            <w:r w:rsidRPr="00653421">
              <w:rPr>
                <w:rFonts w:cs="Tahoma"/>
                <w:b/>
                <w:color w:val="000000"/>
                <w:szCs w:val="18"/>
              </w:rPr>
              <w:t>ou</w:t>
            </w:r>
          </w:p>
          <w:p w:rsidR="00BD1A6A" w:rsidRPr="00653421" w:rsidRDefault="00BD1A6A" w:rsidP="002C3AB1">
            <w:pPr>
              <w:ind w:left="162" w:right="180"/>
              <w:rPr>
                <w:rFonts w:cs="Tahoma"/>
                <w:color w:val="000000"/>
                <w:szCs w:val="18"/>
              </w:rPr>
            </w:pPr>
            <w:r w:rsidRPr="00653421">
              <w:rPr>
                <w:rFonts w:cs="Tahoma"/>
                <w:color w:val="000000"/>
                <w:szCs w:val="18"/>
              </w:rPr>
              <w:t xml:space="preserve">FAST Search Server 2010 para SharePoint Server </w:t>
            </w:r>
          </w:p>
        </w:tc>
      </w:tr>
    </w:tbl>
    <w:p w:rsidR="002F7FB8" w:rsidRPr="00653421" w:rsidRDefault="005A52A2" w:rsidP="002F7FB8">
      <w:pPr>
        <w:ind w:left="810"/>
      </w:pPr>
      <w:r w:rsidRPr="00653421">
        <w:rPr>
          <w:rFonts w:cs="Tahoma"/>
          <w:color w:val="000000"/>
          <w:szCs w:val="18"/>
        </w:rPr>
        <w:t xml:space="preserve"> </w:t>
      </w:r>
    </w:p>
    <w:p w:rsidR="002F7FB8" w:rsidRPr="00653421" w:rsidRDefault="002F7FB8" w:rsidP="002F7FB8">
      <w:pPr>
        <w:ind w:left="720"/>
      </w:pPr>
      <w:r w:rsidRPr="00653421">
        <w:rPr>
          <w:rFonts w:cs="Tahoma"/>
          <w:color w:val="000000"/>
          <w:szCs w:val="18"/>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rsidR="002F7FB8" w:rsidRPr="00653421" w:rsidRDefault="002F7FB8" w:rsidP="002F7FB8">
      <w:pPr>
        <w:ind w:left="720"/>
      </w:pPr>
    </w:p>
    <w:p w:rsidR="002F7FB8" w:rsidRPr="00653421" w:rsidRDefault="002F7FB8" w:rsidP="00031ABF">
      <w:pPr>
        <w:spacing w:after="60"/>
        <w:ind w:left="720"/>
      </w:pPr>
      <w:r w:rsidRPr="00653421">
        <w:rPr>
          <w:rFonts w:cs="Tahoma"/>
          <w:b/>
          <w:color w:val="000000"/>
          <w:szCs w:val="18"/>
        </w:rPr>
        <w:t xml:space="preserve">Extensão dos direitos de Aplicativos Auto-hospedados de Software Assurance para Clientes do SharePoint Server </w:t>
      </w:r>
      <w:bookmarkStart w:id="1411" w:name="Srv_65SharepointSvr10IntSites"/>
      <w:bookmarkStart w:id="1412" w:name="_Toc336338336"/>
      <w:bookmarkStart w:id="1413" w:name="Srv_66SharepointSvr10IntSites"/>
      <w:bookmarkStart w:id="1414" w:name="Srv_63SharepointSvr07IntSites"/>
      <w:bookmarkStart w:id="1415" w:name="Srv_64SharepointSvr07IntSites"/>
      <w:r w:rsidRPr="00653421">
        <w:rPr>
          <w:rFonts w:cs="Tahoma"/>
          <w:b/>
          <w:color w:val="000000"/>
          <w:szCs w:val="18"/>
        </w:rPr>
        <w:t>para Internet Sites Enterprise</w:t>
      </w:r>
      <w:bookmarkEnd w:id="1411"/>
      <w:bookmarkEnd w:id="1412"/>
      <w:bookmarkEnd w:id="1413"/>
      <w:bookmarkEnd w:id="1414"/>
    </w:p>
    <w:bookmarkEnd w:id="1415"/>
    <w:p w:rsidR="002F7FB8" w:rsidRPr="00653421" w:rsidRDefault="002F7FB8" w:rsidP="002F7FB8">
      <w:pPr>
        <w:ind w:left="720"/>
      </w:pPr>
      <w:r w:rsidRPr="00653421">
        <w:rPr>
          <w:rFonts w:cs="Tahoma"/>
          <w:color w:val="000000"/>
          <w:szCs w:val="18"/>
        </w:rPr>
        <w:t>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“Servidores – Aplicativos Auto-hospedados” dos Direitos de Uso do Produto. Uma vez que os clientes mantêm a cobertura de Software Assurance em suas licenças complementares do SharePoint Server 2013, o direito de usar o SharePoint Server 2013 desta forma se aplica até a disponibilidade da versão sucessora do SharePoint Server 2013.</w:t>
      </w:r>
      <w:r w:rsidR="005A52A2" w:rsidRPr="00653421">
        <w:rPr>
          <w:rFonts w:cs="Tahoma"/>
          <w:color w:val="000000"/>
          <w:szCs w:val="18"/>
        </w:rPr>
        <w:t xml:space="preserve"> </w:t>
      </w:r>
    </w:p>
    <w:p w:rsidR="000D76F0" w:rsidRPr="00653421" w:rsidRDefault="000D76F0" w:rsidP="00031ABF"/>
    <w:p w:rsidR="00023FE7" w:rsidRPr="00653421" w:rsidRDefault="00023FE7" w:rsidP="00697E59">
      <w:pPr>
        <w:pStyle w:val="EndnoteText"/>
        <w:ind w:left="0"/>
      </w:pPr>
      <w:bookmarkStart w:id="1416" w:name="_78_SharePoint™_Server"/>
      <w:bookmarkStart w:id="1417" w:name="_Toc336338339"/>
      <w:bookmarkStart w:id="1418" w:name="Srv_81SQLSvr08R2DataCenter"/>
      <w:bookmarkEnd w:id="1416"/>
    </w:p>
    <w:p w:rsidR="001A7718" w:rsidRPr="00653421" w:rsidRDefault="001A7718" w:rsidP="00697E59">
      <w:pPr>
        <w:pStyle w:val="EndnoteText"/>
        <w:ind w:left="0"/>
      </w:pPr>
    </w:p>
    <w:p w:rsidR="001A7718" w:rsidRPr="00653421" w:rsidRDefault="001A7718" w:rsidP="00697E59">
      <w:pPr>
        <w:pStyle w:val="EndnoteText"/>
        <w:ind w:left="0"/>
      </w:pPr>
    </w:p>
    <w:p w:rsidR="001A7718" w:rsidRPr="00653421" w:rsidRDefault="001A7718" w:rsidP="00697E59">
      <w:pPr>
        <w:pStyle w:val="EndnoteText"/>
        <w:ind w:left="0"/>
      </w:pPr>
    </w:p>
    <w:p w:rsidR="00A81E83" w:rsidRPr="00653421" w:rsidRDefault="00F66FB0" w:rsidP="00A81E83">
      <w:pPr>
        <w:pStyle w:val="Heading3"/>
      </w:pPr>
      <w:bookmarkStart w:id="1419" w:name="_75_73_SQL"/>
      <w:bookmarkStart w:id="1420" w:name="_74_SQL_Server®"/>
      <w:bookmarkStart w:id="1421" w:name="_Toc353470980"/>
      <w:bookmarkStart w:id="1422" w:name="Srv_69SQLSvr08EntandEntProc"/>
      <w:bookmarkStart w:id="1423" w:name="Srv_70SQLSvr08EntandEntProc"/>
      <w:bookmarkStart w:id="1424" w:name="Srv_72SQLSvr08R2developer"/>
      <w:bookmarkStart w:id="1425" w:name="Srv_72SQLSvr08R2DataCenter"/>
      <w:bookmarkEnd w:id="1419"/>
      <w:bookmarkEnd w:id="1420"/>
      <w:r w:rsidRPr="00653421">
        <w:rPr>
          <w:rFonts w:ascii="Tahoma" w:hAnsi="Tahoma"/>
          <w:caps/>
          <w:color w:val="F66400"/>
          <w:sz w:val="22"/>
          <w:vertAlign w:val="superscript"/>
        </w:rPr>
        <w:lastRenderedPageBreak/>
        <w:t>74</w:t>
      </w:r>
      <w:r w:rsidRPr="00653421">
        <w:rPr>
          <w:rFonts w:ascii="Tahoma" w:hAnsi="Tahoma"/>
          <w:color w:val="F66400"/>
          <w:sz w:val="22"/>
        </w:rPr>
        <w:t xml:space="preserve"> SQL Server</w:t>
      </w:r>
      <w:r w:rsidRPr="00653421">
        <w:rPr>
          <w:rFonts w:ascii="Tahoma" w:hAnsi="Tahoma"/>
          <w:color w:val="F66400"/>
          <w:sz w:val="22"/>
          <w:vertAlign w:val="superscript"/>
        </w:rPr>
        <w:t>®</w:t>
      </w:r>
      <w:r w:rsidRPr="00653421">
        <w:rPr>
          <w:rFonts w:ascii="Tahoma" w:hAnsi="Tahoma"/>
          <w:color w:val="F66400"/>
          <w:sz w:val="22"/>
        </w:rPr>
        <w:t xml:space="preserve"> 2008 R2 Datacenter</w:t>
      </w:r>
      <w:bookmarkEnd w:id="1417"/>
      <w:bookmarkEnd w:id="1421"/>
    </w:p>
    <w:bookmarkEnd w:id="1418"/>
    <w:p w:rsidR="00A81E83" w:rsidRPr="00653421" w:rsidRDefault="00A81E83" w:rsidP="00031ABF"/>
    <w:p w:rsidR="00031ABF" w:rsidRPr="00653421" w:rsidRDefault="00A81E83" w:rsidP="00031ABF">
      <w:pPr>
        <w:spacing w:after="60"/>
        <w:ind w:left="720"/>
      </w:pPr>
      <w:r w:rsidRPr="00653421">
        <w:rPr>
          <w:rFonts w:cs="Tahoma"/>
          <w:b/>
          <w:color w:val="000000"/>
          <w:szCs w:val="18"/>
        </w:rPr>
        <w:t>Outorga de Licença Associadas à Alteração no Modelo de Licenciamento e ao Término da Validade do SQL Server Datacenter</w:t>
      </w:r>
    </w:p>
    <w:p w:rsidR="00A81E83" w:rsidRPr="00653421" w:rsidRDefault="00A81E83" w:rsidP="00031ABF">
      <w:pPr>
        <w:ind w:left="720"/>
      </w:pPr>
      <w:r w:rsidRPr="00653421">
        <w:rPr>
          <w:color w:val="000000"/>
        </w:rPr>
        <w:t>O SQL Server 2008 R2 será a última versão do SQL Server licenciada sob o modelo de licenciamento por processador e a última versão do SQL Server Datacenter.</w:t>
      </w:r>
      <w:r w:rsidR="005A52A2" w:rsidRPr="00653421">
        <w:rPr>
          <w:color w:val="000000"/>
        </w:rPr>
        <w:t xml:space="preserve"> </w:t>
      </w:r>
      <w:r w:rsidRPr="00653421">
        <w:rPr>
          <w:color w:val="000000"/>
        </w:rPr>
        <w:t xml:space="preserve">Como uma exceção, aos clientes de licenciamento por volume com Software Assurance ativo para licenças do processador do SQL Server 2008 R2 Datacenter em 1º de abril de 2012 (“licenças qualificadas”) são concedidas as seguintes opções. As licenças do processador do SQL Server 2008 R2 Datacenter </w:t>
      </w:r>
      <w:r w:rsidRPr="00653421">
        <w:rPr>
          <w:rFonts w:cs="Tahoma"/>
          <w:bCs/>
          <w:color w:val="000000"/>
          <w:szCs w:val="18"/>
        </w:rPr>
        <w:t>adquiridas posteriormente no mesmo prazo de registro, mas antes de 1º de abril de 2015 como parte de um processo de adequação (“true-up”) programado do</w:t>
      </w:r>
      <w:r w:rsidR="00CA6633" w:rsidRPr="00653421">
        <w:rPr>
          <w:rFonts w:cs="Tahoma"/>
          <w:bCs/>
          <w:color w:val="000000"/>
          <w:szCs w:val="18"/>
        </w:rPr>
        <w:t> </w:t>
      </w:r>
      <w:r w:rsidRPr="00653421">
        <w:rPr>
          <w:rFonts w:cs="Tahoma"/>
          <w:bCs/>
          <w:color w:val="000000"/>
          <w:szCs w:val="18"/>
        </w:rPr>
        <w:t>cliente Enterprise, Enterprise Subscription, Open Value Subscription ou EES também são “licenças qualificadas” para fins dessas opções.</w:t>
      </w:r>
      <w:r w:rsidR="005A52A2" w:rsidRPr="00653421">
        <w:rPr>
          <w:rFonts w:cs="Tahoma"/>
          <w:bCs/>
          <w:color w:val="000000"/>
          <w:szCs w:val="18"/>
        </w:rPr>
        <w:t xml:space="preserve"> </w:t>
      </w:r>
      <w:r w:rsidRPr="00653421">
        <w:rPr>
          <w:rFonts w:cs="Tahoma"/>
          <w:bCs/>
          <w:color w:val="000000"/>
          <w:szCs w:val="18"/>
        </w:rPr>
        <w:t>As licenças adquiridas depois de 1º de abril de 2015 ou sob um prazo</w:t>
      </w:r>
      <w:r w:rsidR="00CA6633" w:rsidRPr="00653421">
        <w:rPr>
          <w:rFonts w:cs="Tahoma"/>
          <w:bCs/>
          <w:color w:val="000000"/>
          <w:szCs w:val="18"/>
        </w:rPr>
        <w:t> </w:t>
      </w:r>
      <w:r w:rsidRPr="00653421">
        <w:rPr>
          <w:rFonts w:cs="Tahoma"/>
          <w:bCs/>
          <w:color w:val="000000"/>
          <w:szCs w:val="18"/>
        </w:rPr>
        <w:t>de registro subsequente, um contrato separado ou qualquer registro com uma data de início de vigência após 1º de abril de 2012 não são licenças qualificadas.</w:t>
      </w:r>
    </w:p>
    <w:p w:rsidR="00031ABF" w:rsidRPr="00653421" w:rsidRDefault="00031ABF" w:rsidP="00031ABF">
      <w:pPr>
        <w:ind w:left="720"/>
      </w:pPr>
    </w:p>
    <w:p w:rsidR="00031ABF" w:rsidRPr="00653421" w:rsidRDefault="00031ABF" w:rsidP="00031ABF">
      <w:pPr>
        <w:spacing w:after="60"/>
        <w:ind w:left="720"/>
      </w:pPr>
      <w:r w:rsidRPr="00653421">
        <w:rPr>
          <w:rFonts w:cs="Tahoma"/>
          <w:b/>
          <w:color w:val="000000"/>
          <w:szCs w:val="18"/>
        </w:rPr>
        <w:t>Prazo Atual</w:t>
      </w:r>
    </w:p>
    <w:p w:rsidR="00A81E83" w:rsidRPr="00653421" w:rsidRDefault="00A81E83" w:rsidP="00031ABF">
      <w:pPr>
        <w:ind w:left="720"/>
        <w:contextualSpacing/>
      </w:pPr>
      <w:r w:rsidRPr="00653421">
        <w:rPr>
          <w:rFonts w:eastAsia="Calibri" w:cs="Tahoma"/>
          <w:szCs w:val="18"/>
        </w:rPr>
        <w:t>Durante o prazo atual da sua cobertura de Software Assurance a partir de 1º de abril de 2012, os clientes (incluindo aqueles sob contratos de assinatura) podem, sob qualquer licença qualificada, atualizar e usar o SQL Server 2012 Enterprise Core em vez do SQL Server 2008 R2 Datacenter sujeito aos direitos de uso do produto de licença do processador do SQL Server 2008 R2 Enterprise (conforme os Direitos de Uso do Produto de janeiro de 2012). Esses clientes também têm os direitos de uso da “Virtualização Ilimitada” conforme descrito nas notas do produto do SQL Server 2012 Enterprise nesta Lista de Produtos.</w:t>
      </w:r>
    </w:p>
    <w:p w:rsidR="00031ABF" w:rsidRPr="00653421" w:rsidRDefault="00031ABF" w:rsidP="00031ABF">
      <w:pPr>
        <w:ind w:left="720"/>
        <w:contextualSpacing/>
      </w:pPr>
    </w:p>
    <w:p w:rsidR="00031ABF" w:rsidRPr="00653421" w:rsidRDefault="00A81E83" w:rsidP="00031ABF">
      <w:pPr>
        <w:spacing w:after="60"/>
        <w:ind w:left="720"/>
      </w:pPr>
      <w:r w:rsidRPr="00653421">
        <w:rPr>
          <w:rFonts w:cs="Tahoma"/>
          <w:b/>
          <w:color w:val="000000"/>
          <w:szCs w:val="18"/>
        </w:rPr>
        <w:t>Primeiro Prazo de Renovação (antes de 1º de abril de 2015)</w:t>
      </w:r>
    </w:p>
    <w:p w:rsidR="00A81E83" w:rsidRPr="00653421" w:rsidRDefault="00A81E83" w:rsidP="00031ABF">
      <w:pPr>
        <w:tabs>
          <w:tab w:val="left" w:pos="720"/>
        </w:tabs>
        <w:ind w:left="720"/>
        <w:contextualSpacing/>
      </w:pPr>
      <w:r w:rsidRPr="00653421">
        <w:rPr>
          <w:rFonts w:eastAsia="Calibri" w:cs="Tahoma"/>
          <w:szCs w:val="18"/>
        </w:rPr>
        <w:t xml:space="preserve">Na sua primeira renovação de Software Assurance em ou depois de 1º de abril de 2012 (mas antes de </w:t>
      </w:r>
      <w:r w:rsidR="00185EA2" w:rsidRPr="00653421">
        <w:rPr>
          <w:rFonts w:eastAsia="Calibri" w:cs="Tahoma"/>
          <w:szCs w:val="18"/>
        </w:rPr>
        <w:br/>
      </w:r>
      <w:r w:rsidRPr="00653421">
        <w:rPr>
          <w:rFonts w:eastAsia="Calibri" w:cs="Tahoma"/>
          <w:szCs w:val="18"/>
        </w:rPr>
        <w:t>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A81E83" w:rsidRPr="00653421" w:rsidRDefault="00A81E83" w:rsidP="00185EA2">
      <w:pPr>
        <w:pStyle w:val="ListParagraph"/>
        <w:numPr>
          <w:ilvl w:val="0"/>
          <w:numId w:val="68"/>
        </w:numPr>
        <w:tabs>
          <w:tab w:val="left" w:pos="1440"/>
        </w:tabs>
        <w:rPr>
          <w:rFonts w:ascii="Tahoma" w:hAnsi="Tahoma" w:cs="Tahoma"/>
          <w:sz w:val="18"/>
          <w:szCs w:val="18"/>
        </w:rPr>
      </w:pPr>
      <w:r w:rsidRPr="00653421">
        <w:rPr>
          <w:rFonts w:ascii="Tahoma" w:eastAsia="Calibri" w:hAnsi="Tahoma" w:cs="Tahoma"/>
          <w:sz w:val="18"/>
          <w:szCs w:val="18"/>
        </w:rPr>
        <w:t xml:space="preserve">um número igual ao menor número de licenças qualificadas atribuído ao servidor ou o número total de processadores físicos no servidor multiplicado pelo maior de: </w:t>
      </w:r>
    </w:p>
    <w:p w:rsidR="00A81E83" w:rsidRPr="00653421" w:rsidRDefault="00A81E83" w:rsidP="00031ABF">
      <w:pPr>
        <w:numPr>
          <w:ilvl w:val="2"/>
          <w:numId w:val="68"/>
        </w:numPr>
        <w:tabs>
          <w:tab w:val="left" w:pos="1800"/>
        </w:tabs>
        <w:ind w:left="1800" w:hanging="360"/>
        <w:contextualSpacing/>
      </w:pPr>
      <w:r w:rsidRPr="00653421">
        <w:rPr>
          <w:rFonts w:eastAsia="Calibri" w:cs="Tahoma"/>
          <w:szCs w:val="18"/>
        </w:rPr>
        <w:t>Oito OU</w:t>
      </w:r>
    </w:p>
    <w:p w:rsidR="00A81E83" w:rsidRPr="00653421" w:rsidRDefault="00A81E83" w:rsidP="00031ABF">
      <w:pPr>
        <w:numPr>
          <w:ilvl w:val="2"/>
          <w:numId w:val="68"/>
        </w:numPr>
        <w:tabs>
          <w:tab w:val="left" w:pos="1800"/>
        </w:tabs>
        <w:ind w:left="1800" w:hanging="360"/>
        <w:contextualSpacing/>
      </w:pPr>
      <w:r w:rsidRPr="00653421">
        <w:rPr>
          <w:rFonts w:eastAsia="Calibri" w:cs="Tahoma"/>
          <w:szCs w:val="18"/>
        </w:rPr>
        <w:t>o número real de núcleos por processador físico multiplicado pelo fator do núcleo apropriado.</w:t>
      </w:r>
      <w:r w:rsidR="005A52A2" w:rsidRPr="00653421">
        <w:rPr>
          <w:rFonts w:eastAsia="Calibri" w:cs="Tahoma"/>
          <w:szCs w:val="18"/>
        </w:rPr>
        <w:t xml:space="preserve"> </w:t>
      </w:r>
      <w:r w:rsidRPr="00653421">
        <w:rPr>
          <w:rFonts w:eastAsia="Calibri" w:cs="Tahoma"/>
          <w:szCs w:val="18"/>
        </w:rPr>
        <w:t>(Nos casos em que o número real de núcleos por processador físico excede oito, os clientes devem manter um registro da configuração do software SQ</w:t>
      </w:r>
      <w:r w:rsidR="00392523" w:rsidRPr="00653421">
        <w:rPr>
          <w:rFonts w:eastAsia="Calibri" w:cs="Tahoma"/>
          <w:szCs w:val="18"/>
        </w:rPr>
        <w:t>L Server executando no servidor</w:t>
      </w:r>
      <w:r w:rsidRPr="00653421">
        <w:rPr>
          <w:rFonts w:eastAsia="Calibri" w:cs="Tahoma"/>
          <w:szCs w:val="18"/>
        </w:rPr>
        <w:t xml:space="preserve"> </w:t>
      </w:r>
      <w:r w:rsidR="00392523" w:rsidRPr="00653421">
        <w:rPr>
          <w:rFonts w:eastAsia="Calibri" w:cs="Tahoma"/>
          <w:szCs w:val="18"/>
        </w:rPr>
        <w:t>(</w:t>
      </w:r>
      <w:r w:rsidRPr="00653421">
        <w:rPr>
          <w:rFonts w:eastAsia="Calibri" w:cs="Tahoma"/>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653421" w:rsidRDefault="00A81E83" w:rsidP="00031ABF">
      <w:pPr>
        <w:numPr>
          <w:ilvl w:val="1"/>
          <w:numId w:val="64"/>
        </w:numPr>
        <w:tabs>
          <w:tab w:val="left" w:pos="1440"/>
          <w:tab w:val="left" w:pos="2970"/>
        </w:tabs>
        <w:contextualSpacing/>
      </w:pPr>
      <w:r w:rsidRPr="00653421">
        <w:rPr>
          <w:rFonts w:eastAsia="Calibri" w:cs="Tahoma"/>
          <w:szCs w:val="18"/>
        </w:rPr>
        <w:t>um número igual ao número das licenças qatribuído ao servidor em excesso do número real de processadores físicos no servidor multiplicado por oito.</w:t>
      </w:r>
    </w:p>
    <w:p w:rsidR="00031ABF" w:rsidRPr="00653421" w:rsidRDefault="00031ABF" w:rsidP="00031ABF">
      <w:pPr>
        <w:ind w:left="720"/>
        <w:contextualSpacing/>
      </w:pPr>
    </w:p>
    <w:p w:rsidR="00031ABF" w:rsidRPr="00653421" w:rsidRDefault="00A81E83" w:rsidP="00031ABF">
      <w:pPr>
        <w:spacing w:after="60"/>
        <w:ind w:left="720"/>
      </w:pPr>
      <w:r w:rsidRPr="00653421">
        <w:rPr>
          <w:rFonts w:eastAsia="Calibri" w:cs="Tahoma"/>
          <w:b/>
          <w:szCs w:val="18"/>
        </w:rPr>
        <w:t>Primeiro Prazo de Renovação (em ou após 1º de abril de 2015)</w:t>
      </w:r>
    </w:p>
    <w:p w:rsidR="00A81E83" w:rsidRPr="00653421" w:rsidRDefault="00A81E83" w:rsidP="00031ABF">
      <w:pPr>
        <w:ind w:left="720"/>
        <w:contextualSpacing/>
      </w:pPr>
      <w:r w:rsidRPr="00653421">
        <w:rPr>
          <w:rFonts w:eastAsia="Calibri" w:cs="Tahoma"/>
          <w:color w:val="000000"/>
          <w:szCs w:val="18"/>
        </w:rPr>
        <w:t>Os clientes que renovaram primeiro a cobertura em ou depois de 1</w:t>
      </w:r>
      <w:r w:rsidRPr="00653421">
        <w:rPr>
          <w:rFonts w:eastAsia="Calibri" w:cs="Tahoma"/>
          <w:color w:val="000000"/>
          <w:szCs w:val="18"/>
          <w:vertAlign w:val="superscript"/>
        </w:rPr>
        <w:t>o</w:t>
      </w:r>
      <w:r w:rsidRPr="00653421">
        <w:rPr>
          <w:rFonts w:eastAsia="Calibri" w:cs="Tahoma"/>
          <w:color w:val="000000"/>
          <w:szCs w:val="18"/>
        </w:rPr>
        <w:t xml:space="preserve"> de abril de 2015</w:t>
      </w:r>
      <w:r w:rsidRPr="00653421">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031ABF" w:rsidRPr="00653421" w:rsidRDefault="00031ABF" w:rsidP="00031ABF">
      <w:pPr>
        <w:ind w:left="720"/>
        <w:contextualSpacing/>
      </w:pPr>
    </w:p>
    <w:p w:rsidR="00A81E83" w:rsidRPr="00653421" w:rsidRDefault="00A81E83" w:rsidP="00031ABF">
      <w:pPr>
        <w:numPr>
          <w:ilvl w:val="2"/>
          <w:numId w:val="64"/>
        </w:numPr>
        <w:spacing w:after="60"/>
        <w:ind w:left="1440"/>
      </w:pPr>
      <w:r w:rsidRPr="00653421">
        <w:rPr>
          <w:rFonts w:eastAsia="Calibri" w:cs="Tahoma"/>
          <w:szCs w:val="18"/>
        </w:rPr>
        <w:t>Conforme fornecido no primeiro parágrafo desta nota do produto, as licenças adquiridas antes de 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renovar o SA de acordo com os termos na seção “Primeiro Prazo de Renovação (Antes de 1</w:t>
      </w:r>
      <w:r w:rsidRPr="00653421">
        <w:rPr>
          <w:rFonts w:eastAsia="Calibri" w:cs="Tahoma"/>
          <w:szCs w:val="18"/>
          <w:vertAlign w:val="superscript"/>
        </w:rPr>
        <w:t>º</w:t>
      </w:r>
      <w:r w:rsidRPr="00653421">
        <w:rPr>
          <w:rFonts w:eastAsia="Calibri" w:cs="Tahoma"/>
          <w:szCs w:val="18"/>
        </w:rPr>
        <w:t xml:space="preserve"> de abril de 2015)</w:t>
      </w:r>
      <w:r w:rsidR="00C133AB" w:rsidRPr="00653421">
        <w:rPr>
          <w:rFonts w:eastAsia="Calibri" w:cs="Tahoma"/>
          <w:szCs w:val="18"/>
        </w:rPr>
        <w:t>”</w:t>
      </w:r>
      <w:r w:rsidRPr="00653421">
        <w:rPr>
          <w:rFonts w:eastAsia="Calibri" w:cs="Tahoma"/>
          <w:szCs w:val="18"/>
        </w:rPr>
        <w:t xml:space="preserve"> acima e</w:t>
      </w:r>
    </w:p>
    <w:p w:rsidR="00A81E83" w:rsidRPr="00653421" w:rsidRDefault="00A81E83" w:rsidP="00031ABF">
      <w:pPr>
        <w:numPr>
          <w:ilvl w:val="2"/>
          <w:numId w:val="64"/>
        </w:numPr>
        <w:spacing w:after="60"/>
        <w:ind w:left="1440"/>
      </w:pPr>
      <w:r w:rsidRPr="00653421">
        <w:rPr>
          <w:rFonts w:eastAsia="Calibri" w:cs="Tahoma"/>
          <w:szCs w:val="18"/>
        </w:rPr>
        <w:t>Para as licenças adquiridas depois de 1</w:t>
      </w:r>
      <w:r w:rsidRPr="00653421">
        <w:rPr>
          <w:rFonts w:eastAsia="Calibri" w:cs="Tahoma"/>
          <w:szCs w:val="18"/>
          <w:vertAlign w:val="superscript"/>
        </w:rPr>
        <w:t>º</w:t>
      </w:r>
      <w:r w:rsidRPr="00653421">
        <w:rPr>
          <w:rFonts w:eastAsia="Calibri" w:cs="Tahoma"/>
          <w:szCs w:val="18"/>
        </w:rPr>
        <w:t xml:space="preserve">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 cliente tem que adquirir licenças principais adicionais.</w:t>
      </w:r>
    </w:p>
    <w:p w:rsidR="00031ABF" w:rsidRPr="00653421" w:rsidRDefault="00031ABF" w:rsidP="00031ABF">
      <w:pPr>
        <w:ind w:left="1440"/>
        <w:contextualSpacing/>
      </w:pPr>
    </w:p>
    <w:p w:rsidR="00A81E83" w:rsidRPr="00653421" w:rsidRDefault="00A81E83" w:rsidP="00031ABF">
      <w:pPr>
        <w:ind w:left="720"/>
        <w:contextualSpacing/>
      </w:pPr>
      <w:r w:rsidRPr="00653421">
        <w:rPr>
          <w:rFonts w:eastAsia="Calibri" w:cs="Tahoma"/>
          <w:szCs w:val="18"/>
        </w:rPr>
        <w:lastRenderedPageBreak/>
        <w:t>As licenças do processador dos clientes não são mais válidas na aquisição do Software Assurance para as licenças principais sob esta oferta. A opção de adquirir o Software Assurance para licenças principais do SQL</w:t>
      </w:r>
      <w:r w:rsidR="00185EA2" w:rsidRPr="00653421">
        <w:rPr>
          <w:rFonts w:eastAsia="Calibri" w:cs="Tahoma"/>
          <w:szCs w:val="18"/>
        </w:rPr>
        <w:t> </w:t>
      </w:r>
      <w:r w:rsidRPr="00653421">
        <w:rPr>
          <w:rFonts w:eastAsia="Calibri" w:cs="Tahoma"/>
          <w:szCs w:val="18"/>
        </w:rPr>
        <w:t>Server não é aplicável à renovação de cobertura sob os programas de assinatura.</w:t>
      </w:r>
    </w:p>
    <w:p w:rsidR="00031ABF" w:rsidRPr="00653421" w:rsidRDefault="00031ABF" w:rsidP="00031ABF">
      <w:pPr>
        <w:tabs>
          <w:tab w:val="left" w:pos="720"/>
        </w:tabs>
        <w:ind w:left="720"/>
        <w:contextualSpacing/>
      </w:pPr>
    </w:p>
    <w:p w:rsidR="00031ABF" w:rsidRPr="00653421" w:rsidRDefault="00A81E83" w:rsidP="00031ABF">
      <w:pPr>
        <w:tabs>
          <w:tab w:val="left" w:pos="720"/>
        </w:tabs>
        <w:spacing w:after="60"/>
        <w:ind w:left="720"/>
      </w:pPr>
      <w:r w:rsidRPr="00653421">
        <w:rPr>
          <w:rFonts w:eastAsia="Calibri" w:cs="Tahoma"/>
          <w:b/>
          <w:szCs w:val="18"/>
        </w:rPr>
        <w:t>Para os clientes com cobertura de Software Assurance que expiram antes de 1º de abril de</w:t>
      </w:r>
      <w:r w:rsidR="00185EA2" w:rsidRPr="00653421">
        <w:rPr>
          <w:rFonts w:eastAsia="Calibri" w:cs="Tahoma"/>
          <w:b/>
          <w:szCs w:val="18"/>
        </w:rPr>
        <w:t> </w:t>
      </w:r>
      <w:r w:rsidRPr="00653421">
        <w:rPr>
          <w:rFonts w:eastAsia="Calibri" w:cs="Tahoma"/>
          <w:b/>
          <w:szCs w:val="18"/>
        </w:rPr>
        <w:t>2015 que optaram pela não renovação</w:t>
      </w:r>
    </w:p>
    <w:p w:rsidR="00A81E83" w:rsidRPr="00653421" w:rsidRDefault="00A81E83" w:rsidP="00031ABF">
      <w:pPr>
        <w:tabs>
          <w:tab w:val="left" w:pos="720"/>
        </w:tabs>
        <w:ind w:left="720"/>
        <w:contextualSpacing/>
      </w:pPr>
      <w:r w:rsidRPr="00653421">
        <w:rPr>
          <w:rFonts w:eastAsia="Calibri" w:cs="Tahoma"/>
          <w:szCs w:val="18"/>
        </w:rPr>
        <w:t xml:space="preserve">Os clientes do Enterprise Subscription </w:t>
      </w:r>
      <w:r w:rsidRPr="00653421">
        <w:rPr>
          <w:rFonts w:cs="Tahoma"/>
          <w:bCs/>
          <w:color w:val="000000"/>
          <w:szCs w:val="18"/>
        </w:rPr>
        <w:t xml:space="preserve">e Open Value Subscription </w:t>
      </w:r>
      <w:r w:rsidRPr="00653421">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w:t>
      </w:r>
      <w:r w:rsidR="00185EA2" w:rsidRPr="00653421">
        <w:rPr>
          <w:rFonts w:eastAsia="Calibri" w:cs="Tahoma"/>
          <w:szCs w:val="18"/>
        </w:rPr>
        <w:t> </w:t>
      </w:r>
      <w:r w:rsidRPr="00653421">
        <w:rPr>
          <w:rFonts w:eastAsia="Calibri" w:cs="Tahoma"/>
          <w:szCs w:val="18"/>
        </w:rPr>
        <w:t>SQL Server 2008 R2 ou SQL Server 2012 sob essas licenças da seguinte forma:</w:t>
      </w:r>
    </w:p>
    <w:p w:rsidR="00CA0E2D" w:rsidRPr="00653421" w:rsidRDefault="00CA0E2D" w:rsidP="00031ABF">
      <w:pPr>
        <w:tabs>
          <w:tab w:val="left" w:pos="720"/>
        </w:tabs>
        <w:ind w:left="720"/>
        <w:contextualSpacing/>
      </w:pPr>
    </w:p>
    <w:p w:rsidR="00A81E83" w:rsidRPr="00653421" w:rsidRDefault="00A81E83" w:rsidP="00CA0E2D">
      <w:pPr>
        <w:numPr>
          <w:ilvl w:val="0"/>
          <w:numId w:val="65"/>
        </w:numPr>
        <w:tabs>
          <w:tab w:val="left" w:pos="1440"/>
        </w:tabs>
        <w:spacing w:after="60"/>
      </w:pPr>
      <w:r w:rsidRPr="00653421">
        <w:rPr>
          <w:rFonts w:eastAsia="Calibri" w:cs="Tahoma"/>
          <w:b/>
          <w:szCs w:val="18"/>
        </w:rPr>
        <w:t>SQL Server 2008 R2 Datacenter:</w:t>
      </w:r>
      <w:r w:rsidRPr="00653421">
        <w:rPr>
          <w:rFonts w:eastAsia="Calibri" w:cs="Tahoma"/>
          <w:szCs w:val="18"/>
        </w:rPr>
        <w:t xml:space="preserve"> O uso contínuo desta versão do software está sujeito aos direitos de uso do produto de licença do processador do SQL Server 2008 R2 Datacenter. </w:t>
      </w:r>
    </w:p>
    <w:p w:rsidR="00A81E83" w:rsidRPr="00653421" w:rsidRDefault="00A81E83" w:rsidP="00CA0E2D">
      <w:pPr>
        <w:numPr>
          <w:ilvl w:val="0"/>
          <w:numId w:val="65"/>
        </w:numPr>
        <w:tabs>
          <w:tab w:val="left" w:pos="1440"/>
          <w:tab w:val="left" w:pos="2970"/>
        </w:tabs>
        <w:spacing w:after="60"/>
      </w:pPr>
      <w:r w:rsidRPr="00653421">
        <w:rPr>
          <w:rFonts w:eastAsia="Calibri" w:cs="Tahoma"/>
          <w:b/>
          <w:szCs w:val="18"/>
        </w:rPr>
        <w:t xml:space="preserve">SQL Server 2012 Enterprise Core: </w:t>
      </w:r>
      <w:r w:rsidRPr="00653421">
        <w:rPr>
          <w:rFonts w:eastAsia="Calibri" w:cs="Tahoma"/>
          <w:szCs w:val="18"/>
        </w:rPr>
        <w:t>O uso desta versão do software está sujeito aos direitos de</w:t>
      </w:r>
      <w:r w:rsidR="00185EA2" w:rsidRPr="00653421">
        <w:rPr>
          <w:rFonts w:eastAsia="Calibri" w:cs="Tahoma"/>
          <w:szCs w:val="18"/>
        </w:rPr>
        <w:t> </w:t>
      </w:r>
      <w:r w:rsidRPr="00653421">
        <w:rPr>
          <w:rFonts w:eastAsia="Calibri" w:cs="Tahoma"/>
          <w:szCs w:val="18"/>
        </w:rPr>
        <w:t xml:space="preserve">uso do produto de licença do processador do SQL Server 2008 R2 Enterprise, no entanto: </w:t>
      </w:r>
    </w:p>
    <w:p w:rsidR="00A81E83" w:rsidRPr="00653421" w:rsidRDefault="00A81E83" w:rsidP="00CA0E2D">
      <w:pPr>
        <w:numPr>
          <w:ilvl w:val="1"/>
          <w:numId w:val="65"/>
        </w:numPr>
        <w:tabs>
          <w:tab w:val="left" w:pos="1800"/>
        </w:tabs>
        <w:spacing w:after="60"/>
        <w:ind w:left="1800"/>
      </w:pPr>
      <w:r w:rsidRPr="00653421">
        <w:rPr>
          <w:rFonts w:eastAsia="Calibri" w:cs="Tahoma"/>
          <w:szCs w:val="18"/>
        </w:rPr>
        <w:t xml:space="preserve">os clientes não têm mais direitos de uso de Virtualização Ilimitada, Mobilidade de Licença nos Farms de Servidores nem Mobilidade de Licença por meio de Software Assurance e </w:t>
      </w:r>
    </w:p>
    <w:p w:rsidR="00A81E83" w:rsidRPr="00653421" w:rsidRDefault="00A81E83" w:rsidP="00CA0E2D">
      <w:pPr>
        <w:numPr>
          <w:ilvl w:val="1"/>
          <w:numId w:val="65"/>
        </w:numPr>
        <w:tabs>
          <w:tab w:val="left" w:pos="1800"/>
        </w:tabs>
        <w:spacing w:after="60"/>
        <w:ind w:left="1800"/>
      </w:pPr>
      <w:r w:rsidRPr="00653421">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653421" w:rsidRDefault="00A81E83" w:rsidP="00CA0E2D">
      <w:pPr>
        <w:numPr>
          <w:ilvl w:val="2"/>
          <w:numId w:val="65"/>
        </w:numPr>
        <w:tabs>
          <w:tab w:val="left" w:pos="2160"/>
        </w:tabs>
        <w:spacing w:after="60"/>
        <w:ind w:left="2160" w:hanging="360"/>
      </w:pPr>
      <w:r w:rsidRPr="00653421">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352188" w:rsidRPr="00653421">
        <w:rPr>
          <w:rFonts w:eastAsia="Calibri" w:cs="Tahoma"/>
          <w:szCs w:val="18"/>
        </w:rPr>
        <w:t> </w:t>
      </w:r>
      <w:r w:rsidRPr="00653421">
        <w:rPr>
          <w:rFonts w:eastAsia="Calibri" w:cs="Tahoma"/>
          <w:szCs w:val="18"/>
        </w:rPr>
        <w:t xml:space="preserve">equivalência de licença principal é maior do que: </w:t>
      </w:r>
    </w:p>
    <w:p w:rsidR="00A81E83" w:rsidRPr="00653421" w:rsidRDefault="00A81E83" w:rsidP="00CA0E2D">
      <w:pPr>
        <w:numPr>
          <w:ilvl w:val="4"/>
          <w:numId w:val="64"/>
        </w:numPr>
        <w:tabs>
          <w:tab w:val="left" w:pos="2520"/>
        </w:tabs>
        <w:spacing w:after="60"/>
        <w:ind w:left="2520"/>
      </w:pPr>
      <w:r w:rsidRPr="00653421">
        <w:rPr>
          <w:rFonts w:eastAsia="Calibri" w:cs="Tahoma"/>
          <w:szCs w:val="18"/>
        </w:rPr>
        <w:t xml:space="preserve">oito núcleos por licença de processador OU </w:t>
      </w:r>
    </w:p>
    <w:p w:rsidR="00A81E83" w:rsidRPr="00653421" w:rsidRDefault="00A81E83" w:rsidP="00CA0E2D">
      <w:pPr>
        <w:numPr>
          <w:ilvl w:val="4"/>
          <w:numId w:val="64"/>
        </w:numPr>
        <w:tabs>
          <w:tab w:val="left" w:pos="2520"/>
        </w:tabs>
        <w:spacing w:after="60"/>
        <w:ind w:left="2520"/>
      </w:pPr>
      <w:r w:rsidRPr="00653421">
        <w:rPr>
          <w:rFonts w:eastAsia="Calibri" w:cs="Tahoma"/>
          <w:szCs w:val="18"/>
        </w:rPr>
        <w:t>um número de núcleos por licença do processador com base no número real de núcleos por processador físico multiplicado pelo fator de núcleo apropriado. (Nos casos em que o número real de núcleos por processador físico excede oito, os clientes devem manter um registro da configuração do software SQ</w:t>
      </w:r>
      <w:r w:rsidR="00392523" w:rsidRPr="00653421">
        <w:rPr>
          <w:rFonts w:eastAsia="Calibri" w:cs="Tahoma"/>
          <w:szCs w:val="18"/>
        </w:rPr>
        <w:t>L Server executando no servidor</w:t>
      </w:r>
      <w:r w:rsidRPr="00653421">
        <w:rPr>
          <w:rFonts w:eastAsia="Calibri" w:cs="Tahoma"/>
          <w:szCs w:val="18"/>
        </w:rPr>
        <w:t xml:space="preserve"> </w:t>
      </w:r>
      <w:r w:rsidR="00392523" w:rsidRPr="00653421">
        <w:rPr>
          <w:rFonts w:eastAsia="Calibri" w:cs="Tahoma"/>
          <w:szCs w:val="18"/>
        </w:rPr>
        <w:t>(</w:t>
      </w:r>
      <w:r w:rsidRPr="00653421">
        <w:rPr>
          <w:rFonts w:eastAsia="Calibri" w:cs="Tahoma"/>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A81E83" w:rsidRPr="00653421" w:rsidRDefault="00A81E83" w:rsidP="00CA0E2D">
      <w:pPr>
        <w:numPr>
          <w:ilvl w:val="2"/>
          <w:numId w:val="65"/>
        </w:numPr>
        <w:tabs>
          <w:tab w:val="left" w:pos="2160"/>
        </w:tabs>
        <w:spacing w:after="60"/>
        <w:ind w:left="2160" w:hanging="360"/>
      </w:pPr>
      <w:r w:rsidRPr="00653421">
        <w:rPr>
          <w:rFonts w:eastAsia="Calibri" w:cs="Tahoma"/>
          <w:szCs w:val="18"/>
        </w:rPr>
        <w:t>Para qualquer licença de processador com um Software Assurance expirando atribuído ao</w:t>
      </w:r>
      <w:r w:rsidR="00352188" w:rsidRPr="00653421">
        <w:rPr>
          <w:rFonts w:eastAsia="Calibri" w:cs="Tahoma"/>
          <w:szCs w:val="18"/>
        </w:rPr>
        <w:t> </w:t>
      </w:r>
      <w:r w:rsidRPr="00653421">
        <w:rPr>
          <w:rFonts w:eastAsia="Calibri" w:cs="Tahoma"/>
          <w:szCs w:val="18"/>
        </w:rPr>
        <w:t>mesmo servidor licenciado em excesso do número real de processadores físicos no servidor, a equivalência de núcleo é de oito núcleos por licença de processador.</w:t>
      </w:r>
    </w:p>
    <w:p w:rsidR="00A81E83" w:rsidRPr="00653421" w:rsidRDefault="00A81E83" w:rsidP="00CA0E2D">
      <w:pPr>
        <w:numPr>
          <w:ilvl w:val="1"/>
          <w:numId w:val="65"/>
        </w:numPr>
        <w:tabs>
          <w:tab w:val="left" w:pos="1800"/>
          <w:tab w:val="left" w:pos="2970"/>
        </w:tabs>
        <w:spacing w:after="60"/>
        <w:ind w:left="1800"/>
      </w:pPr>
      <w:r w:rsidRPr="00653421">
        <w:rPr>
          <w:rFonts w:eastAsia="Calibri" w:cs="Tahoma"/>
          <w:szCs w:val="18"/>
        </w:rPr>
        <w:t>Os Clientes poderão transferir as Licenças para outro servidor. No entanto, se o cliente transferir uma licença para outro servidor, o cliente terá que seguir os direitos de uso do SQL</w:t>
      </w:r>
      <w:r w:rsidR="00185EA2" w:rsidRPr="00653421">
        <w:rPr>
          <w:rFonts w:eastAsia="Calibri" w:cs="Tahoma"/>
          <w:szCs w:val="18"/>
        </w:rPr>
        <w:t> </w:t>
      </w:r>
      <w:r w:rsidRPr="00653421">
        <w:rPr>
          <w:rFonts w:eastAsia="Calibri" w:cs="Tahoma"/>
          <w:szCs w:val="18"/>
        </w:rPr>
        <w:t>Server 2012. Ao transferir licenças principais para servidores sob os direitos de uso do SQL 2012, o cliente poderá combinar a equivalência de núcleo de suas licenças existentes com</w:t>
      </w:r>
      <w:r w:rsidR="00185EA2" w:rsidRPr="00653421">
        <w:rPr>
          <w:rFonts w:eastAsia="Calibri" w:cs="Tahoma"/>
          <w:szCs w:val="18"/>
        </w:rPr>
        <w:t> </w:t>
      </w:r>
      <w:r w:rsidRPr="00653421">
        <w:rPr>
          <w:rFonts w:eastAsia="Calibri" w:cs="Tahoma"/>
          <w:szCs w:val="18"/>
        </w:rPr>
        <w:t>as licenças principais do SQL Server 2012 adicionais.</w:t>
      </w:r>
      <w:r w:rsidR="005A52A2" w:rsidRPr="00653421">
        <w:rPr>
          <w:rFonts w:eastAsia="Calibri" w:cs="Tahoma"/>
          <w:szCs w:val="18"/>
        </w:rPr>
        <w:t xml:space="preserve"> </w:t>
      </w:r>
    </w:p>
    <w:p w:rsidR="00A81E83" w:rsidRPr="00653421" w:rsidRDefault="00A81E83" w:rsidP="00CA0E2D">
      <w:pPr>
        <w:numPr>
          <w:ilvl w:val="1"/>
          <w:numId w:val="65"/>
        </w:numPr>
        <w:tabs>
          <w:tab w:val="left" w:pos="1800"/>
        </w:tabs>
        <w:spacing w:after="60"/>
        <w:ind w:left="1800"/>
      </w:pPr>
      <w:r w:rsidRPr="00653421">
        <w:rPr>
          <w:rFonts w:eastAsia="Calibri" w:cs="Tahoma"/>
          <w:szCs w:val="18"/>
        </w:rPr>
        <w:t>A equivalência de licença principal dos clientes não implica que eles podem atribuir uma única licença de processador a núcleos por dois ou mais processadores.</w:t>
      </w:r>
    </w:p>
    <w:p w:rsidR="00CA0E2D" w:rsidRPr="00653421" w:rsidRDefault="00CA0E2D" w:rsidP="00CA0E2D">
      <w:pPr>
        <w:tabs>
          <w:tab w:val="left" w:pos="720"/>
        </w:tabs>
        <w:ind w:left="720"/>
        <w:contextualSpacing/>
      </w:pPr>
    </w:p>
    <w:p w:rsidR="00CA0E2D" w:rsidRPr="00653421" w:rsidRDefault="00A81E83" w:rsidP="00CA0E2D">
      <w:pPr>
        <w:tabs>
          <w:tab w:val="left" w:pos="720"/>
        </w:tabs>
        <w:spacing w:after="60"/>
        <w:ind w:left="720"/>
      </w:pPr>
      <w:r w:rsidRPr="00653421">
        <w:rPr>
          <w:rFonts w:eastAsia="Calibri" w:cs="Tahoma"/>
          <w:b/>
          <w:szCs w:val="18"/>
        </w:rPr>
        <w:t>Para os clientes com cobertura de Software Assurance que expiram em ou depois de 1º</w:t>
      </w:r>
      <w:r w:rsidR="00352188" w:rsidRPr="00653421">
        <w:rPr>
          <w:rFonts w:eastAsia="Calibri" w:cs="Tahoma"/>
          <w:b/>
          <w:szCs w:val="18"/>
        </w:rPr>
        <w:t> </w:t>
      </w:r>
      <w:r w:rsidRPr="00653421">
        <w:rPr>
          <w:rFonts w:eastAsia="Calibri" w:cs="Tahoma"/>
          <w:b/>
          <w:szCs w:val="18"/>
        </w:rPr>
        <w:t>de</w:t>
      </w:r>
      <w:r w:rsidR="00352188" w:rsidRPr="00653421">
        <w:rPr>
          <w:rFonts w:eastAsia="Calibri" w:cs="Tahoma"/>
          <w:b/>
          <w:szCs w:val="18"/>
        </w:rPr>
        <w:t> </w:t>
      </w:r>
      <w:r w:rsidRPr="00653421">
        <w:rPr>
          <w:rFonts w:eastAsia="Calibri" w:cs="Tahoma"/>
          <w:b/>
          <w:szCs w:val="18"/>
        </w:rPr>
        <w:t>abril</w:t>
      </w:r>
      <w:r w:rsidR="00352188" w:rsidRPr="00653421">
        <w:rPr>
          <w:rFonts w:eastAsia="Calibri" w:cs="Tahoma"/>
          <w:b/>
          <w:szCs w:val="18"/>
        </w:rPr>
        <w:t> </w:t>
      </w:r>
      <w:r w:rsidRPr="00653421">
        <w:rPr>
          <w:rFonts w:eastAsia="Calibri" w:cs="Tahoma"/>
          <w:b/>
          <w:szCs w:val="18"/>
        </w:rPr>
        <w:t>de 2015 que optaram pela não renovação</w:t>
      </w:r>
    </w:p>
    <w:p w:rsidR="00A81E83" w:rsidRPr="00653421" w:rsidRDefault="00A81E83" w:rsidP="00CA0E2D">
      <w:pPr>
        <w:tabs>
          <w:tab w:val="left" w:pos="720"/>
        </w:tabs>
        <w:ind w:left="720"/>
        <w:contextualSpacing/>
      </w:pPr>
      <w:r w:rsidRPr="00653421">
        <w:rPr>
          <w:rFonts w:eastAsia="Calibri" w:cs="Tahoma"/>
          <w:color w:val="000000"/>
          <w:szCs w:val="18"/>
        </w:rPr>
        <w:t xml:space="preserve">Os clientes do Enterprise Subscription </w:t>
      </w:r>
      <w:r w:rsidRPr="00653421">
        <w:rPr>
          <w:rFonts w:cs="Tahoma"/>
          <w:bCs/>
          <w:color w:val="000000"/>
          <w:szCs w:val="18"/>
        </w:rPr>
        <w:t xml:space="preserve">e Open Value Subscription </w:t>
      </w:r>
      <w:r w:rsidRPr="00653421">
        <w:rPr>
          <w:rFonts w:eastAsia="Calibri" w:cs="Tahoma"/>
          <w:color w:val="000000"/>
          <w:szCs w:val="18"/>
        </w:rPr>
        <w:t>com cobertura expirando em ou depois de</w:t>
      </w:r>
      <w:r w:rsidR="00352188" w:rsidRPr="00653421">
        <w:rPr>
          <w:rFonts w:eastAsia="Calibri" w:cs="Tahoma"/>
          <w:color w:val="000000"/>
          <w:szCs w:val="18"/>
        </w:rPr>
        <w:t> </w:t>
      </w:r>
      <w:r w:rsidRPr="00653421">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rsidR="00CA0E2D" w:rsidRPr="00653421" w:rsidRDefault="00CA0E2D" w:rsidP="00CA0E2D">
      <w:pPr>
        <w:tabs>
          <w:tab w:val="left" w:pos="720"/>
        </w:tabs>
        <w:ind w:left="720"/>
        <w:contextualSpacing/>
      </w:pPr>
    </w:p>
    <w:p w:rsidR="00A81E83" w:rsidRPr="00653421" w:rsidRDefault="00A81E83" w:rsidP="00CA0E2D">
      <w:pPr>
        <w:numPr>
          <w:ilvl w:val="2"/>
          <w:numId w:val="64"/>
        </w:numPr>
        <w:tabs>
          <w:tab w:val="left" w:pos="1440"/>
        </w:tabs>
        <w:spacing w:after="60"/>
        <w:ind w:left="1440"/>
      </w:pPr>
      <w:r w:rsidRPr="00653421">
        <w:rPr>
          <w:rFonts w:eastAsia="Calibri" w:cs="Tahoma"/>
          <w:szCs w:val="18"/>
        </w:rPr>
        <w:t>Conforme fornecido no primeiro parágrafo desta nota de produto, as licenças adquiridas antes de 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653421" w:rsidRDefault="00A81E83" w:rsidP="00CA0E2D">
      <w:pPr>
        <w:numPr>
          <w:ilvl w:val="2"/>
          <w:numId w:val="64"/>
        </w:numPr>
        <w:tabs>
          <w:tab w:val="left" w:pos="1440"/>
        </w:tabs>
        <w:spacing w:after="60"/>
        <w:ind w:left="1440"/>
      </w:pPr>
      <w:r w:rsidRPr="00653421">
        <w:rPr>
          <w:rFonts w:eastAsia="Calibri" w:cs="Tahoma"/>
          <w:szCs w:val="18"/>
        </w:rPr>
        <w:lastRenderedPageBreak/>
        <w:t>Para as licenças adquiridas depois de 1</w:t>
      </w:r>
      <w:r w:rsidRPr="00653421">
        <w:rPr>
          <w:rFonts w:eastAsia="Calibri" w:cs="Tahoma"/>
          <w:szCs w:val="18"/>
          <w:vertAlign w:val="superscript"/>
        </w:rPr>
        <w:t>º</w:t>
      </w:r>
      <w:r w:rsidRPr="00653421">
        <w:rPr>
          <w:rFonts w:eastAsia="Calibri" w:cs="Tahoma"/>
          <w:szCs w:val="18"/>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rsidR="00CA0E2D" w:rsidRPr="00653421" w:rsidRDefault="00CA0E2D" w:rsidP="00CA0E2D">
      <w:pPr>
        <w:tabs>
          <w:tab w:val="left" w:pos="1440"/>
        </w:tabs>
        <w:ind w:left="1440"/>
        <w:contextualSpacing/>
      </w:pPr>
    </w:p>
    <w:p w:rsidR="00CA0E2D" w:rsidRPr="00653421" w:rsidRDefault="00A81E83" w:rsidP="00CA0E2D">
      <w:pPr>
        <w:tabs>
          <w:tab w:val="left" w:pos="720"/>
        </w:tabs>
        <w:spacing w:after="60"/>
        <w:ind w:left="720"/>
      </w:pPr>
      <w:r w:rsidRPr="00653421">
        <w:rPr>
          <w:rFonts w:eastAsia="Calibri" w:cs="Tahoma"/>
          <w:b/>
          <w:szCs w:val="18"/>
        </w:rPr>
        <w:t>Para os clientes localizados na República Popular da China e para os que estão adquirindo licenças de processador e Software Assurance para SQL Server 2008 R2</w:t>
      </w:r>
    </w:p>
    <w:p w:rsidR="00A81E83" w:rsidRPr="00653421" w:rsidRDefault="00A81E83" w:rsidP="00CA0E2D">
      <w:pPr>
        <w:tabs>
          <w:tab w:val="left" w:pos="720"/>
        </w:tabs>
        <w:ind w:left="720"/>
        <w:contextualSpacing/>
      </w:pPr>
      <w:r w:rsidRPr="00653421">
        <w:t>As referências a 1</w:t>
      </w:r>
      <w:r w:rsidRPr="00653421">
        <w:rPr>
          <w:vertAlign w:val="superscript"/>
        </w:rPr>
        <w:t>º</w:t>
      </w:r>
      <w:r w:rsidRPr="00653421">
        <w:t xml:space="preserve"> de abril de 2012 e 1</w:t>
      </w:r>
      <w:r w:rsidRPr="00653421">
        <w:rPr>
          <w:vertAlign w:val="superscript"/>
        </w:rPr>
        <w:t>º</w:t>
      </w:r>
      <w:r w:rsidRPr="00653421">
        <w:t xml:space="preserve"> de abril de 2015 nesta nota da lista de produtos não são aplicáveis. As datas aplicáveis para esses clientes são 1</w:t>
      </w:r>
      <w:r w:rsidRPr="00653421">
        <w:rPr>
          <w:vertAlign w:val="superscript"/>
        </w:rPr>
        <w:t>º</w:t>
      </w:r>
      <w:r w:rsidRPr="00653421">
        <w:t xml:space="preserve"> de julho de 2012 e 1</w:t>
      </w:r>
      <w:r w:rsidRPr="00653421">
        <w:rPr>
          <w:vertAlign w:val="superscript"/>
        </w:rPr>
        <w:t>º</w:t>
      </w:r>
      <w:r w:rsidRPr="00653421">
        <w:t xml:space="preserve"> de julho de 2015, respectivamente.</w:t>
      </w:r>
    </w:p>
    <w:p w:rsidR="00A81E83" w:rsidRPr="00653421" w:rsidRDefault="00A81E83" w:rsidP="00A5643F"/>
    <w:p w:rsidR="00A81E83" w:rsidRPr="00653421" w:rsidRDefault="00A81E83" w:rsidP="00A81E83">
      <w:pPr>
        <w:ind w:left="900"/>
      </w:pPr>
    </w:p>
    <w:p w:rsidR="00A81E83" w:rsidRPr="00653421" w:rsidRDefault="00F66FB0" w:rsidP="00A81E83">
      <w:pPr>
        <w:pStyle w:val="Heading3"/>
      </w:pPr>
      <w:bookmarkStart w:id="1426" w:name="_76_74_SQL"/>
      <w:bookmarkStart w:id="1427" w:name="_75_SQL_Server®"/>
      <w:bookmarkStart w:id="1428" w:name="_Toc336338341"/>
      <w:bookmarkStart w:id="1429" w:name="_Toc353470981"/>
      <w:bookmarkStart w:id="1430" w:name="Srv_83SQL2008R2Smallbiz"/>
      <w:bookmarkEnd w:id="1426"/>
      <w:bookmarkEnd w:id="1427"/>
      <w:r w:rsidRPr="00653421">
        <w:rPr>
          <w:rFonts w:ascii="Tahoma" w:hAnsi="Tahoma" w:cs="Tahoma"/>
          <w:caps/>
          <w:color w:val="FE6700"/>
          <w:sz w:val="22"/>
          <w:vertAlign w:val="superscript"/>
        </w:rPr>
        <w:t>75</w:t>
      </w:r>
      <w:r w:rsidRPr="00653421">
        <w:rPr>
          <w:rFonts w:ascii="Tahoma" w:hAnsi="Tahoma" w:cs="Tahoma"/>
          <w:caps/>
          <w:color w:val="FE6700"/>
          <w:sz w:val="22"/>
        </w:rPr>
        <w:t xml:space="preserve"> </w:t>
      </w:r>
      <w:r w:rsidRPr="00653421">
        <w:rPr>
          <w:rFonts w:ascii="Tahoma" w:hAnsi="Tahoma" w:cs="Tahoma"/>
          <w:color w:val="FE6700"/>
          <w:sz w:val="22"/>
        </w:rPr>
        <w:t>SQL Server</w:t>
      </w:r>
      <w:r w:rsidRPr="00653421">
        <w:rPr>
          <w:rFonts w:ascii="Tahoma" w:hAnsi="Tahoma" w:cs="Tahoma"/>
          <w:color w:val="FE6700"/>
          <w:sz w:val="22"/>
          <w:vertAlign w:val="superscript"/>
        </w:rPr>
        <w:t>®</w:t>
      </w:r>
      <w:r w:rsidRPr="00653421">
        <w:rPr>
          <w:rFonts w:ascii="Tahoma" w:hAnsi="Tahoma" w:cs="Tahoma"/>
          <w:color w:val="FE6700"/>
          <w:sz w:val="22"/>
        </w:rPr>
        <w:t xml:space="preserve"> 2008 R2 Small Business</w:t>
      </w:r>
      <w:bookmarkEnd w:id="1428"/>
      <w:bookmarkEnd w:id="1429"/>
    </w:p>
    <w:bookmarkEnd w:id="1430"/>
    <w:p w:rsidR="00A81E83" w:rsidRPr="00653421" w:rsidRDefault="00A81E83" w:rsidP="00BD4B91"/>
    <w:p w:rsidR="00CA0E2D" w:rsidRPr="00653421" w:rsidRDefault="00A81E83" w:rsidP="00CA0E2D">
      <w:pPr>
        <w:spacing w:after="60" w:line="276" w:lineRule="auto"/>
        <w:ind w:left="720"/>
      </w:pPr>
      <w:r w:rsidRPr="00653421">
        <w:rPr>
          <w:rFonts w:eastAsia="Calibri" w:cs="Tahoma"/>
          <w:b/>
          <w:szCs w:val="18"/>
        </w:rPr>
        <w:t>Outorgas de Licença Associadas ao término da validade da edição do SQL Server Small</w:t>
      </w:r>
      <w:r w:rsidR="00185EA2" w:rsidRPr="00653421">
        <w:rPr>
          <w:rFonts w:eastAsia="Calibri" w:cs="Tahoma"/>
          <w:b/>
          <w:szCs w:val="18"/>
        </w:rPr>
        <w:t> </w:t>
      </w:r>
      <w:r w:rsidRPr="00653421">
        <w:rPr>
          <w:rFonts w:eastAsia="Calibri" w:cs="Tahoma"/>
          <w:b/>
          <w:szCs w:val="18"/>
        </w:rPr>
        <w:t>Business</w:t>
      </w:r>
    </w:p>
    <w:p w:rsidR="00A81E83" w:rsidRPr="00653421" w:rsidRDefault="00A81E83" w:rsidP="00CA0E2D">
      <w:pPr>
        <w:spacing w:after="200"/>
        <w:ind w:left="720"/>
      </w:pPr>
      <w:r w:rsidRPr="00653421">
        <w:rPr>
          <w:rFonts w:eastAsia="Calibri" w:cs="Tahoma"/>
          <w:szCs w:val="18"/>
        </w:rPr>
        <w:t>O SQL Server 2008 R2 para Small Business será a última versão da edição do SQL Server para Small Business.</w:t>
      </w:r>
      <w:r w:rsidR="005A52A2" w:rsidRPr="00653421">
        <w:rPr>
          <w:rFonts w:eastAsia="Calibri" w:cs="Tahoma"/>
          <w:szCs w:val="18"/>
        </w:rPr>
        <w:t xml:space="preserve"> </w:t>
      </w:r>
      <w:r w:rsidRPr="00653421">
        <w:rPr>
          <w:rFonts w:eastAsia="Calibri" w:cs="Tahoma"/>
          <w:szCs w:val="18"/>
        </w:rPr>
        <w:t>Como exceção, os clientes de licenciamento por volume com Software Assurance ativo para licenças do SQL Server 2008 R2 para Small Business em 1º de abril de 2012 poderão fazer atualização e</w:t>
      </w:r>
      <w:r w:rsidR="00352188" w:rsidRPr="00653421">
        <w:rPr>
          <w:rFonts w:eastAsia="Calibri" w:cs="Tahoma"/>
          <w:szCs w:val="18"/>
        </w:rPr>
        <w:t> </w:t>
      </w:r>
      <w:r w:rsidRPr="00653421">
        <w:rPr>
          <w:rFonts w:eastAsia="Calibri" w:cs="Tahoma"/>
          <w:szCs w:val="18"/>
        </w:rPr>
        <w:t>usar o SQL Server 2012 Standard Server (ou qualquer versão posterior desse produto disponibilizado durante sua cobertura) no lugar da edição do SQL Server Workgroup e adquirir o Software Assurance para</w:t>
      </w:r>
      <w:r w:rsidR="00185EA2" w:rsidRPr="00653421">
        <w:rPr>
          <w:rFonts w:eastAsia="Calibri" w:cs="Tahoma"/>
          <w:szCs w:val="18"/>
        </w:rPr>
        <w:t> </w:t>
      </w:r>
      <w:r w:rsidRPr="00653421">
        <w:rPr>
          <w:rFonts w:eastAsia="Calibri" w:cs="Tahoma"/>
          <w:szCs w:val="18"/>
        </w:rPr>
        <w:t>SQL Server Standard quando sua cobertura atual expirar. Além disso, os clientes de licenciamento por</w:t>
      </w:r>
      <w:r w:rsidR="00185EA2" w:rsidRPr="00653421">
        <w:rPr>
          <w:rFonts w:eastAsia="Calibri" w:cs="Tahoma"/>
          <w:szCs w:val="18"/>
        </w:rPr>
        <w:t> </w:t>
      </w:r>
      <w:r w:rsidRPr="00653421">
        <w:rPr>
          <w:rFonts w:eastAsia="Calibri" w:cs="Tahoma"/>
          <w:szCs w:val="18"/>
        </w:rPr>
        <w:t>volume com Software Assurance ativo para CALs do SQL Server 2008 R2 para Small Business em 1º</w:t>
      </w:r>
      <w:r w:rsidR="00352188" w:rsidRPr="00653421">
        <w:rPr>
          <w:rFonts w:eastAsia="Calibri" w:cs="Tahoma"/>
          <w:szCs w:val="18"/>
        </w:rPr>
        <w:t> </w:t>
      </w:r>
      <w:r w:rsidRPr="00653421">
        <w:rPr>
          <w:rFonts w:eastAsia="Calibri" w:cs="Tahoma"/>
          <w:szCs w:val="18"/>
        </w:rPr>
        <w:t>de</w:t>
      </w:r>
      <w:r w:rsidR="00352188" w:rsidRPr="00653421">
        <w:rPr>
          <w:rFonts w:eastAsia="Calibri" w:cs="Tahoma"/>
          <w:szCs w:val="18"/>
        </w:rPr>
        <w:t> </w:t>
      </w:r>
      <w:r w:rsidRPr="00653421">
        <w:rPr>
          <w:rFonts w:eastAsia="Calibri" w:cs="Tahoma"/>
          <w:szCs w:val="18"/>
        </w:rPr>
        <w:t>abril</w:t>
      </w:r>
      <w:r w:rsidR="00352188" w:rsidRPr="00653421">
        <w:rPr>
          <w:rFonts w:eastAsia="Calibri" w:cs="Tahoma"/>
          <w:szCs w:val="18"/>
        </w:rPr>
        <w:t> </w:t>
      </w:r>
      <w:r w:rsidRPr="00653421">
        <w:rPr>
          <w:rFonts w:eastAsia="Calibri" w:cs="Tahoma"/>
          <w:szCs w:val="18"/>
        </w:rPr>
        <w:t>de 2012 poderão fazer atualização e usar as CALs do SQL Server 2012 (ou qualquer versão posterior dessa CAL disponibilizada durante sua cobertura) no lugar da CAL do SQL Server Small Business e</w:t>
      </w:r>
      <w:r w:rsidR="00352188" w:rsidRPr="00653421">
        <w:rPr>
          <w:rFonts w:eastAsia="Calibri" w:cs="Tahoma"/>
          <w:szCs w:val="18"/>
        </w:rPr>
        <w:t> </w:t>
      </w:r>
      <w:r w:rsidRPr="00653421">
        <w:rPr>
          <w:rFonts w:eastAsia="Calibri" w:cs="Tahoma"/>
          <w:szCs w:val="18"/>
        </w:rPr>
        <w:t>adquirir o Software Assurance para CAL do SQL Server quando sua cobertura atual expirar.</w:t>
      </w:r>
      <w:r w:rsidR="005A52A2" w:rsidRPr="00653421">
        <w:rPr>
          <w:rFonts w:eastAsia="Calibri" w:cs="Tahoma"/>
          <w:szCs w:val="18"/>
        </w:rPr>
        <w:t xml:space="preserve"> </w:t>
      </w:r>
      <w:r w:rsidRPr="00653421">
        <w:rPr>
          <w:rFonts w:eastAsia="Calibri" w:cs="Tahoma"/>
          <w:szCs w:val="18"/>
        </w:rPr>
        <w:t>As licenças do</w:t>
      </w:r>
      <w:r w:rsidR="00352188" w:rsidRPr="00653421">
        <w:rPr>
          <w:rFonts w:eastAsia="Calibri" w:cs="Tahoma"/>
          <w:szCs w:val="18"/>
        </w:rPr>
        <w:t> </w:t>
      </w:r>
      <w:r w:rsidRPr="00653421">
        <w:rPr>
          <w:rFonts w:eastAsia="Calibri" w:cs="Tahoma"/>
          <w:szCs w:val="18"/>
        </w:rPr>
        <w:t>SQL Server Small Business dos clientes não são mais válidas quando eles adquirem o Software Assurance do SQL Server Standard sob esta oferta.</w:t>
      </w:r>
    </w:p>
    <w:p w:rsidR="00CA0E2D" w:rsidRPr="00653421" w:rsidRDefault="00A81E83" w:rsidP="00CA0E2D">
      <w:pPr>
        <w:spacing w:after="60" w:line="276" w:lineRule="auto"/>
        <w:ind w:left="720"/>
      </w:pPr>
      <w:r w:rsidRPr="00653421">
        <w:rPr>
          <w:b/>
        </w:rPr>
        <w:t>Para os clientes localizados na República Popular da</w:t>
      </w:r>
      <w:r w:rsidRPr="00653421">
        <w:t xml:space="preserve"> </w:t>
      </w:r>
      <w:r w:rsidRPr="00653421">
        <w:rPr>
          <w:b/>
        </w:rPr>
        <w:t>China e para os que estão adquirindo licenças e Software Assurance para SQL Server 2008 R2</w:t>
      </w:r>
    </w:p>
    <w:p w:rsidR="00CA0E2D" w:rsidRPr="00653421" w:rsidRDefault="00A81E83" w:rsidP="00CA0E2D">
      <w:pPr>
        <w:ind w:left="720"/>
      </w:pPr>
      <w:r w:rsidRPr="00653421">
        <w:t>As referências a 1</w:t>
      </w:r>
      <w:r w:rsidRPr="00653421">
        <w:rPr>
          <w:vertAlign w:val="superscript"/>
        </w:rPr>
        <w:t>º</w:t>
      </w:r>
      <w:r w:rsidRPr="00653421">
        <w:t xml:space="preserve"> de abril de 2012 nesta nota da lista de produtos não são aplicáveis. A data aplicável para</w:t>
      </w:r>
      <w:r w:rsidR="00185EA2" w:rsidRPr="00653421">
        <w:t> </w:t>
      </w:r>
      <w:r w:rsidRPr="00653421">
        <w:t>esses clientes é 1</w:t>
      </w:r>
      <w:r w:rsidRPr="00653421">
        <w:rPr>
          <w:vertAlign w:val="superscript"/>
        </w:rPr>
        <w:t>º</w:t>
      </w:r>
      <w:r w:rsidRPr="00653421">
        <w:t xml:space="preserve"> de julho de 2012.</w:t>
      </w:r>
    </w:p>
    <w:p w:rsidR="00CA0E2D" w:rsidRPr="00653421" w:rsidRDefault="00CA0E2D" w:rsidP="00CA0E2D">
      <w:pPr>
        <w:ind w:left="720"/>
      </w:pPr>
    </w:p>
    <w:p w:rsidR="002512D3" w:rsidRPr="00653421" w:rsidRDefault="002512D3">
      <w:bookmarkStart w:id="1431" w:name="_Toc336338342"/>
      <w:bookmarkStart w:id="1432" w:name="Srv_84SQL2008R2Webproc"/>
    </w:p>
    <w:p w:rsidR="00A81E83" w:rsidRPr="00653421" w:rsidRDefault="00F66FB0" w:rsidP="00A81E83">
      <w:pPr>
        <w:pStyle w:val="Heading3"/>
      </w:pPr>
      <w:bookmarkStart w:id="1433" w:name="_77_75_SQL"/>
      <w:bookmarkStart w:id="1434" w:name="_76_SQL_Server®"/>
      <w:bookmarkStart w:id="1435" w:name="_Toc353470982"/>
      <w:bookmarkEnd w:id="1433"/>
      <w:bookmarkEnd w:id="1434"/>
      <w:r w:rsidRPr="00653421">
        <w:rPr>
          <w:rFonts w:ascii="Tahoma" w:hAnsi="Tahoma" w:cs="Tahoma"/>
          <w:caps/>
          <w:color w:val="F66400"/>
          <w:sz w:val="22"/>
          <w:vertAlign w:val="superscript"/>
        </w:rPr>
        <w:t>76</w:t>
      </w:r>
      <w:r w:rsidRPr="00653421">
        <w:rPr>
          <w:rFonts w:ascii="Tahoma" w:hAnsi="Tahoma" w:cs="Tahoma"/>
          <w:color w:val="F66400"/>
          <w:sz w:val="22"/>
        </w:rPr>
        <w:t xml:space="preserve"> SQL Server</w:t>
      </w:r>
      <w:r w:rsidRPr="00653421">
        <w:rPr>
          <w:rFonts w:ascii="Tahoma" w:hAnsi="Tahoma" w:cs="Tahoma"/>
          <w:color w:val="F66400"/>
          <w:sz w:val="22"/>
          <w:vertAlign w:val="superscript"/>
        </w:rPr>
        <w:t>®</w:t>
      </w:r>
      <w:r w:rsidRPr="00653421">
        <w:rPr>
          <w:rFonts w:ascii="Tahoma" w:hAnsi="Tahoma" w:cs="Tahoma"/>
          <w:color w:val="F66400"/>
          <w:sz w:val="22"/>
        </w:rPr>
        <w:t xml:space="preserve"> 2008 R2 Web Processor</w:t>
      </w:r>
      <w:bookmarkEnd w:id="1431"/>
      <w:bookmarkEnd w:id="1435"/>
    </w:p>
    <w:bookmarkEnd w:id="1432"/>
    <w:p w:rsidR="00A81E83" w:rsidRPr="00653421" w:rsidRDefault="00A81E83" w:rsidP="008558DC"/>
    <w:p w:rsidR="008558DC" w:rsidRPr="00653421" w:rsidRDefault="00A81E83" w:rsidP="008558DC">
      <w:pPr>
        <w:spacing w:after="60"/>
        <w:ind w:left="720"/>
      </w:pPr>
      <w:r w:rsidRPr="00653421">
        <w:rPr>
          <w:rFonts w:eastAsia="Calibri" w:cs="Tahoma"/>
          <w:b/>
          <w:szCs w:val="18"/>
        </w:rPr>
        <w:t>Outorgas de Licença Associadas à Alteração no Modelo de Licenciamento</w:t>
      </w:r>
    </w:p>
    <w:p w:rsidR="00A81E83" w:rsidRPr="00653421" w:rsidRDefault="00A81E83" w:rsidP="008558DC">
      <w:pPr>
        <w:ind w:left="720"/>
      </w:pPr>
      <w:r w:rsidRPr="00653421">
        <w:rPr>
          <w:rFonts w:eastAsia="Calibri" w:cs="Tahoma"/>
          <w:szCs w:val="18"/>
        </w:rPr>
        <w:t>O SQL Server 2008 R2 será a última versão do SQL Server licenciada sob o modelo de licenciamento por</w:t>
      </w:r>
      <w:r w:rsidR="00352188" w:rsidRPr="00653421">
        <w:rPr>
          <w:rFonts w:eastAsia="Calibri" w:cs="Tahoma"/>
          <w:szCs w:val="18"/>
        </w:rPr>
        <w:t> </w:t>
      </w:r>
      <w:r w:rsidRPr="00653421">
        <w:rPr>
          <w:rFonts w:eastAsia="Calibri" w:cs="Tahoma"/>
          <w:szCs w:val="18"/>
        </w:rPr>
        <w:t>processador e a última versão da edição da Web do SQL Server sob programas de usuário final de licenciamento por volume.</w:t>
      </w:r>
      <w:r w:rsidR="005A52A2" w:rsidRPr="00653421">
        <w:rPr>
          <w:rFonts w:eastAsia="Calibri" w:cs="Tahoma"/>
          <w:szCs w:val="18"/>
        </w:rPr>
        <w:t xml:space="preserve"> </w:t>
      </w:r>
      <w:r w:rsidRPr="00653421">
        <w:rPr>
          <w:rFonts w:eastAsia="Calibri" w:cs="Tahoma"/>
          <w:szCs w:val="18"/>
        </w:rPr>
        <w:t>Como uma exceção, aos clientes de licenciamento por volume com Software Assurance ativo para licenças do processador do SQL Server 2008 R2 Web em 1º de abril de 2012 (“licenças</w:t>
      </w:r>
      <w:r w:rsidR="00352188" w:rsidRPr="00653421">
        <w:rPr>
          <w:rFonts w:eastAsia="Calibri" w:cs="Tahoma"/>
          <w:szCs w:val="18"/>
        </w:rPr>
        <w:t> </w:t>
      </w:r>
      <w:r w:rsidRPr="00653421">
        <w:rPr>
          <w:rFonts w:eastAsia="Calibri" w:cs="Tahoma"/>
          <w:szCs w:val="18"/>
        </w:rPr>
        <w:t xml:space="preserve">qualificadas”) são concedidas as seguintes opções. </w:t>
      </w:r>
      <w:r w:rsidRPr="00653421">
        <w:t>As licenças do processador do SQL Server 2008 R2 Web</w:t>
      </w:r>
      <w:r w:rsidRPr="00653421">
        <w:rPr>
          <w:rFonts w:cs="Tahoma"/>
          <w:bCs/>
          <w:color w:val="000000"/>
          <w:szCs w:val="18"/>
        </w:rPr>
        <w:t xml:space="preserve"> 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5A52A2" w:rsidRPr="00653421">
        <w:rPr>
          <w:rFonts w:cs="Tahoma"/>
          <w:bCs/>
          <w:color w:val="000000"/>
          <w:szCs w:val="18"/>
        </w:rPr>
        <w:t xml:space="preserve"> </w:t>
      </w:r>
      <w:r w:rsidRPr="00653421">
        <w:rPr>
          <w:rFonts w:cs="Tahoma"/>
          <w:bCs/>
          <w:color w:val="000000"/>
          <w:szCs w:val="18"/>
        </w:rPr>
        <w:t>As licenças adquiridas depois de 1º de abril de 2015 ou sob um prazo de registro subsequente, um contrato</w:t>
      </w:r>
      <w:r w:rsidR="00352188" w:rsidRPr="00653421">
        <w:rPr>
          <w:rFonts w:cs="Tahoma"/>
          <w:bCs/>
          <w:color w:val="000000"/>
          <w:szCs w:val="18"/>
        </w:rPr>
        <w:t> </w:t>
      </w:r>
      <w:r w:rsidRPr="00653421">
        <w:rPr>
          <w:rFonts w:cs="Tahoma"/>
          <w:bCs/>
          <w:color w:val="000000"/>
          <w:szCs w:val="18"/>
        </w:rPr>
        <w:t>separado ou qualquer registro com uma data de início de vigência após 1º de abril de 2012 não são licenças qualificadas.</w:t>
      </w:r>
    </w:p>
    <w:p w:rsidR="008558DC" w:rsidRPr="00653421" w:rsidRDefault="008558DC" w:rsidP="008558DC">
      <w:pPr>
        <w:ind w:left="720"/>
      </w:pPr>
    </w:p>
    <w:p w:rsidR="001A7718" w:rsidRPr="00653421" w:rsidRDefault="001A7718" w:rsidP="008558DC">
      <w:pPr>
        <w:ind w:left="720"/>
      </w:pPr>
    </w:p>
    <w:p w:rsidR="001A7718" w:rsidRPr="00653421" w:rsidRDefault="001A7718" w:rsidP="008558DC">
      <w:pPr>
        <w:ind w:left="720"/>
      </w:pPr>
    </w:p>
    <w:p w:rsidR="001A7718" w:rsidRPr="00653421" w:rsidRDefault="001A7718" w:rsidP="008558DC">
      <w:pPr>
        <w:ind w:left="720"/>
      </w:pPr>
    </w:p>
    <w:p w:rsidR="001A7718" w:rsidRPr="00653421" w:rsidRDefault="001A7718" w:rsidP="008558DC">
      <w:pPr>
        <w:ind w:left="720"/>
      </w:pPr>
    </w:p>
    <w:p w:rsidR="001A7718" w:rsidRPr="00653421" w:rsidRDefault="001A7718" w:rsidP="008558DC">
      <w:pPr>
        <w:ind w:left="720"/>
      </w:pPr>
    </w:p>
    <w:p w:rsidR="001A7718" w:rsidRPr="00653421" w:rsidRDefault="001A7718" w:rsidP="008558DC">
      <w:pPr>
        <w:ind w:left="720"/>
      </w:pPr>
    </w:p>
    <w:p w:rsidR="001A7718" w:rsidRPr="00653421" w:rsidRDefault="001A7718" w:rsidP="008558DC">
      <w:pPr>
        <w:ind w:left="720"/>
      </w:pPr>
    </w:p>
    <w:p w:rsidR="001A7718" w:rsidRPr="00653421" w:rsidRDefault="001A7718" w:rsidP="008558DC">
      <w:pPr>
        <w:ind w:left="720"/>
      </w:pPr>
    </w:p>
    <w:p w:rsidR="008558DC" w:rsidRPr="00653421" w:rsidRDefault="008558DC" w:rsidP="008558DC">
      <w:pPr>
        <w:spacing w:after="60"/>
        <w:ind w:left="720"/>
      </w:pPr>
      <w:r w:rsidRPr="00653421">
        <w:rPr>
          <w:rFonts w:eastAsia="Calibri" w:cs="Tahoma"/>
          <w:b/>
          <w:szCs w:val="18"/>
        </w:rPr>
        <w:lastRenderedPageBreak/>
        <w:t>Prazo Atual</w:t>
      </w:r>
    </w:p>
    <w:p w:rsidR="008558DC" w:rsidRPr="00F22872" w:rsidRDefault="00A81E83" w:rsidP="008558DC">
      <w:pPr>
        <w:ind w:left="720"/>
        <w:rPr>
          <w:spacing w:val="-2"/>
        </w:rPr>
      </w:pPr>
      <w:r w:rsidRPr="00F22872">
        <w:rPr>
          <w:rFonts w:eastAsia="Calibri" w:cs="Tahoma"/>
          <w:spacing w:val="-2"/>
          <w:szCs w:val="18"/>
        </w:rPr>
        <w:t>Durante o prazo atual da sua cobertura de Software Assurance a partir de 1º de 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5A52A2" w:rsidRPr="00F22872">
        <w:rPr>
          <w:rFonts w:eastAsia="Calibri" w:cs="Tahoma"/>
          <w:spacing w:val="-2"/>
          <w:szCs w:val="18"/>
        </w:rPr>
        <w:t xml:space="preserve"> </w:t>
      </w:r>
      <w:r w:rsidRPr="00F22872">
        <w:rPr>
          <w:rFonts w:eastAsia="Calibri" w:cs="Tahoma"/>
          <w:spacing w:val="-2"/>
          <w:szCs w:val="18"/>
        </w:rPr>
        <w:t>Os clientes devem consultar os Direitos de Uso do Produto para SQL Server 2012 Standard Core quanto aos termos de licença para Mobilidade de Licença.</w:t>
      </w:r>
    </w:p>
    <w:p w:rsidR="008558DC" w:rsidRPr="00653421" w:rsidRDefault="008558DC" w:rsidP="008558DC">
      <w:pPr>
        <w:ind w:left="720"/>
      </w:pPr>
    </w:p>
    <w:p w:rsidR="008558DC" w:rsidRPr="00653421" w:rsidRDefault="00A81E83" w:rsidP="008558DC">
      <w:pPr>
        <w:spacing w:after="60"/>
        <w:ind w:left="720"/>
      </w:pPr>
      <w:r w:rsidRPr="00653421">
        <w:rPr>
          <w:rFonts w:eastAsia="Calibri" w:cs="Tahoma"/>
          <w:b/>
          <w:szCs w:val="18"/>
        </w:rPr>
        <w:t>Primeiro Prazo de Renovação (antes de 1º de abril de 2015)</w:t>
      </w:r>
    </w:p>
    <w:p w:rsidR="00A81E83" w:rsidRPr="00653421" w:rsidRDefault="00A81E83" w:rsidP="008558DC">
      <w:pPr>
        <w:ind w:left="720"/>
      </w:pPr>
      <w:r w:rsidRPr="00653421">
        <w:rPr>
          <w:rFonts w:eastAsia="Calibri" w:cs="Tahoma"/>
          <w:szCs w:val="18"/>
        </w:rPr>
        <w:t>Na sua primeira renovação de Software Assurance em ou depois de 1º de abril de 2012 (mas antes de 1º</w:t>
      </w:r>
      <w:r w:rsidR="00352188" w:rsidRPr="00653421">
        <w:rPr>
          <w:rFonts w:eastAsia="Calibri" w:cs="Tahoma"/>
          <w:szCs w:val="18"/>
        </w:rPr>
        <w:t> </w:t>
      </w:r>
      <w:r w:rsidRPr="00653421">
        <w:rPr>
          <w:rFonts w:eastAsia="Calibri" w:cs="Tahoma"/>
          <w:szCs w:val="18"/>
        </w:rPr>
        <w:t>de abril de 2015), para cada servidor que um cliente tiver licenciado corretamente sob os direitos de uso</w:t>
      </w:r>
      <w:r w:rsidR="00352188" w:rsidRPr="00653421">
        <w:rPr>
          <w:rFonts w:eastAsia="Calibri" w:cs="Tahoma"/>
          <w:szCs w:val="18"/>
        </w:rPr>
        <w:t> </w:t>
      </w:r>
      <w:r w:rsidRPr="00653421">
        <w:rPr>
          <w:rFonts w:eastAsia="Calibri" w:cs="Tahoma"/>
          <w:szCs w:val="18"/>
        </w:rPr>
        <w:t>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653421" w:rsidRDefault="00A81E83" w:rsidP="008558DC">
      <w:pPr>
        <w:numPr>
          <w:ilvl w:val="0"/>
          <w:numId w:val="142"/>
        </w:numPr>
        <w:tabs>
          <w:tab w:val="left" w:pos="1800"/>
        </w:tabs>
        <w:spacing w:after="60"/>
      </w:pPr>
      <w:r w:rsidRPr="00653421">
        <w:rPr>
          <w:rFonts w:eastAsia="Calibri" w:cs="Tahoma"/>
          <w:szCs w:val="18"/>
        </w:rPr>
        <w:t>um número igual ao menor número de licenças qualificadas atribuído ao servidor ou o número total</w:t>
      </w:r>
      <w:r w:rsidR="00352188" w:rsidRPr="00653421">
        <w:rPr>
          <w:rFonts w:eastAsia="Calibri" w:cs="Tahoma"/>
          <w:szCs w:val="18"/>
        </w:rPr>
        <w:t> </w:t>
      </w:r>
      <w:r w:rsidRPr="00653421">
        <w:rPr>
          <w:rFonts w:eastAsia="Calibri" w:cs="Tahoma"/>
          <w:szCs w:val="18"/>
        </w:rPr>
        <w:t xml:space="preserve">de processadores físicos no servidor multiplicado pelo maior de: </w:t>
      </w:r>
    </w:p>
    <w:p w:rsidR="00A81E83" w:rsidRPr="00653421" w:rsidRDefault="00A81E83" w:rsidP="008558DC">
      <w:pPr>
        <w:numPr>
          <w:ilvl w:val="3"/>
          <w:numId w:val="69"/>
        </w:numPr>
        <w:spacing w:after="60"/>
        <w:ind w:left="2160"/>
      </w:pPr>
      <w:r w:rsidRPr="00653421">
        <w:rPr>
          <w:rFonts w:eastAsia="Calibri" w:cs="Tahoma"/>
          <w:szCs w:val="18"/>
        </w:rPr>
        <w:t>Quatro OU</w:t>
      </w:r>
    </w:p>
    <w:p w:rsidR="00A81E83" w:rsidRPr="00653421" w:rsidRDefault="00A81E83" w:rsidP="008558DC">
      <w:pPr>
        <w:numPr>
          <w:ilvl w:val="3"/>
          <w:numId w:val="69"/>
        </w:numPr>
        <w:spacing w:after="60"/>
        <w:ind w:left="2160"/>
      </w:pPr>
      <w:r w:rsidRPr="00653421">
        <w:rPr>
          <w:rFonts w:eastAsia="Calibri" w:cs="Tahoma"/>
          <w:szCs w:val="18"/>
        </w:rPr>
        <w:t>o número real de núcleos por processador físico multiplicado pelo fator do núcleo apropriado.</w:t>
      </w:r>
      <w:r w:rsidR="005A52A2" w:rsidRPr="00653421">
        <w:rPr>
          <w:rFonts w:eastAsia="Calibri" w:cs="Tahoma"/>
          <w:szCs w:val="18"/>
        </w:rPr>
        <w:t xml:space="preserve"> </w:t>
      </w:r>
      <w:r w:rsidRPr="00653421">
        <w:rPr>
          <w:rFonts w:eastAsia="Calibri" w:cs="Tahoma"/>
          <w:szCs w:val="18"/>
        </w:rPr>
        <w:t>(Nos casos em que o número real de núcleos por processador físico excede quatro, os clientes devem manter um registro da configuração do software SQ</w:t>
      </w:r>
      <w:r w:rsidR="00392523" w:rsidRPr="00653421">
        <w:rPr>
          <w:rFonts w:eastAsia="Calibri" w:cs="Tahoma"/>
          <w:szCs w:val="18"/>
        </w:rPr>
        <w:t>L Server executando no servidor</w:t>
      </w:r>
      <w:r w:rsidRPr="00653421">
        <w:rPr>
          <w:rFonts w:eastAsia="Calibri" w:cs="Tahoma"/>
          <w:szCs w:val="18"/>
        </w:rPr>
        <w:t xml:space="preserve"> </w:t>
      </w:r>
      <w:r w:rsidR="00392523" w:rsidRPr="00653421">
        <w:rPr>
          <w:rFonts w:eastAsia="Calibri" w:cs="Tahoma"/>
          <w:szCs w:val="18"/>
        </w:rPr>
        <w:t>(</w:t>
      </w:r>
      <w:r w:rsidRPr="00653421">
        <w:rPr>
          <w:rFonts w:eastAsia="Calibri" w:cs="Tahoma"/>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558DC" w:rsidRPr="00653421" w:rsidRDefault="00A81E83" w:rsidP="008558DC">
      <w:pPr>
        <w:numPr>
          <w:ilvl w:val="0"/>
          <w:numId w:val="142"/>
        </w:numPr>
        <w:tabs>
          <w:tab w:val="left" w:pos="1800"/>
        </w:tabs>
        <w:spacing w:after="60"/>
      </w:pPr>
      <w:r w:rsidRPr="00653421">
        <w:rPr>
          <w:rFonts w:eastAsia="Calibri" w:cs="Tahoma"/>
          <w:szCs w:val="18"/>
        </w:rPr>
        <w:t>um número igual ao número das licenças qualificadas atribuído ao servidor em excesso do número real de processadores físicos no servidor multiplicado por quatro.</w:t>
      </w:r>
    </w:p>
    <w:p w:rsidR="00E5029B" w:rsidRPr="00653421" w:rsidRDefault="00E5029B"/>
    <w:p w:rsidR="008558DC" w:rsidRPr="00653421" w:rsidRDefault="00A81E83" w:rsidP="008558DC">
      <w:pPr>
        <w:spacing w:after="60"/>
        <w:ind w:left="720"/>
      </w:pPr>
      <w:r w:rsidRPr="00653421">
        <w:rPr>
          <w:rFonts w:eastAsia="Calibri" w:cs="Tahoma"/>
          <w:b/>
          <w:szCs w:val="18"/>
        </w:rPr>
        <w:t>Primeiro Prazo de Renovação (em ou após 1º de abril de 2015)</w:t>
      </w:r>
    </w:p>
    <w:p w:rsidR="00A81E83" w:rsidRPr="00653421" w:rsidRDefault="00A81E83" w:rsidP="008558DC">
      <w:pPr>
        <w:ind w:left="720"/>
        <w:contextualSpacing/>
      </w:pPr>
      <w:r w:rsidRPr="00653421">
        <w:rPr>
          <w:rFonts w:eastAsia="Calibri" w:cs="Tahoma"/>
          <w:color w:val="000000"/>
          <w:szCs w:val="18"/>
        </w:rPr>
        <w:t>Os clientes que renovaram primeiro a cobertura em ou depois de 1</w:t>
      </w:r>
      <w:r w:rsidRPr="00653421">
        <w:rPr>
          <w:rFonts w:eastAsia="Calibri" w:cs="Tahoma"/>
          <w:color w:val="000000"/>
          <w:szCs w:val="18"/>
          <w:vertAlign w:val="superscript"/>
        </w:rPr>
        <w:t>o</w:t>
      </w:r>
      <w:r w:rsidRPr="00653421">
        <w:rPr>
          <w:rFonts w:eastAsia="Calibri" w:cs="Tahoma"/>
          <w:color w:val="000000"/>
          <w:szCs w:val="18"/>
        </w:rPr>
        <w:t xml:space="preserve"> de abril de 2015</w:t>
      </w:r>
      <w:r w:rsidRPr="00653421">
        <w:rPr>
          <w:rFonts w:eastAsia="Calibri" w:cs="Tahoma"/>
          <w:szCs w:val="18"/>
        </w:rPr>
        <w:t xml:space="preserve"> poderão, para qualquer servidor no qual eles estejam devidamente licenciados sob os direitos de uso do produto da licença</w:t>
      </w:r>
      <w:r w:rsidR="00352188" w:rsidRPr="00653421">
        <w:rPr>
          <w:rFonts w:eastAsia="Calibri" w:cs="Tahoma"/>
          <w:szCs w:val="18"/>
        </w:rPr>
        <w:t> </w:t>
      </w:r>
      <w:r w:rsidRPr="00653421">
        <w:rPr>
          <w:rFonts w:eastAsia="Calibri" w:cs="Tahoma"/>
          <w:szCs w:val="18"/>
        </w:rPr>
        <w:t>do processador SQK Server 2008 R2, adquirir o Software Assurance, como pode ser visto a seguir:</w:t>
      </w:r>
    </w:p>
    <w:p w:rsidR="008558DC" w:rsidRPr="00653421" w:rsidRDefault="008558DC" w:rsidP="008558DC">
      <w:pPr>
        <w:ind w:left="720"/>
        <w:contextualSpacing/>
      </w:pPr>
    </w:p>
    <w:p w:rsidR="00A81E83" w:rsidRPr="00653421" w:rsidRDefault="00A81E83" w:rsidP="008558DC">
      <w:pPr>
        <w:numPr>
          <w:ilvl w:val="3"/>
          <w:numId w:val="107"/>
        </w:numPr>
        <w:spacing w:after="60"/>
        <w:ind w:left="1440"/>
      </w:pPr>
      <w:r w:rsidRPr="00653421">
        <w:rPr>
          <w:rFonts w:eastAsia="Calibri" w:cs="Tahoma"/>
          <w:szCs w:val="18"/>
        </w:rPr>
        <w:t>Conforme fornecido no primeiro parágrafo desta nota do produto, as licenças adquiridas antes de 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renovar o SA de acordo com os termos na seção “Primeiro Prazo de Renovação (Antes de 1</w:t>
      </w:r>
      <w:r w:rsidRPr="00653421">
        <w:rPr>
          <w:rFonts w:eastAsia="Calibri" w:cs="Tahoma"/>
          <w:szCs w:val="18"/>
          <w:vertAlign w:val="superscript"/>
        </w:rPr>
        <w:t>º</w:t>
      </w:r>
      <w:r w:rsidRPr="00653421">
        <w:rPr>
          <w:rFonts w:eastAsia="Calibri" w:cs="Tahoma"/>
          <w:szCs w:val="18"/>
        </w:rPr>
        <w:t xml:space="preserve"> de abril de 2015)</w:t>
      </w:r>
      <w:r w:rsidR="00C133AB" w:rsidRPr="00653421">
        <w:rPr>
          <w:rFonts w:eastAsia="Calibri" w:cs="Tahoma"/>
          <w:szCs w:val="18"/>
        </w:rPr>
        <w:t>”</w:t>
      </w:r>
      <w:r w:rsidRPr="00653421">
        <w:rPr>
          <w:rFonts w:eastAsia="Calibri" w:cs="Tahoma"/>
          <w:szCs w:val="18"/>
        </w:rPr>
        <w:t xml:space="preserve"> acima e</w:t>
      </w:r>
    </w:p>
    <w:p w:rsidR="00A81E83" w:rsidRPr="00653421" w:rsidRDefault="00A81E83" w:rsidP="008558DC">
      <w:pPr>
        <w:numPr>
          <w:ilvl w:val="3"/>
          <w:numId w:val="107"/>
        </w:numPr>
        <w:spacing w:after="60"/>
        <w:ind w:left="1440"/>
      </w:pPr>
      <w:r w:rsidRPr="00653421">
        <w:rPr>
          <w:rFonts w:eastAsia="Calibri" w:cs="Tahoma"/>
          <w:szCs w:val="18"/>
        </w:rPr>
        <w:t>Para as licenças adquiridas depois de 1</w:t>
      </w:r>
      <w:r w:rsidRPr="00653421">
        <w:rPr>
          <w:rFonts w:eastAsia="Calibri" w:cs="Tahoma"/>
          <w:szCs w:val="18"/>
          <w:vertAlign w:val="superscript"/>
        </w:rPr>
        <w:t>º</w:t>
      </w:r>
      <w:r w:rsidRPr="00653421">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rsidR="00A81E83" w:rsidRPr="00653421" w:rsidRDefault="00A81E83" w:rsidP="008558DC">
      <w:pPr>
        <w:numPr>
          <w:ilvl w:val="0"/>
          <w:numId w:val="64"/>
        </w:numPr>
        <w:spacing w:after="60"/>
        <w:ind w:left="1440"/>
      </w:pPr>
      <w:r w:rsidRPr="00653421">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rsidR="008558DC" w:rsidRPr="00653421" w:rsidRDefault="008558DC" w:rsidP="008558DC">
      <w:pPr>
        <w:ind w:left="720"/>
        <w:contextualSpacing/>
      </w:pPr>
    </w:p>
    <w:p w:rsidR="008558DC" w:rsidRPr="00653421" w:rsidRDefault="00A81E83" w:rsidP="008558DC">
      <w:pPr>
        <w:spacing w:after="60"/>
        <w:ind w:left="720"/>
      </w:pPr>
      <w:r w:rsidRPr="00653421">
        <w:rPr>
          <w:rFonts w:eastAsia="Calibri" w:cs="Tahoma"/>
          <w:b/>
          <w:szCs w:val="18"/>
        </w:rPr>
        <w:t>Para os clientes com cobertura de Software Assurance que expiram antes de 1º de abril de</w:t>
      </w:r>
      <w:r w:rsidR="00252172" w:rsidRPr="00653421">
        <w:rPr>
          <w:rFonts w:eastAsia="Calibri" w:cs="Tahoma"/>
          <w:b/>
          <w:szCs w:val="18"/>
        </w:rPr>
        <w:t> </w:t>
      </w:r>
      <w:r w:rsidRPr="00653421">
        <w:rPr>
          <w:rFonts w:eastAsia="Calibri" w:cs="Tahoma"/>
          <w:b/>
          <w:szCs w:val="18"/>
        </w:rPr>
        <w:t>2015 que optaram pela não renovação</w:t>
      </w:r>
    </w:p>
    <w:p w:rsidR="00A81E83" w:rsidRDefault="00A81E83" w:rsidP="008558DC">
      <w:pPr>
        <w:ind w:left="720"/>
        <w:contextualSpacing/>
        <w:rPr>
          <w:rFonts w:eastAsia="Calibri" w:cs="Tahoma"/>
          <w:szCs w:val="18"/>
        </w:rPr>
      </w:pPr>
      <w:r w:rsidRPr="00653421">
        <w:rPr>
          <w:rFonts w:eastAsia="Calibri" w:cs="Tahoma"/>
          <w:szCs w:val="18"/>
        </w:rPr>
        <w:t xml:space="preserve">Os clientes do Enterprise Subscription </w:t>
      </w:r>
      <w:r w:rsidRPr="00653421">
        <w:rPr>
          <w:rFonts w:cs="Tahoma"/>
          <w:bCs/>
          <w:color w:val="000000"/>
          <w:szCs w:val="18"/>
        </w:rPr>
        <w:t xml:space="preserve">e Open Value Subscription </w:t>
      </w:r>
      <w:r w:rsidRPr="00653421">
        <w:rPr>
          <w:rFonts w:eastAsia="Calibri" w:cs="Tahoma"/>
          <w:szCs w:val="18"/>
        </w:rPr>
        <w:t>com cobertura expirando antes de 1º</w:t>
      </w:r>
      <w:r w:rsidR="00352188" w:rsidRPr="00653421">
        <w:rPr>
          <w:rFonts w:eastAsia="Calibri" w:cs="Tahoma"/>
          <w:szCs w:val="18"/>
        </w:rPr>
        <w:t> </w:t>
      </w:r>
      <w:r w:rsidRPr="00653421">
        <w:rPr>
          <w:rFonts w:eastAsia="Calibri" w:cs="Tahoma"/>
          <w:szCs w:val="18"/>
        </w:rPr>
        <w:t>de</w:t>
      </w:r>
      <w:r w:rsidR="00352188" w:rsidRPr="00653421">
        <w:rPr>
          <w:rFonts w:eastAsia="Calibri" w:cs="Tahoma"/>
          <w:szCs w:val="18"/>
        </w:rPr>
        <w:t> </w:t>
      </w:r>
      <w:r w:rsidRPr="00653421">
        <w:rPr>
          <w:rFonts w:eastAsia="Calibri" w:cs="Tahoma"/>
          <w:szCs w:val="18"/>
        </w:rPr>
        <w:t>abril de 2015 que optarem por comprar licenças de processador e quaisquer outros clientes que adquirirem licenças perpétuas sob este contrato e optarem por não renovar o Software Assurance poderão</w:t>
      </w:r>
      <w:r w:rsidR="00352188" w:rsidRPr="00653421">
        <w:rPr>
          <w:rFonts w:eastAsia="Calibri" w:cs="Tahoma"/>
          <w:szCs w:val="18"/>
        </w:rPr>
        <w:t> </w:t>
      </w:r>
      <w:r w:rsidRPr="00653421">
        <w:rPr>
          <w:rFonts w:eastAsia="Calibri" w:cs="Tahoma"/>
          <w:szCs w:val="18"/>
        </w:rPr>
        <w:t>executar o SQL Server 2008 R2 ou SQL Server 2012 sob essas licenças da seguinte forma:</w:t>
      </w:r>
    </w:p>
    <w:p w:rsidR="00F22872" w:rsidRPr="00653421" w:rsidRDefault="00F22872" w:rsidP="008558DC">
      <w:pPr>
        <w:ind w:left="720"/>
        <w:contextualSpacing/>
      </w:pPr>
    </w:p>
    <w:p w:rsidR="00A81E83" w:rsidRPr="00653421" w:rsidRDefault="00A81E83" w:rsidP="00B06AAC">
      <w:pPr>
        <w:numPr>
          <w:ilvl w:val="0"/>
          <w:numId w:val="108"/>
        </w:numPr>
        <w:tabs>
          <w:tab w:val="left" w:pos="1800"/>
        </w:tabs>
        <w:spacing w:after="60"/>
        <w:ind w:left="1800"/>
      </w:pPr>
      <w:r w:rsidRPr="00653421">
        <w:rPr>
          <w:rFonts w:eastAsia="Calibri" w:cs="Tahoma"/>
          <w:b/>
          <w:szCs w:val="18"/>
        </w:rPr>
        <w:t>SQL Server 2008 R2 Web:</w:t>
      </w:r>
      <w:r w:rsidRPr="00653421">
        <w:rPr>
          <w:rFonts w:eastAsia="Calibri" w:cs="Tahoma"/>
          <w:szCs w:val="18"/>
        </w:rPr>
        <w:t xml:space="preserve"> O uso contínuo do referido software está sujeito aos direitos de</w:t>
      </w:r>
      <w:r w:rsidR="00252172" w:rsidRPr="00653421">
        <w:rPr>
          <w:rFonts w:eastAsia="Calibri" w:cs="Tahoma"/>
          <w:szCs w:val="18"/>
        </w:rPr>
        <w:t> </w:t>
      </w:r>
      <w:r w:rsidRPr="00653421">
        <w:rPr>
          <w:rFonts w:eastAsia="Calibri" w:cs="Tahoma"/>
          <w:szCs w:val="18"/>
        </w:rPr>
        <w:t xml:space="preserve">uso do produto de licença do processador do SQL Server 2008 R2 Web. Os clientes não têm mais direitos sob Mobilidade de Licença nos Farms de Servidores nem Mobilidade de Licença por meio de Software Assurance. </w:t>
      </w:r>
    </w:p>
    <w:p w:rsidR="00A81E83" w:rsidRPr="00653421" w:rsidRDefault="00A81E83" w:rsidP="00B06AAC">
      <w:pPr>
        <w:numPr>
          <w:ilvl w:val="0"/>
          <w:numId w:val="108"/>
        </w:numPr>
        <w:tabs>
          <w:tab w:val="left" w:pos="1800"/>
        </w:tabs>
        <w:spacing w:after="60"/>
        <w:ind w:left="1800"/>
      </w:pPr>
      <w:r w:rsidRPr="00653421">
        <w:rPr>
          <w:rFonts w:eastAsia="Calibri" w:cs="Tahoma"/>
          <w:b/>
          <w:szCs w:val="18"/>
        </w:rPr>
        <w:lastRenderedPageBreak/>
        <w:t xml:space="preserve">SQL Server 2012 Standard Core: </w:t>
      </w:r>
      <w:r w:rsidRPr="00653421">
        <w:rPr>
          <w:rFonts w:eastAsia="Calibri" w:cs="Tahoma"/>
          <w:szCs w:val="18"/>
        </w:rPr>
        <w:t xml:space="preserve">O uso desta versão do software está sujeito aos direitos de uso do produto de licença do processador do SQL Server 2008 R2 Standard, no entanto: </w:t>
      </w:r>
    </w:p>
    <w:p w:rsidR="00A81E83" w:rsidRPr="00653421" w:rsidRDefault="00A81E83" w:rsidP="00B06AAC">
      <w:pPr>
        <w:numPr>
          <w:ilvl w:val="1"/>
          <w:numId w:val="66"/>
        </w:numPr>
        <w:tabs>
          <w:tab w:val="left" w:pos="2160"/>
        </w:tabs>
        <w:spacing w:after="60"/>
        <w:ind w:left="2160"/>
      </w:pPr>
      <w:r w:rsidRPr="00653421">
        <w:rPr>
          <w:rFonts w:eastAsia="Calibri" w:cs="Tahoma"/>
          <w:szCs w:val="18"/>
        </w:rPr>
        <w:t xml:space="preserve">os clientes não têm mais direitos sob Mobilidade de Licença nos Farms de Servidores nem Mobilidade de Licença por meio de Software Assurance e </w:t>
      </w:r>
    </w:p>
    <w:p w:rsidR="00A81E83" w:rsidRPr="00653421" w:rsidRDefault="00A81E83" w:rsidP="00B06AAC">
      <w:pPr>
        <w:numPr>
          <w:ilvl w:val="1"/>
          <w:numId w:val="66"/>
        </w:numPr>
        <w:tabs>
          <w:tab w:val="left" w:pos="2160"/>
        </w:tabs>
        <w:spacing w:after="60"/>
        <w:ind w:left="2160"/>
      </w:pPr>
      <w:r w:rsidRPr="00653421">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653421" w:rsidRDefault="00A81E83" w:rsidP="00B06AAC">
      <w:pPr>
        <w:numPr>
          <w:ilvl w:val="2"/>
          <w:numId w:val="66"/>
        </w:numPr>
        <w:tabs>
          <w:tab w:val="left" w:pos="2520"/>
        </w:tabs>
        <w:spacing w:after="60"/>
        <w:ind w:left="2520"/>
      </w:pPr>
      <w:r w:rsidRPr="00653421">
        <w:rPr>
          <w:rFonts w:eastAsia="Calibri" w:cs="Tahoma"/>
          <w:szCs w:val="18"/>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653421" w:rsidRDefault="00A81E83" w:rsidP="00B06AAC">
      <w:pPr>
        <w:numPr>
          <w:ilvl w:val="4"/>
          <w:numId w:val="64"/>
        </w:numPr>
        <w:tabs>
          <w:tab w:val="left" w:pos="2880"/>
        </w:tabs>
        <w:spacing w:after="60"/>
        <w:ind w:left="2880"/>
      </w:pPr>
      <w:r w:rsidRPr="00653421">
        <w:rPr>
          <w:rFonts w:eastAsia="Calibri" w:cs="Tahoma"/>
          <w:szCs w:val="18"/>
        </w:rPr>
        <w:t xml:space="preserve">quatro núcleos por licença de processador OU </w:t>
      </w:r>
    </w:p>
    <w:p w:rsidR="00A81E83" w:rsidRPr="00653421" w:rsidRDefault="00A81E83" w:rsidP="00B06AAC">
      <w:pPr>
        <w:numPr>
          <w:ilvl w:val="4"/>
          <w:numId w:val="64"/>
        </w:numPr>
        <w:tabs>
          <w:tab w:val="left" w:pos="2880"/>
        </w:tabs>
        <w:spacing w:after="60"/>
        <w:ind w:left="2880"/>
      </w:pPr>
      <w:r w:rsidRPr="00653421">
        <w:rPr>
          <w:rFonts w:eastAsia="Calibri" w:cs="Tahoma"/>
          <w:szCs w:val="18"/>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w:t>
      </w:r>
      <w:r w:rsidR="00392523" w:rsidRPr="00653421">
        <w:rPr>
          <w:rFonts w:eastAsia="Calibri" w:cs="Tahoma"/>
          <w:szCs w:val="18"/>
        </w:rPr>
        <w:t>L Server executando no servidor</w:t>
      </w:r>
      <w:r w:rsidRPr="00653421">
        <w:rPr>
          <w:rFonts w:eastAsia="Calibri" w:cs="Tahoma"/>
          <w:szCs w:val="18"/>
        </w:rPr>
        <w:t xml:space="preserve"> </w:t>
      </w:r>
      <w:r w:rsidR="00392523" w:rsidRPr="00653421">
        <w:rPr>
          <w:rFonts w:eastAsia="Calibri" w:cs="Tahoma"/>
          <w:szCs w:val="18"/>
        </w:rPr>
        <w:t>(</w:t>
      </w:r>
      <w:r w:rsidRPr="00653421">
        <w:rPr>
          <w:rFonts w:eastAsia="Calibri" w:cs="Tahoma"/>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558DC" w:rsidRPr="00653421" w:rsidRDefault="00A81E83" w:rsidP="00B06AAC">
      <w:pPr>
        <w:numPr>
          <w:ilvl w:val="2"/>
          <w:numId w:val="66"/>
        </w:numPr>
        <w:tabs>
          <w:tab w:val="left" w:pos="2520"/>
        </w:tabs>
        <w:spacing w:after="60"/>
        <w:ind w:left="2520"/>
      </w:pPr>
      <w:r w:rsidRPr="00653421">
        <w:rPr>
          <w:rFonts w:eastAsia="Calibri" w:cs="Tahoma"/>
          <w:szCs w:val="18"/>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A81E83" w:rsidRPr="00653421" w:rsidRDefault="00A81E83" w:rsidP="00B06AAC">
      <w:pPr>
        <w:numPr>
          <w:ilvl w:val="1"/>
          <w:numId w:val="66"/>
        </w:numPr>
        <w:tabs>
          <w:tab w:val="left" w:pos="2160"/>
        </w:tabs>
        <w:spacing w:after="60"/>
        <w:ind w:left="2160"/>
      </w:pPr>
      <w:r w:rsidRPr="00653421">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A81E83" w:rsidRPr="00653421" w:rsidRDefault="00A81E83" w:rsidP="00B06AAC">
      <w:pPr>
        <w:numPr>
          <w:ilvl w:val="1"/>
          <w:numId w:val="66"/>
        </w:numPr>
        <w:tabs>
          <w:tab w:val="left" w:pos="2160"/>
        </w:tabs>
        <w:spacing w:after="60"/>
        <w:ind w:left="2160"/>
      </w:pPr>
      <w:r w:rsidRPr="00653421">
        <w:rPr>
          <w:rFonts w:eastAsia="Calibri" w:cs="Tahoma"/>
          <w:szCs w:val="18"/>
        </w:rPr>
        <w:t>A equivalência de licença principal dos clientes não implica que eles podem atribuir uma única licença de processador a núcleos por dois ou mais processadores.</w:t>
      </w:r>
    </w:p>
    <w:p w:rsidR="00B06AAC" w:rsidRPr="00653421" w:rsidRDefault="00B06AAC" w:rsidP="00B06AAC">
      <w:pPr>
        <w:tabs>
          <w:tab w:val="left" w:pos="2160"/>
        </w:tabs>
        <w:spacing w:after="60"/>
      </w:pPr>
    </w:p>
    <w:p w:rsidR="00B06AAC" w:rsidRPr="00653421" w:rsidRDefault="00A81E83" w:rsidP="00B06AAC">
      <w:pPr>
        <w:tabs>
          <w:tab w:val="left" w:pos="720"/>
        </w:tabs>
        <w:spacing w:after="60"/>
        <w:ind w:left="720"/>
      </w:pPr>
      <w:r w:rsidRPr="00653421">
        <w:rPr>
          <w:rFonts w:eastAsia="Calibri" w:cs="Tahoma"/>
          <w:b/>
          <w:szCs w:val="18"/>
        </w:rPr>
        <w:t>Para os clientes com cobertura de Software Assurance que expiram em ou depois de 1º</w:t>
      </w:r>
      <w:r w:rsidR="00352188" w:rsidRPr="00653421">
        <w:rPr>
          <w:rFonts w:eastAsia="Calibri" w:cs="Tahoma"/>
          <w:b/>
          <w:szCs w:val="18"/>
        </w:rPr>
        <w:t> </w:t>
      </w:r>
      <w:r w:rsidRPr="00653421">
        <w:rPr>
          <w:rFonts w:eastAsia="Calibri" w:cs="Tahoma"/>
          <w:b/>
          <w:szCs w:val="18"/>
        </w:rPr>
        <w:t>de</w:t>
      </w:r>
      <w:r w:rsidR="00352188" w:rsidRPr="00653421">
        <w:rPr>
          <w:rFonts w:eastAsia="Calibri" w:cs="Tahoma"/>
          <w:b/>
          <w:szCs w:val="18"/>
        </w:rPr>
        <w:t> </w:t>
      </w:r>
      <w:r w:rsidRPr="00653421">
        <w:rPr>
          <w:rFonts w:eastAsia="Calibri" w:cs="Tahoma"/>
          <w:b/>
          <w:szCs w:val="18"/>
        </w:rPr>
        <w:t>abril</w:t>
      </w:r>
      <w:r w:rsidR="00352188" w:rsidRPr="00653421">
        <w:rPr>
          <w:rFonts w:eastAsia="Calibri" w:cs="Tahoma"/>
          <w:b/>
          <w:szCs w:val="18"/>
        </w:rPr>
        <w:t> </w:t>
      </w:r>
      <w:r w:rsidRPr="00653421">
        <w:rPr>
          <w:rFonts w:eastAsia="Calibri" w:cs="Tahoma"/>
          <w:b/>
          <w:szCs w:val="18"/>
        </w:rPr>
        <w:t>de 2015 que optaram pela não renovação</w:t>
      </w:r>
    </w:p>
    <w:p w:rsidR="00A81E83" w:rsidRPr="00653421" w:rsidRDefault="00A81E83" w:rsidP="00B06AAC">
      <w:pPr>
        <w:tabs>
          <w:tab w:val="left" w:pos="720"/>
        </w:tabs>
        <w:ind w:left="720"/>
        <w:contextualSpacing/>
      </w:pPr>
      <w:r w:rsidRPr="00653421">
        <w:rPr>
          <w:rFonts w:eastAsia="Calibri" w:cs="Tahoma"/>
          <w:color w:val="000000"/>
          <w:szCs w:val="18"/>
        </w:rPr>
        <w:t xml:space="preserve">Os clientes do Enterprise Subscription </w:t>
      </w:r>
      <w:r w:rsidRPr="00653421">
        <w:rPr>
          <w:rFonts w:cs="Tahoma"/>
          <w:bCs/>
          <w:color w:val="000000"/>
          <w:szCs w:val="18"/>
        </w:rPr>
        <w:t xml:space="preserve">e Open Value Subscription </w:t>
      </w:r>
      <w:r w:rsidRPr="00653421">
        <w:rPr>
          <w:rFonts w:eastAsia="Calibri" w:cs="Tahoma"/>
          <w:color w:val="000000"/>
          <w:szCs w:val="18"/>
        </w:rPr>
        <w:t>com cobertura expirando em ou depois de</w:t>
      </w:r>
      <w:r w:rsidR="00352188" w:rsidRPr="00653421">
        <w:rPr>
          <w:rFonts w:eastAsia="Calibri" w:cs="Tahoma"/>
          <w:color w:val="000000"/>
          <w:szCs w:val="18"/>
        </w:rPr>
        <w:t> </w:t>
      </w:r>
      <w:r w:rsidRPr="00653421">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rsidR="00B06AAC" w:rsidRPr="00653421" w:rsidRDefault="00B06AAC" w:rsidP="00B06AAC">
      <w:pPr>
        <w:tabs>
          <w:tab w:val="left" w:pos="720"/>
        </w:tabs>
        <w:ind w:left="720"/>
        <w:contextualSpacing/>
      </w:pPr>
    </w:p>
    <w:p w:rsidR="00A81E83" w:rsidRPr="00653421" w:rsidRDefault="00A81E83" w:rsidP="00B06AAC">
      <w:pPr>
        <w:numPr>
          <w:ilvl w:val="2"/>
          <w:numId w:val="64"/>
        </w:numPr>
        <w:spacing w:after="60"/>
        <w:ind w:left="1440"/>
      </w:pPr>
      <w:r w:rsidRPr="00653421">
        <w:rPr>
          <w:rFonts w:eastAsia="Calibri" w:cs="Tahoma"/>
          <w:szCs w:val="18"/>
        </w:rPr>
        <w:t>Conforme fornecido no primeiro parágrafo desta nota de produto, as licenças adquiridas antes de 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653421" w:rsidRDefault="00A81E83" w:rsidP="00B06AAC">
      <w:pPr>
        <w:numPr>
          <w:ilvl w:val="2"/>
          <w:numId w:val="64"/>
        </w:numPr>
        <w:spacing w:after="60"/>
        <w:ind w:left="1440"/>
      </w:pPr>
      <w:r w:rsidRPr="00653421">
        <w:rPr>
          <w:rFonts w:eastAsia="Calibri" w:cs="Tahoma"/>
          <w:szCs w:val="18"/>
        </w:rPr>
        <w:t>Para as licenças adquiridas depois de 1</w:t>
      </w:r>
      <w:r w:rsidRPr="00653421">
        <w:rPr>
          <w:rFonts w:eastAsia="Calibri" w:cs="Tahoma"/>
          <w:szCs w:val="18"/>
          <w:vertAlign w:val="superscript"/>
        </w:rPr>
        <w:t>º</w:t>
      </w:r>
      <w:r w:rsidRPr="00653421">
        <w:rPr>
          <w:rFonts w:eastAsia="Calibri" w:cs="Tahoma"/>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2512D3" w:rsidRPr="00653421" w:rsidRDefault="002512D3"/>
    <w:p w:rsidR="00B06AAC" w:rsidRPr="00653421" w:rsidRDefault="00A81E83" w:rsidP="00B06AAC">
      <w:pPr>
        <w:tabs>
          <w:tab w:val="left" w:pos="720"/>
        </w:tabs>
        <w:spacing w:after="60"/>
        <w:ind w:left="720"/>
      </w:pPr>
      <w:r w:rsidRPr="00653421">
        <w:rPr>
          <w:b/>
        </w:rPr>
        <w:t>Para os clientes localizados na República Popular da</w:t>
      </w:r>
      <w:r w:rsidRPr="00653421">
        <w:t xml:space="preserve"> </w:t>
      </w:r>
      <w:r w:rsidRPr="00653421">
        <w:rPr>
          <w:b/>
        </w:rPr>
        <w:t>China e para os que estão adquirindo licenças de processador e Software Assurance para SQL Server 2008 R2</w:t>
      </w:r>
    </w:p>
    <w:p w:rsidR="00A81E83" w:rsidRPr="00653421" w:rsidRDefault="00A81E83" w:rsidP="00B06AAC">
      <w:pPr>
        <w:tabs>
          <w:tab w:val="left" w:pos="720"/>
        </w:tabs>
        <w:ind w:left="720"/>
        <w:contextualSpacing/>
      </w:pPr>
      <w:r w:rsidRPr="00653421">
        <w:t>As referências a 1</w:t>
      </w:r>
      <w:r w:rsidRPr="00653421">
        <w:rPr>
          <w:vertAlign w:val="superscript"/>
        </w:rPr>
        <w:t>º</w:t>
      </w:r>
      <w:r w:rsidRPr="00653421">
        <w:t xml:space="preserve"> de abril de 2012 e 1</w:t>
      </w:r>
      <w:r w:rsidRPr="00653421">
        <w:rPr>
          <w:vertAlign w:val="superscript"/>
        </w:rPr>
        <w:t>º</w:t>
      </w:r>
      <w:r w:rsidRPr="00653421">
        <w:t xml:space="preserve"> de abril de 2015 nesta nota da lista de produtos não são aplicáveis. As datas aplicáveis para esses clientes são 1</w:t>
      </w:r>
      <w:r w:rsidRPr="00653421">
        <w:rPr>
          <w:vertAlign w:val="superscript"/>
        </w:rPr>
        <w:t>º</w:t>
      </w:r>
      <w:r w:rsidRPr="00653421">
        <w:t xml:space="preserve"> de julho de 2012 e 1</w:t>
      </w:r>
      <w:r w:rsidRPr="00653421">
        <w:rPr>
          <w:vertAlign w:val="superscript"/>
        </w:rPr>
        <w:t>º</w:t>
      </w:r>
      <w:r w:rsidRPr="00653421">
        <w:t xml:space="preserve"> de julho de 2015, respectivamente.</w:t>
      </w:r>
    </w:p>
    <w:p w:rsidR="00A81E83" w:rsidRPr="00653421" w:rsidRDefault="00A81E83" w:rsidP="008558DC">
      <w:pPr>
        <w:ind w:left="900"/>
      </w:pPr>
    </w:p>
    <w:p w:rsidR="00A81E83" w:rsidRPr="00653421" w:rsidRDefault="00A81E83" w:rsidP="008558DC"/>
    <w:p w:rsidR="00352188" w:rsidRPr="00653421" w:rsidRDefault="00352188" w:rsidP="008558DC"/>
    <w:p w:rsidR="00352188" w:rsidRPr="00653421" w:rsidRDefault="00352188" w:rsidP="008558DC"/>
    <w:p w:rsidR="00A81E83" w:rsidRPr="00653421" w:rsidRDefault="00F66FB0" w:rsidP="00BD4B91">
      <w:pPr>
        <w:pStyle w:val="Heading3"/>
      </w:pPr>
      <w:bookmarkStart w:id="1436" w:name="_85_84_SQL"/>
      <w:bookmarkStart w:id="1437" w:name="_78_76_SQL"/>
      <w:bookmarkStart w:id="1438" w:name="_77_SQL_Server®"/>
      <w:bookmarkStart w:id="1439" w:name="Srv_85SQL2008R2Workgroup5ClientAddon"/>
      <w:bookmarkStart w:id="1440" w:name="_Toc336338343"/>
      <w:bookmarkStart w:id="1441" w:name="_Toc353470983"/>
      <w:bookmarkEnd w:id="1436"/>
      <w:bookmarkEnd w:id="1437"/>
      <w:bookmarkEnd w:id="1438"/>
      <w:r w:rsidRPr="00653421">
        <w:rPr>
          <w:rFonts w:ascii="Tahoma" w:hAnsi="Tahoma"/>
          <w:color w:val="F66400"/>
          <w:sz w:val="22"/>
          <w:vertAlign w:val="superscript"/>
        </w:rPr>
        <w:lastRenderedPageBreak/>
        <w:t>77</w:t>
      </w:r>
      <w:r w:rsidRPr="00653421">
        <w:rPr>
          <w:rFonts w:ascii="Tahoma" w:hAnsi="Tahoma"/>
          <w:color w:val="F66400"/>
          <w:sz w:val="22"/>
        </w:rPr>
        <w:t xml:space="preserve"> SQL Server</w:t>
      </w:r>
      <w:r w:rsidRPr="00653421">
        <w:rPr>
          <w:rFonts w:ascii="Tahoma" w:hAnsi="Tahoma"/>
          <w:color w:val="F66400"/>
          <w:sz w:val="22"/>
          <w:vertAlign w:val="superscript"/>
        </w:rPr>
        <w:t>®</w:t>
      </w:r>
      <w:r w:rsidRPr="00653421">
        <w:rPr>
          <w:rFonts w:ascii="Tahoma" w:hAnsi="Tahoma"/>
          <w:color w:val="F66400"/>
          <w:sz w:val="22"/>
        </w:rPr>
        <w:t xml:space="preserve"> 2008 R2 Workgroup (5 Clientes Complementares)</w:t>
      </w:r>
      <w:bookmarkEnd w:id="1439"/>
      <w:bookmarkEnd w:id="1440"/>
      <w:bookmarkEnd w:id="1441"/>
    </w:p>
    <w:p w:rsidR="00A81E83" w:rsidRPr="00653421" w:rsidRDefault="00A81E83" w:rsidP="00DA46D5">
      <w:pPr>
        <w:pStyle w:val="EndnoteText"/>
        <w:ind w:left="0"/>
      </w:pPr>
    </w:p>
    <w:p w:rsidR="00DA46D5" w:rsidRPr="00653421" w:rsidRDefault="00A81E83" w:rsidP="00DA46D5">
      <w:pPr>
        <w:spacing w:after="60"/>
        <w:ind w:left="720"/>
      </w:pPr>
      <w:r w:rsidRPr="00653421">
        <w:rPr>
          <w:b/>
        </w:rPr>
        <w:t>Outorgas de Licença Associadas ao término da validade da edição do SQL Server Workgroup</w:t>
      </w:r>
    </w:p>
    <w:p w:rsidR="00A81E83" w:rsidRPr="00653421" w:rsidRDefault="00A81E83" w:rsidP="00DA46D5">
      <w:pPr>
        <w:ind w:left="720"/>
      </w:pPr>
      <w:r w:rsidRPr="00653421">
        <w:rPr>
          <w:rFonts w:eastAsia="Calibri" w:cs="Tahoma"/>
          <w:szCs w:val="18"/>
        </w:rPr>
        <w:t>O SQL Server 2008 R2 Workgroup será a última versão da edição do SQL Server Workgroup.</w:t>
      </w:r>
      <w:r w:rsidR="005A52A2" w:rsidRPr="00653421">
        <w:rPr>
          <w:rFonts w:eastAsia="Calibri" w:cs="Tahoma"/>
          <w:szCs w:val="18"/>
        </w:rPr>
        <w:t xml:space="preserve"> </w:t>
      </w:r>
      <w:r w:rsidRPr="00653421">
        <w:rPr>
          <w:rFonts w:eastAsia="Calibri" w:cs="Tahoma"/>
          <w:szCs w:val="18"/>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5A52A2" w:rsidRPr="00653421">
        <w:rPr>
          <w:rFonts w:eastAsia="Calibri" w:cs="Tahoma"/>
          <w:szCs w:val="18"/>
        </w:rPr>
        <w:t xml:space="preserve"> </w:t>
      </w:r>
      <w:r w:rsidRPr="00653421">
        <w:rPr>
          <w:rFonts w:eastAsia="Calibri" w:cs="Tahoma"/>
          <w:szCs w:val="18"/>
        </w:rPr>
        <w:t>As licenças do SQL Server Workgroup dos clientes não são mais válidas quando eles adquirem o Software Assurance do SQL Server Standard sob esta oferta.</w:t>
      </w:r>
    </w:p>
    <w:p w:rsidR="000D5F24" w:rsidRPr="00653421" w:rsidRDefault="000D5F24"/>
    <w:p w:rsidR="00DA46D5" w:rsidRPr="00653421" w:rsidRDefault="00A81E83" w:rsidP="00DA46D5">
      <w:pPr>
        <w:spacing w:after="60"/>
        <w:ind w:left="720"/>
      </w:pPr>
      <w:r w:rsidRPr="00653421">
        <w:rPr>
          <w:b/>
        </w:rPr>
        <w:t>Para os clientes localizados na República Popular da</w:t>
      </w:r>
      <w:r w:rsidRPr="00653421">
        <w:t xml:space="preserve"> </w:t>
      </w:r>
      <w:r w:rsidRPr="00653421">
        <w:rPr>
          <w:b/>
        </w:rPr>
        <w:t>China e para os que estão adquirindo licenças e Software Assurance para SQL Server 2008 R2</w:t>
      </w:r>
    </w:p>
    <w:p w:rsidR="00A81E83" w:rsidRPr="00653421" w:rsidRDefault="00A81E83" w:rsidP="00DA46D5">
      <w:pPr>
        <w:ind w:left="720"/>
      </w:pPr>
      <w:r w:rsidRPr="00653421">
        <w:t>As referências a 1</w:t>
      </w:r>
      <w:r w:rsidRPr="00653421">
        <w:rPr>
          <w:vertAlign w:val="superscript"/>
        </w:rPr>
        <w:t>º</w:t>
      </w:r>
      <w:r w:rsidRPr="00653421">
        <w:t xml:space="preserve"> de abril de 2012 nesta nota da lista de produtos não são aplicáveis. A data aplicável para esses clientes é 1</w:t>
      </w:r>
      <w:r w:rsidRPr="00653421">
        <w:rPr>
          <w:vertAlign w:val="superscript"/>
        </w:rPr>
        <w:t>º</w:t>
      </w:r>
      <w:r w:rsidRPr="00653421">
        <w:t xml:space="preserve"> de julho de 2012.</w:t>
      </w:r>
    </w:p>
    <w:p w:rsidR="00DA46D5" w:rsidRPr="00653421" w:rsidRDefault="00DA46D5" w:rsidP="00DA46D5">
      <w:pPr>
        <w:ind w:left="720"/>
      </w:pPr>
    </w:p>
    <w:p w:rsidR="00586FCE" w:rsidRPr="00653421" w:rsidRDefault="00586FCE" w:rsidP="00DA46D5">
      <w:pPr>
        <w:ind w:left="720"/>
      </w:pPr>
    </w:p>
    <w:p w:rsidR="00A81E83" w:rsidRPr="00653421" w:rsidRDefault="00F66FB0" w:rsidP="00A81E83">
      <w:pPr>
        <w:pStyle w:val="Heading3"/>
        <w:ind w:left="720" w:hanging="720"/>
      </w:pPr>
      <w:bookmarkStart w:id="1442" w:name="_79_77_SQL"/>
      <w:bookmarkStart w:id="1443" w:name="_78_SQL_Server®"/>
      <w:bookmarkStart w:id="1444" w:name="_Toc336338344"/>
      <w:bookmarkStart w:id="1445" w:name="_Toc353470984"/>
      <w:bookmarkStart w:id="1446" w:name="Srv_72SQLSvr08R2WorkgroupProc"/>
      <w:bookmarkEnd w:id="1442"/>
      <w:bookmarkEnd w:id="1443"/>
      <w:r w:rsidRPr="00653421">
        <w:rPr>
          <w:rFonts w:ascii="Tahoma" w:hAnsi="Tahoma" w:cs="Tahoma"/>
          <w:color w:val="F66400"/>
          <w:sz w:val="22"/>
          <w:vertAlign w:val="superscript"/>
        </w:rPr>
        <w:t>78</w:t>
      </w:r>
      <w:r w:rsidRPr="00653421">
        <w:rPr>
          <w:rFonts w:ascii="Tahoma" w:hAnsi="Tahoma" w:cs="Tahoma"/>
          <w:color w:val="F66400"/>
          <w:sz w:val="22"/>
        </w:rPr>
        <w:t xml:space="preserve"> SQL Server</w:t>
      </w:r>
      <w:r w:rsidRPr="00653421">
        <w:rPr>
          <w:rFonts w:ascii="Tahoma" w:hAnsi="Tahoma" w:cs="Tahoma"/>
          <w:color w:val="F66400"/>
          <w:sz w:val="22"/>
          <w:vertAlign w:val="superscript"/>
        </w:rPr>
        <w:t>®</w:t>
      </w:r>
      <w:r w:rsidRPr="00653421">
        <w:rPr>
          <w:rFonts w:ascii="Tahoma" w:hAnsi="Tahoma" w:cs="Tahoma"/>
          <w:color w:val="F66400"/>
          <w:sz w:val="22"/>
        </w:rPr>
        <w:t xml:space="preserve"> 2008 R2 Workgroup Processor</w:t>
      </w:r>
      <w:bookmarkEnd w:id="1444"/>
      <w:bookmarkEnd w:id="1445"/>
    </w:p>
    <w:bookmarkEnd w:id="1446"/>
    <w:p w:rsidR="00A81E83" w:rsidRPr="00653421" w:rsidRDefault="00A81E83" w:rsidP="000C03F3">
      <w:pPr>
        <w:ind w:left="720"/>
      </w:pPr>
    </w:p>
    <w:p w:rsidR="000C03F3" w:rsidRPr="00653421" w:rsidRDefault="00A81E83" w:rsidP="000C03F3">
      <w:pPr>
        <w:spacing w:after="60"/>
        <w:ind w:left="720"/>
      </w:pPr>
      <w:r w:rsidRPr="00653421">
        <w:rPr>
          <w:rFonts w:eastAsia="Calibri" w:cs="Tahoma"/>
          <w:b/>
          <w:color w:val="000000"/>
          <w:szCs w:val="18"/>
        </w:rPr>
        <w:t>Outorgas de Licença Associadas à Alteração no Modelo de Licenciamento</w:t>
      </w:r>
    </w:p>
    <w:p w:rsidR="00A81E83" w:rsidRPr="00653421" w:rsidRDefault="00A81E83" w:rsidP="000C03F3">
      <w:pPr>
        <w:ind w:left="720"/>
      </w:pPr>
      <w:r w:rsidRPr="00653421">
        <w:rPr>
          <w:rFonts w:eastAsia="Calibri" w:cs="Tahoma"/>
          <w:color w:val="000000"/>
          <w:szCs w:val="18"/>
        </w:rPr>
        <w:t>O SQL Server 2008 R2 será a última versão do SQL Server licenciada sob o modelo de licenciamento por processador e a última versão da edição do SQL Server Workgroup.</w:t>
      </w:r>
      <w:r w:rsidR="005A52A2" w:rsidRPr="00653421">
        <w:rPr>
          <w:rFonts w:eastAsia="Calibri" w:cs="Tahoma"/>
          <w:color w:val="000000"/>
          <w:szCs w:val="18"/>
        </w:rPr>
        <w:t xml:space="preserve"> </w:t>
      </w:r>
      <w:r w:rsidRPr="00653421">
        <w:rPr>
          <w:rFonts w:eastAsia="Calibri" w:cs="Tahoma"/>
          <w:color w:val="000000"/>
          <w:szCs w:val="18"/>
        </w:rPr>
        <w:t xml:space="preserve">Como uma exceção, aos clientes de licenciamento por volume com Software Assurance ativo para licenças do processador do SQL Server 2008 R2 Workgroup em 1º de abril de 2012 (“licenças qualificadas”) são concedidas as seguintes opções. As licenças do processador do SQL Server 2008 R2 Workgroup </w:t>
      </w:r>
      <w:r w:rsidRPr="00653421">
        <w:rPr>
          <w:rFonts w:cs="Tahoma"/>
          <w:bCs/>
          <w:color w:val="000000"/>
          <w:szCs w:val="18"/>
        </w:rPr>
        <w:t>adquiridas posteriormente no mesmo prazo de</w:t>
      </w:r>
      <w:r w:rsidR="00352188" w:rsidRPr="00653421">
        <w:rPr>
          <w:rFonts w:cs="Tahoma"/>
          <w:bCs/>
          <w:color w:val="000000"/>
          <w:szCs w:val="18"/>
        </w:rPr>
        <w:t> </w:t>
      </w:r>
      <w:r w:rsidRPr="00653421">
        <w:rPr>
          <w:rFonts w:cs="Tahoma"/>
          <w:bCs/>
          <w:color w:val="000000"/>
          <w:szCs w:val="18"/>
        </w:rPr>
        <w:t>registro, mas antes de 1º de abril de 2015 como parte de um processo de adequação (“true-up”) programado do cliente Enterprise, Enterprise Subscription, Open Value Subscription ou EES também são “licenças qualificadas” para fins dessas opções.</w:t>
      </w:r>
      <w:r w:rsidR="005A52A2" w:rsidRPr="00653421">
        <w:rPr>
          <w:rFonts w:cs="Tahoma"/>
          <w:bCs/>
          <w:color w:val="000000"/>
          <w:szCs w:val="18"/>
        </w:rPr>
        <w:t xml:space="preserve"> </w:t>
      </w:r>
      <w:r w:rsidRPr="00653421">
        <w:rPr>
          <w:rFonts w:cs="Tahoma"/>
          <w:bCs/>
          <w:color w:val="000000"/>
          <w:szCs w:val="18"/>
        </w:rPr>
        <w:t>As licenças adquiridas depois de 1º de abril de 2015 ou sob um prazo de registro subsequente, um contrato separado ou qualquer registro com uma data de início de vigência após 1º de abril de 2012 não são licenças qualificadas.</w:t>
      </w:r>
    </w:p>
    <w:p w:rsidR="000C03F3" w:rsidRPr="00653421" w:rsidRDefault="000C03F3" w:rsidP="000C03F3">
      <w:pPr>
        <w:ind w:left="720"/>
      </w:pPr>
    </w:p>
    <w:p w:rsidR="000C03F3" w:rsidRPr="00653421" w:rsidRDefault="000C03F3" w:rsidP="000C03F3">
      <w:pPr>
        <w:spacing w:after="60"/>
        <w:ind w:left="720"/>
      </w:pPr>
      <w:r w:rsidRPr="00653421">
        <w:rPr>
          <w:rFonts w:eastAsia="Calibri" w:cs="Tahoma"/>
          <w:b/>
          <w:color w:val="000000"/>
          <w:szCs w:val="18"/>
        </w:rPr>
        <w:t>Prazo Atual</w:t>
      </w:r>
    </w:p>
    <w:p w:rsidR="00A81E83" w:rsidRPr="00653421" w:rsidRDefault="00A81E83" w:rsidP="000C03F3">
      <w:pPr>
        <w:tabs>
          <w:tab w:val="left" w:pos="720"/>
        </w:tabs>
        <w:ind w:left="720"/>
      </w:pPr>
      <w:r w:rsidRPr="00653421">
        <w:rPr>
          <w:rFonts w:eastAsia="Calibri" w:cs="Tahoma"/>
          <w:szCs w:val="18"/>
        </w:rPr>
        <w:t>Durante o prazo atual da sua cobertura de Software Assurance a partir de 1º de abril de 2012, os clientes (incluindo aqueles sob contratos de assinatura) podem, sob qualquer licença qualificada, atualizar e usar o SQL Server 2012 Standard Core em vez do SQL Server 2008 R2 Workgroup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 Produto para SQL Server 2012 Standard Core quanto aos termos de licença para Mobilidade de Licença.</w:t>
      </w:r>
    </w:p>
    <w:p w:rsidR="000C03F3" w:rsidRDefault="000C03F3"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Default="00E53811" w:rsidP="000C03F3">
      <w:pPr>
        <w:tabs>
          <w:tab w:val="left" w:pos="720"/>
        </w:tabs>
        <w:ind w:left="720"/>
      </w:pPr>
    </w:p>
    <w:p w:rsidR="00E53811" w:rsidRPr="00653421" w:rsidRDefault="00E53811" w:rsidP="000C03F3">
      <w:pPr>
        <w:tabs>
          <w:tab w:val="left" w:pos="720"/>
        </w:tabs>
        <w:ind w:left="720"/>
      </w:pPr>
    </w:p>
    <w:p w:rsidR="000C03F3" w:rsidRPr="00653421" w:rsidRDefault="00A81E83" w:rsidP="000C03F3">
      <w:pPr>
        <w:spacing w:after="60"/>
        <w:ind w:left="720"/>
      </w:pPr>
      <w:r w:rsidRPr="00653421">
        <w:rPr>
          <w:rFonts w:eastAsia="Calibri" w:cs="Tahoma"/>
          <w:b/>
          <w:color w:val="000000"/>
          <w:szCs w:val="18"/>
        </w:rPr>
        <w:lastRenderedPageBreak/>
        <w:t>Primeiro Prazo de Renovação (antes de 1º de abril de 2015)</w:t>
      </w:r>
    </w:p>
    <w:p w:rsidR="00A81E83" w:rsidRPr="00653421" w:rsidRDefault="00A81E83" w:rsidP="000C03F3">
      <w:pPr>
        <w:tabs>
          <w:tab w:val="left" w:pos="720"/>
        </w:tabs>
        <w:ind w:left="720"/>
      </w:pPr>
      <w:r w:rsidRPr="00653421">
        <w:rPr>
          <w:rFonts w:eastAsia="Calibri" w:cs="Tahoma"/>
          <w:szCs w:val="18"/>
        </w:rPr>
        <w:t>Na sua primeira renovação de Software Assurance em ou depois de 1º de abril de 2012 (mas antes de 1º</w:t>
      </w:r>
      <w:r w:rsidR="00352188" w:rsidRPr="00653421">
        <w:rPr>
          <w:rFonts w:eastAsia="Calibri" w:cs="Tahoma"/>
          <w:szCs w:val="18"/>
        </w:rPr>
        <w:t> </w:t>
      </w:r>
      <w:r w:rsidRPr="00653421">
        <w:rPr>
          <w:rFonts w:eastAsia="Calibri" w:cs="Tahoma"/>
          <w:szCs w:val="18"/>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653421" w:rsidRDefault="00A81E83" w:rsidP="000C03F3">
      <w:pPr>
        <w:numPr>
          <w:ilvl w:val="0"/>
          <w:numId w:val="143"/>
        </w:numPr>
        <w:tabs>
          <w:tab w:val="left" w:pos="1440"/>
        </w:tabs>
        <w:ind w:left="1440"/>
      </w:pPr>
      <w:r w:rsidRPr="00653421">
        <w:rPr>
          <w:rFonts w:eastAsia="Calibri" w:cs="Tahoma"/>
          <w:szCs w:val="18"/>
        </w:rPr>
        <w:t xml:space="preserve">um número igual ao menor número de licenças qualificadas atribuído ao servidor ou o número total de processadores físicos no servidor multiplicado pelo maior de: </w:t>
      </w:r>
    </w:p>
    <w:p w:rsidR="00A81E83" w:rsidRPr="00653421" w:rsidRDefault="00A81E83" w:rsidP="000C03F3">
      <w:pPr>
        <w:numPr>
          <w:ilvl w:val="0"/>
          <w:numId w:val="110"/>
        </w:numPr>
        <w:tabs>
          <w:tab w:val="left" w:pos="1800"/>
        </w:tabs>
        <w:ind w:left="1800"/>
      </w:pPr>
      <w:r w:rsidRPr="00653421">
        <w:rPr>
          <w:rFonts w:eastAsia="Calibri" w:cs="Tahoma"/>
          <w:szCs w:val="18"/>
        </w:rPr>
        <w:t>Quatro OU</w:t>
      </w:r>
    </w:p>
    <w:p w:rsidR="00A81E83" w:rsidRPr="008415D8" w:rsidRDefault="00A81E83" w:rsidP="000C03F3">
      <w:pPr>
        <w:numPr>
          <w:ilvl w:val="0"/>
          <w:numId w:val="110"/>
        </w:numPr>
        <w:tabs>
          <w:tab w:val="left" w:pos="1800"/>
        </w:tabs>
        <w:ind w:left="1800"/>
        <w:rPr>
          <w:spacing w:val="-2"/>
        </w:rPr>
      </w:pPr>
      <w:r w:rsidRPr="008415D8">
        <w:rPr>
          <w:rFonts w:eastAsia="Calibri" w:cs="Tahoma"/>
          <w:spacing w:val="-2"/>
          <w:szCs w:val="18"/>
        </w:rPr>
        <w:t>o número real de núcleos por processador físico multiplicado pelo fator do núcleo apropriado.</w:t>
      </w:r>
      <w:r w:rsidR="005A52A2" w:rsidRPr="008415D8">
        <w:rPr>
          <w:rFonts w:eastAsia="Calibri" w:cs="Tahoma"/>
          <w:spacing w:val="-2"/>
          <w:szCs w:val="18"/>
        </w:rPr>
        <w:t xml:space="preserve"> </w:t>
      </w:r>
      <w:r w:rsidRPr="008415D8">
        <w:rPr>
          <w:rFonts w:eastAsia="Calibri" w:cs="Tahoma"/>
          <w:spacing w:val="-2"/>
          <w:szCs w:val="18"/>
        </w:rPr>
        <w:t>(Nos casos em que o número real de núcleos por processador físico excede quatro, os clientes devem manter um registro da configuração do software SQ</w:t>
      </w:r>
      <w:r w:rsidR="00392523" w:rsidRPr="008415D8">
        <w:rPr>
          <w:rFonts w:eastAsia="Calibri" w:cs="Tahoma"/>
          <w:spacing w:val="-2"/>
          <w:szCs w:val="18"/>
        </w:rPr>
        <w:t>L Server executando no servidor</w:t>
      </w:r>
      <w:r w:rsidRPr="008415D8">
        <w:rPr>
          <w:rFonts w:eastAsia="Calibri" w:cs="Tahoma"/>
          <w:spacing w:val="-2"/>
          <w:szCs w:val="18"/>
        </w:rPr>
        <w:t xml:space="preserve"> </w:t>
      </w:r>
      <w:r w:rsidR="00392523" w:rsidRPr="008415D8">
        <w:rPr>
          <w:rFonts w:eastAsia="Calibri" w:cs="Tahoma"/>
          <w:spacing w:val="-2"/>
          <w:szCs w:val="18"/>
        </w:rPr>
        <w:t>(</w:t>
      </w:r>
      <w:r w:rsidRPr="008415D8">
        <w:rPr>
          <w:rFonts w:eastAsia="Calibri" w:cs="Tahoma"/>
          <w:spacing w:val="-2"/>
          <w:szCs w:val="18"/>
        </w:rPr>
        <w:t>instâncias licenciadas executando em ambientes do sistema operacional no servidor licenciado) e o hardware físico oferecendo suporte ao software que está antecedendo a</w:t>
      </w:r>
      <w:r w:rsidR="00392523" w:rsidRPr="008415D8">
        <w:rPr>
          <w:rFonts w:eastAsia="Calibri" w:cs="Tahoma"/>
          <w:spacing w:val="-2"/>
          <w:szCs w:val="18"/>
        </w:rPr>
        <w:t> </w:t>
      </w:r>
      <w:r w:rsidRPr="008415D8">
        <w:rPr>
          <w:rFonts w:eastAsia="Calibri" w:cs="Tahoma"/>
          <w:spacing w:val="-2"/>
          <w:szCs w:val="18"/>
        </w:rPr>
        <w:t>renovação do Software Assurance usando a ferramenta Microsoft MAP ou qualquer software</w:t>
      </w:r>
      <w:r w:rsidR="00392523" w:rsidRPr="008415D8">
        <w:rPr>
          <w:rFonts w:eastAsia="Calibri" w:cs="Tahoma"/>
          <w:spacing w:val="-2"/>
          <w:szCs w:val="18"/>
        </w:rPr>
        <w:t> </w:t>
      </w:r>
      <w:r w:rsidRPr="008415D8">
        <w:rPr>
          <w:rFonts w:eastAsia="Calibri" w:cs="Tahoma"/>
          <w:spacing w:val="-2"/>
          <w:szCs w:val="18"/>
        </w:rPr>
        <w:t xml:space="preserve">equivalente.) </w:t>
      </w:r>
    </w:p>
    <w:p w:rsidR="00A81E83" w:rsidRPr="00653421" w:rsidRDefault="00A81E83" w:rsidP="000C03F3">
      <w:pPr>
        <w:numPr>
          <w:ilvl w:val="0"/>
          <w:numId w:val="143"/>
        </w:numPr>
        <w:tabs>
          <w:tab w:val="left" w:pos="1440"/>
        </w:tabs>
        <w:ind w:left="1440"/>
      </w:pPr>
      <w:r w:rsidRPr="00653421">
        <w:rPr>
          <w:rFonts w:eastAsia="Calibri" w:cs="Tahoma"/>
          <w:szCs w:val="18"/>
        </w:rPr>
        <w:t>um número igual ao número das licenças qualificadas atribuído ao servidor em excesso do número real de processadores físicos no servidor multiplicado por quatro.</w:t>
      </w:r>
    </w:p>
    <w:p w:rsidR="000C03F3" w:rsidRPr="00653421" w:rsidRDefault="000C03F3" w:rsidP="00CF471C">
      <w:pPr>
        <w:tabs>
          <w:tab w:val="left" w:pos="1440"/>
        </w:tabs>
      </w:pPr>
    </w:p>
    <w:p w:rsidR="000C03F3" w:rsidRPr="00653421" w:rsidRDefault="00A81E83" w:rsidP="000C03F3">
      <w:pPr>
        <w:spacing w:after="60"/>
        <w:ind w:left="720"/>
      </w:pPr>
      <w:r w:rsidRPr="00653421">
        <w:rPr>
          <w:rFonts w:eastAsia="Calibri" w:cs="Tahoma"/>
          <w:b/>
          <w:szCs w:val="18"/>
        </w:rPr>
        <w:t>Primeiro Prazo de Renovação (em ou após 1º de abril de 2015)</w:t>
      </w:r>
    </w:p>
    <w:p w:rsidR="00A81E83" w:rsidRPr="00653421" w:rsidRDefault="00A81E83" w:rsidP="000C03F3">
      <w:pPr>
        <w:ind w:left="720"/>
      </w:pPr>
      <w:r w:rsidRPr="00653421">
        <w:rPr>
          <w:rFonts w:eastAsia="Calibri" w:cs="Tahoma"/>
          <w:color w:val="000000"/>
          <w:szCs w:val="18"/>
        </w:rPr>
        <w:t>Os clientes que renovaram primeiro a cobertura em ou depois de 1</w:t>
      </w:r>
      <w:r w:rsidRPr="00653421">
        <w:rPr>
          <w:rFonts w:eastAsia="Calibri" w:cs="Tahoma"/>
          <w:color w:val="000000"/>
          <w:szCs w:val="18"/>
          <w:vertAlign w:val="superscript"/>
        </w:rPr>
        <w:t>o</w:t>
      </w:r>
      <w:r w:rsidRPr="00653421">
        <w:rPr>
          <w:rFonts w:eastAsia="Calibri" w:cs="Tahoma"/>
          <w:color w:val="000000"/>
          <w:szCs w:val="18"/>
        </w:rPr>
        <w:t xml:space="preserve"> de abril de 2015</w:t>
      </w:r>
      <w:r w:rsidRPr="00653421">
        <w:rPr>
          <w:rFonts w:eastAsia="Calibri" w:cs="Tahoma"/>
          <w:szCs w:val="18"/>
        </w:rPr>
        <w:t xml:space="preserve"> poderão, para qualquer servidor no qual eles estejam devidamente licenciados sob os direitos de uso do produto da licença</w:t>
      </w:r>
      <w:r w:rsidR="00352188" w:rsidRPr="00653421">
        <w:rPr>
          <w:rFonts w:eastAsia="Calibri" w:cs="Tahoma"/>
          <w:szCs w:val="18"/>
        </w:rPr>
        <w:t> </w:t>
      </w:r>
      <w:r w:rsidRPr="00653421">
        <w:rPr>
          <w:rFonts w:eastAsia="Calibri" w:cs="Tahoma"/>
          <w:szCs w:val="18"/>
        </w:rPr>
        <w:t>do processador SQK Server 2008 R2, adquirir o Software Assurance, como pode ser visto a seguir:</w:t>
      </w:r>
    </w:p>
    <w:p w:rsidR="000C03F3" w:rsidRPr="00653421" w:rsidRDefault="000C03F3" w:rsidP="00352188">
      <w:pPr>
        <w:spacing w:line="160" w:lineRule="exact"/>
      </w:pPr>
    </w:p>
    <w:p w:rsidR="00A81E83" w:rsidRPr="00653421" w:rsidRDefault="00A81E83" w:rsidP="000C03F3">
      <w:pPr>
        <w:numPr>
          <w:ilvl w:val="3"/>
          <w:numId w:val="111"/>
        </w:numPr>
        <w:tabs>
          <w:tab w:val="left" w:pos="1170"/>
        </w:tabs>
        <w:spacing w:after="60"/>
        <w:ind w:left="1440" w:hanging="360"/>
      </w:pPr>
      <w:r w:rsidRPr="00653421">
        <w:rPr>
          <w:rFonts w:eastAsia="Calibri" w:cs="Tahoma"/>
          <w:szCs w:val="18"/>
        </w:rPr>
        <w:t>Conforme fornecido no primeiro parágrafo desta nota do produto, as licenças adquiridas antes de 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renovar o SA de acordo com os</w:t>
      </w:r>
      <w:r w:rsidR="00352188" w:rsidRPr="00653421">
        <w:rPr>
          <w:rFonts w:eastAsia="Calibri" w:cs="Tahoma"/>
          <w:szCs w:val="18"/>
        </w:rPr>
        <w:t> </w:t>
      </w:r>
      <w:r w:rsidRPr="00653421">
        <w:rPr>
          <w:rFonts w:eastAsia="Calibri" w:cs="Tahoma"/>
          <w:szCs w:val="18"/>
        </w:rPr>
        <w:t>termos na seção “Primeiro Prazo de Renovação (Antes de 1</w:t>
      </w:r>
      <w:r w:rsidRPr="00653421">
        <w:rPr>
          <w:rFonts w:eastAsia="Calibri" w:cs="Tahoma"/>
          <w:szCs w:val="18"/>
          <w:vertAlign w:val="superscript"/>
        </w:rPr>
        <w:t>º</w:t>
      </w:r>
      <w:r w:rsidRPr="00653421">
        <w:rPr>
          <w:rFonts w:eastAsia="Calibri" w:cs="Tahoma"/>
          <w:szCs w:val="18"/>
        </w:rPr>
        <w:t xml:space="preserve"> de abril de 2015)</w:t>
      </w:r>
      <w:r w:rsidR="00C133AB" w:rsidRPr="00653421">
        <w:rPr>
          <w:rFonts w:eastAsia="Calibri" w:cs="Tahoma"/>
          <w:szCs w:val="18"/>
        </w:rPr>
        <w:t>”</w:t>
      </w:r>
      <w:r w:rsidRPr="00653421">
        <w:rPr>
          <w:rFonts w:eastAsia="Calibri" w:cs="Tahoma"/>
          <w:szCs w:val="18"/>
        </w:rPr>
        <w:t xml:space="preserve"> acima e</w:t>
      </w:r>
    </w:p>
    <w:p w:rsidR="00A81E83" w:rsidRPr="00653421" w:rsidRDefault="00A81E83" w:rsidP="000C03F3">
      <w:pPr>
        <w:numPr>
          <w:ilvl w:val="3"/>
          <w:numId w:val="111"/>
        </w:numPr>
        <w:tabs>
          <w:tab w:val="left" w:pos="1170"/>
        </w:tabs>
        <w:spacing w:after="60"/>
        <w:ind w:left="1440" w:hanging="360"/>
      </w:pPr>
      <w:r w:rsidRPr="00653421">
        <w:rPr>
          <w:rFonts w:eastAsia="Calibri" w:cs="Tahoma"/>
          <w:szCs w:val="18"/>
        </w:rPr>
        <w:t>Para as licenças adquiridas depois de 1</w:t>
      </w:r>
      <w:r w:rsidRPr="00653421">
        <w:rPr>
          <w:rFonts w:eastAsia="Calibri" w:cs="Tahoma"/>
          <w:szCs w:val="18"/>
          <w:vertAlign w:val="superscript"/>
        </w:rPr>
        <w:t>º</w:t>
      </w:r>
      <w:r w:rsidRPr="00653421">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w:t>
      </w:r>
      <w:r w:rsidR="00352188" w:rsidRPr="00653421">
        <w:rPr>
          <w:rFonts w:eastAsia="Calibri" w:cs="Tahoma"/>
          <w:szCs w:val="18"/>
        </w:rPr>
        <w:t> </w:t>
      </w:r>
      <w:r w:rsidRPr="00653421">
        <w:rPr>
          <w:rFonts w:eastAsia="Calibri" w:cs="Tahoma"/>
          <w:szCs w:val="18"/>
        </w:rPr>
        <w:t>cliente tem que adquirir licenças principais adicionais.</w:t>
      </w:r>
    </w:p>
    <w:p w:rsidR="00A81E83" w:rsidRPr="00653421" w:rsidRDefault="00A81E83" w:rsidP="000C03F3">
      <w:pPr>
        <w:numPr>
          <w:ilvl w:val="0"/>
          <w:numId w:val="64"/>
        </w:numPr>
        <w:tabs>
          <w:tab w:val="left" w:pos="720"/>
          <w:tab w:val="left" w:pos="1170"/>
        </w:tabs>
        <w:spacing w:after="60"/>
        <w:ind w:left="1440"/>
      </w:pPr>
      <w:r w:rsidRPr="00653421">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5A52A2" w:rsidRPr="00653421">
        <w:rPr>
          <w:rFonts w:eastAsia="Calibri" w:cs="Tahoma"/>
          <w:szCs w:val="18"/>
        </w:rPr>
        <w:t xml:space="preserve"> </w:t>
      </w:r>
    </w:p>
    <w:p w:rsidR="000C03F3" w:rsidRPr="00653421" w:rsidRDefault="000C03F3" w:rsidP="00352188">
      <w:pPr>
        <w:tabs>
          <w:tab w:val="left" w:pos="720"/>
        </w:tabs>
        <w:spacing w:line="160" w:lineRule="exact"/>
      </w:pPr>
    </w:p>
    <w:p w:rsidR="000C03F3" w:rsidRPr="00653421" w:rsidRDefault="00A81E83" w:rsidP="000C03F3">
      <w:pPr>
        <w:tabs>
          <w:tab w:val="left" w:pos="720"/>
          <w:tab w:val="left" w:pos="1800"/>
        </w:tabs>
        <w:spacing w:after="60"/>
        <w:ind w:left="720"/>
      </w:pPr>
      <w:r w:rsidRPr="00653421">
        <w:rPr>
          <w:rFonts w:eastAsia="Calibri" w:cs="Tahoma"/>
          <w:b/>
          <w:szCs w:val="18"/>
        </w:rPr>
        <w:t>Para os clientes com cobertura de Software Assurance que expiram antes de 1º</w:t>
      </w:r>
      <w:r w:rsidR="00C9587D" w:rsidRPr="00653421">
        <w:rPr>
          <w:rFonts w:eastAsia="Calibri" w:cs="Tahoma"/>
          <w:b/>
          <w:szCs w:val="18"/>
        </w:rPr>
        <w:t> </w:t>
      </w:r>
      <w:r w:rsidRPr="00653421">
        <w:rPr>
          <w:rFonts w:eastAsia="Calibri" w:cs="Tahoma"/>
          <w:b/>
          <w:szCs w:val="18"/>
        </w:rPr>
        <w:t>de</w:t>
      </w:r>
      <w:r w:rsidR="00C9587D" w:rsidRPr="00653421">
        <w:rPr>
          <w:rFonts w:eastAsia="Calibri" w:cs="Tahoma"/>
          <w:b/>
          <w:szCs w:val="18"/>
        </w:rPr>
        <w:t> </w:t>
      </w:r>
      <w:r w:rsidRPr="00653421">
        <w:rPr>
          <w:rFonts w:eastAsia="Calibri" w:cs="Tahoma"/>
          <w:b/>
          <w:szCs w:val="18"/>
        </w:rPr>
        <w:t>abril</w:t>
      </w:r>
      <w:r w:rsidR="00C9587D" w:rsidRPr="00653421">
        <w:rPr>
          <w:rFonts w:eastAsia="Calibri" w:cs="Tahoma"/>
          <w:b/>
          <w:szCs w:val="18"/>
        </w:rPr>
        <w:t> </w:t>
      </w:r>
      <w:r w:rsidRPr="00653421">
        <w:rPr>
          <w:rFonts w:eastAsia="Calibri" w:cs="Tahoma"/>
          <w:b/>
          <w:szCs w:val="18"/>
        </w:rPr>
        <w:t>de</w:t>
      </w:r>
      <w:r w:rsidR="00C9587D" w:rsidRPr="00653421">
        <w:rPr>
          <w:rFonts w:eastAsia="Calibri" w:cs="Tahoma"/>
          <w:b/>
          <w:szCs w:val="18"/>
        </w:rPr>
        <w:t> </w:t>
      </w:r>
      <w:r w:rsidRPr="00653421">
        <w:rPr>
          <w:rFonts w:eastAsia="Calibri" w:cs="Tahoma"/>
          <w:b/>
          <w:szCs w:val="18"/>
        </w:rPr>
        <w:t>2015 que optaram pela não renovação</w:t>
      </w:r>
    </w:p>
    <w:p w:rsidR="00A81E83" w:rsidRPr="00653421" w:rsidRDefault="00A81E83" w:rsidP="000C03F3">
      <w:pPr>
        <w:tabs>
          <w:tab w:val="left" w:pos="720"/>
          <w:tab w:val="left" w:pos="1800"/>
        </w:tabs>
        <w:ind w:left="720"/>
      </w:pPr>
      <w:r w:rsidRPr="00653421">
        <w:rPr>
          <w:rFonts w:eastAsia="Calibri" w:cs="Tahoma"/>
          <w:szCs w:val="18"/>
        </w:rPr>
        <w:t xml:space="preserve">Os clientes do Enterprise Subscription </w:t>
      </w:r>
      <w:r w:rsidRPr="00653421">
        <w:rPr>
          <w:rFonts w:cs="Tahoma"/>
          <w:bCs/>
          <w:color w:val="000000"/>
          <w:szCs w:val="18"/>
        </w:rPr>
        <w:t xml:space="preserve">e Open Value Subscription </w:t>
      </w:r>
      <w:r w:rsidRPr="00653421">
        <w:rPr>
          <w:rFonts w:eastAsia="Calibri" w:cs="Tahoma"/>
          <w:szCs w:val="18"/>
        </w:rPr>
        <w:t>com cobertura expirando antes de 1º</w:t>
      </w:r>
      <w:r w:rsidR="00352188" w:rsidRPr="00653421">
        <w:rPr>
          <w:rFonts w:eastAsia="Calibri" w:cs="Tahoma"/>
          <w:szCs w:val="18"/>
        </w:rPr>
        <w:t> </w:t>
      </w:r>
      <w:r w:rsidRPr="00653421">
        <w:rPr>
          <w:rFonts w:eastAsia="Calibri" w:cs="Tahoma"/>
          <w:szCs w:val="18"/>
        </w:rPr>
        <w:t>de</w:t>
      </w:r>
      <w:r w:rsidR="00352188" w:rsidRPr="00653421">
        <w:rPr>
          <w:rFonts w:eastAsia="Calibri" w:cs="Tahoma"/>
          <w:szCs w:val="18"/>
        </w:rPr>
        <w:t> </w:t>
      </w:r>
      <w:r w:rsidRPr="00653421">
        <w:rPr>
          <w:rFonts w:eastAsia="Calibri" w:cs="Tahoma"/>
          <w:szCs w:val="18"/>
        </w:rPr>
        <w:t>abril de 2015 que optarem por comprar licenças de processador e quaisquer outros clientes que adquirirem licenças perpétuas sob este contrato e optarem por não renovar o Software Assurance poderão</w:t>
      </w:r>
      <w:r w:rsidR="00352188" w:rsidRPr="00653421">
        <w:rPr>
          <w:rFonts w:eastAsia="Calibri" w:cs="Tahoma"/>
          <w:szCs w:val="18"/>
        </w:rPr>
        <w:t> </w:t>
      </w:r>
      <w:r w:rsidRPr="00653421">
        <w:rPr>
          <w:rFonts w:eastAsia="Calibri" w:cs="Tahoma"/>
          <w:szCs w:val="18"/>
        </w:rPr>
        <w:t>executar o SQL Server 2008 R2 ou SQL Server 2012 sob essas licenças da seguinte forma:</w:t>
      </w:r>
    </w:p>
    <w:p w:rsidR="000C03F3" w:rsidRPr="00653421" w:rsidRDefault="000C03F3" w:rsidP="00352188">
      <w:pPr>
        <w:tabs>
          <w:tab w:val="left" w:pos="720"/>
          <w:tab w:val="left" w:pos="1800"/>
        </w:tabs>
        <w:spacing w:line="160" w:lineRule="exact"/>
      </w:pPr>
    </w:p>
    <w:p w:rsidR="00A81E83" w:rsidRPr="00653421" w:rsidRDefault="00A81E83" w:rsidP="000C03F3">
      <w:pPr>
        <w:numPr>
          <w:ilvl w:val="0"/>
          <w:numId w:val="73"/>
        </w:numPr>
        <w:tabs>
          <w:tab w:val="left" w:pos="1440"/>
        </w:tabs>
        <w:spacing w:after="60"/>
        <w:ind w:left="1440"/>
      </w:pPr>
      <w:r w:rsidRPr="00653421">
        <w:rPr>
          <w:rFonts w:eastAsia="Calibri" w:cs="Tahoma"/>
          <w:b/>
          <w:szCs w:val="18"/>
        </w:rPr>
        <w:t>CAL do SQL Server 2008 R2 Workgroup:</w:t>
      </w:r>
      <w:r w:rsidRPr="00653421">
        <w:rPr>
          <w:rFonts w:eastAsia="Calibri" w:cs="Tahoma"/>
          <w:szCs w:val="18"/>
        </w:rPr>
        <w:t xml:space="preserve"> O uso contínuo do referido software está sujeito aos</w:t>
      </w:r>
      <w:r w:rsidR="00352188" w:rsidRPr="00653421">
        <w:rPr>
          <w:rFonts w:eastAsia="Calibri" w:cs="Tahoma"/>
          <w:szCs w:val="18"/>
        </w:rPr>
        <w:t> </w:t>
      </w:r>
      <w:r w:rsidRPr="00653421">
        <w:rPr>
          <w:rFonts w:eastAsia="Calibri" w:cs="Tahoma"/>
          <w:szCs w:val="18"/>
        </w:rPr>
        <w:t>direitos de uso do produto de licença do processador do SQL Server 2008 R2 Workgroup. Os</w:t>
      </w:r>
      <w:r w:rsidR="00C9587D" w:rsidRPr="00653421">
        <w:rPr>
          <w:rFonts w:eastAsia="Calibri" w:cs="Tahoma"/>
          <w:szCs w:val="18"/>
        </w:rPr>
        <w:t> </w:t>
      </w:r>
      <w:r w:rsidRPr="00653421">
        <w:rPr>
          <w:rFonts w:eastAsia="Calibri" w:cs="Tahoma"/>
          <w:szCs w:val="18"/>
        </w:rPr>
        <w:t xml:space="preserve">clientes não têm mais direitos sob Mobilidade de Licença nos Farms de Servidores nem Mobilidade de Licença por meio de Software Assurance. </w:t>
      </w:r>
    </w:p>
    <w:p w:rsidR="00A81E83" w:rsidRPr="00653421" w:rsidRDefault="00A81E83" w:rsidP="000C03F3">
      <w:pPr>
        <w:numPr>
          <w:ilvl w:val="0"/>
          <w:numId w:val="73"/>
        </w:numPr>
        <w:tabs>
          <w:tab w:val="left" w:pos="1440"/>
        </w:tabs>
        <w:spacing w:after="60"/>
        <w:ind w:left="1440"/>
      </w:pPr>
      <w:r w:rsidRPr="00653421">
        <w:rPr>
          <w:rFonts w:eastAsia="Calibri" w:cs="Tahoma"/>
          <w:b/>
          <w:szCs w:val="18"/>
        </w:rPr>
        <w:t xml:space="preserve">SQL Server 2012 Standard Core: </w:t>
      </w:r>
      <w:r w:rsidRPr="00653421">
        <w:rPr>
          <w:rFonts w:eastAsia="Calibri" w:cs="Tahoma"/>
          <w:szCs w:val="18"/>
        </w:rPr>
        <w:t>O uso desta versão do software está sujeito aos direitos de</w:t>
      </w:r>
      <w:r w:rsidR="00352188" w:rsidRPr="00653421">
        <w:rPr>
          <w:rFonts w:eastAsia="Calibri" w:cs="Tahoma"/>
          <w:szCs w:val="18"/>
        </w:rPr>
        <w:t> </w:t>
      </w:r>
      <w:r w:rsidRPr="00653421">
        <w:rPr>
          <w:rFonts w:eastAsia="Calibri" w:cs="Tahoma"/>
          <w:szCs w:val="18"/>
        </w:rPr>
        <w:t xml:space="preserve">uso do produto de licença do processador do SQL Server 2008 R2 Standard, no entanto: </w:t>
      </w:r>
    </w:p>
    <w:p w:rsidR="00A81E83" w:rsidRPr="00E53811" w:rsidRDefault="00A81E83" w:rsidP="000C03F3">
      <w:pPr>
        <w:numPr>
          <w:ilvl w:val="1"/>
          <w:numId w:val="73"/>
        </w:numPr>
        <w:tabs>
          <w:tab w:val="left" w:pos="1800"/>
        </w:tabs>
        <w:spacing w:after="60"/>
        <w:ind w:left="1800"/>
      </w:pPr>
      <w:r w:rsidRPr="00653421">
        <w:rPr>
          <w:rFonts w:eastAsia="Calibri" w:cs="Tahoma"/>
          <w:szCs w:val="18"/>
        </w:rPr>
        <w:t xml:space="preserve">os clientes não têm mais direitos sob Mobilidade de Licença nos Farms de Servidores nem Mobilidade de Licença por meio de Software Assurance e </w:t>
      </w:r>
    </w:p>
    <w:p w:rsidR="00E53811" w:rsidRDefault="00E53811" w:rsidP="00E53811">
      <w:pPr>
        <w:tabs>
          <w:tab w:val="left" w:pos="1800"/>
        </w:tabs>
        <w:spacing w:after="60"/>
        <w:rPr>
          <w:rFonts w:eastAsia="Calibri" w:cs="Tahoma"/>
          <w:szCs w:val="18"/>
        </w:rPr>
      </w:pPr>
    </w:p>
    <w:p w:rsidR="00E53811" w:rsidRDefault="00E53811" w:rsidP="00E53811">
      <w:pPr>
        <w:tabs>
          <w:tab w:val="left" w:pos="1800"/>
        </w:tabs>
        <w:spacing w:after="60"/>
        <w:rPr>
          <w:rFonts w:eastAsia="Calibri" w:cs="Tahoma"/>
          <w:szCs w:val="18"/>
        </w:rPr>
      </w:pPr>
    </w:p>
    <w:p w:rsidR="00E53811" w:rsidRDefault="00E53811" w:rsidP="00E53811">
      <w:pPr>
        <w:tabs>
          <w:tab w:val="left" w:pos="1800"/>
        </w:tabs>
        <w:spacing w:after="60"/>
        <w:rPr>
          <w:rFonts w:eastAsia="Calibri" w:cs="Tahoma"/>
          <w:szCs w:val="18"/>
        </w:rPr>
      </w:pPr>
    </w:p>
    <w:p w:rsidR="00E53811" w:rsidRDefault="00E53811" w:rsidP="00E53811">
      <w:pPr>
        <w:tabs>
          <w:tab w:val="left" w:pos="1800"/>
        </w:tabs>
        <w:spacing w:after="60"/>
        <w:rPr>
          <w:rFonts w:eastAsia="Calibri" w:cs="Tahoma"/>
          <w:szCs w:val="18"/>
        </w:rPr>
      </w:pPr>
    </w:p>
    <w:p w:rsidR="00E53811" w:rsidRPr="00653421" w:rsidRDefault="00E53811" w:rsidP="00E53811">
      <w:pPr>
        <w:tabs>
          <w:tab w:val="left" w:pos="1800"/>
        </w:tabs>
        <w:spacing w:after="60"/>
      </w:pPr>
    </w:p>
    <w:p w:rsidR="00A81E83" w:rsidRPr="00653421" w:rsidRDefault="00A81E83" w:rsidP="000C03F3">
      <w:pPr>
        <w:numPr>
          <w:ilvl w:val="1"/>
          <w:numId w:val="73"/>
        </w:numPr>
        <w:tabs>
          <w:tab w:val="left" w:pos="1800"/>
        </w:tabs>
        <w:spacing w:after="60"/>
        <w:ind w:left="1800"/>
      </w:pPr>
      <w:r w:rsidRPr="00653421">
        <w:rPr>
          <w:rFonts w:eastAsia="Calibri" w:cs="Tahoma"/>
          <w:szCs w:val="18"/>
        </w:rPr>
        <w:lastRenderedPageBreak/>
        <w:t>quaisquer reatribuição de licenças está sujeita a limitações em (i) e (ii) abaixo relacionada a</w:t>
      </w:r>
      <w:r w:rsidR="00352188" w:rsidRPr="00653421">
        <w:rPr>
          <w:rFonts w:eastAsia="Calibri" w:cs="Tahoma"/>
          <w:szCs w:val="18"/>
        </w:rPr>
        <w:t> </w:t>
      </w:r>
      <w:r w:rsidRPr="00653421">
        <w:rPr>
          <w:rFonts w:eastAsia="Calibri" w:cs="Tahoma"/>
          <w:szCs w:val="18"/>
        </w:rPr>
        <w:t>sua “equivalência de licença principal”. A equivalência de licença principal é determinada da</w:t>
      </w:r>
      <w:r w:rsidR="00352188" w:rsidRPr="00653421">
        <w:rPr>
          <w:rFonts w:eastAsia="Calibri" w:cs="Tahoma"/>
          <w:szCs w:val="18"/>
        </w:rPr>
        <w:t> </w:t>
      </w:r>
      <w:r w:rsidRPr="00653421">
        <w:rPr>
          <w:rFonts w:eastAsia="Calibri" w:cs="Tahoma"/>
          <w:szCs w:val="18"/>
        </w:rPr>
        <w:t xml:space="preserve">seguinte forma: </w:t>
      </w:r>
    </w:p>
    <w:p w:rsidR="00A81E83" w:rsidRPr="00653421" w:rsidRDefault="00A81E83" w:rsidP="000C03F3">
      <w:pPr>
        <w:numPr>
          <w:ilvl w:val="2"/>
          <w:numId w:val="73"/>
        </w:numPr>
        <w:tabs>
          <w:tab w:val="left" w:pos="2160"/>
        </w:tabs>
        <w:spacing w:after="60"/>
      </w:pPr>
      <w:r w:rsidRPr="00653421">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352188" w:rsidRPr="00653421">
        <w:rPr>
          <w:rFonts w:eastAsia="Calibri" w:cs="Tahoma"/>
          <w:szCs w:val="18"/>
        </w:rPr>
        <w:t> </w:t>
      </w:r>
      <w:r w:rsidRPr="00653421">
        <w:rPr>
          <w:rFonts w:eastAsia="Calibri" w:cs="Tahoma"/>
          <w:szCs w:val="18"/>
        </w:rPr>
        <w:t xml:space="preserve">equivalência de licença principal é maior do que: </w:t>
      </w:r>
    </w:p>
    <w:p w:rsidR="00A81E83" w:rsidRPr="00653421" w:rsidRDefault="00A81E83" w:rsidP="000C03F3">
      <w:pPr>
        <w:numPr>
          <w:ilvl w:val="4"/>
          <w:numId w:val="64"/>
        </w:numPr>
        <w:tabs>
          <w:tab w:val="left" w:pos="2520"/>
        </w:tabs>
        <w:spacing w:after="60"/>
        <w:ind w:left="2520"/>
      </w:pPr>
      <w:r w:rsidRPr="00653421">
        <w:rPr>
          <w:rFonts w:eastAsia="Calibri" w:cs="Tahoma"/>
          <w:szCs w:val="18"/>
        </w:rPr>
        <w:t xml:space="preserve">quatro núcleos por licença de processador OU </w:t>
      </w:r>
    </w:p>
    <w:p w:rsidR="00A81E83" w:rsidRPr="00653421" w:rsidRDefault="00A81E83" w:rsidP="000C03F3">
      <w:pPr>
        <w:numPr>
          <w:ilvl w:val="4"/>
          <w:numId w:val="64"/>
        </w:numPr>
        <w:tabs>
          <w:tab w:val="left" w:pos="2520"/>
        </w:tabs>
        <w:spacing w:after="60"/>
        <w:ind w:left="2520"/>
      </w:pPr>
      <w:r w:rsidRPr="00653421">
        <w:rPr>
          <w:rFonts w:eastAsia="Calibri" w:cs="Tahoma"/>
          <w:szCs w:val="18"/>
        </w:rPr>
        <w:t>um número de núcleos por licença do processador com base no número real de</w:t>
      </w:r>
      <w:r w:rsidR="00352188" w:rsidRPr="00653421">
        <w:rPr>
          <w:rFonts w:eastAsia="Calibri" w:cs="Tahoma"/>
          <w:szCs w:val="18"/>
        </w:rPr>
        <w:t> </w:t>
      </w:r>
      <w:r w:rsidRPr="00653421">
        <w:rPr>
          <w:rFonts w:eastAsia="Calibri" w:cs="Tahoma"/>
          <w:szCs w:val="18"/>
        </w:rPr>
        <w:t>núcleos por processador físico multiplicado pelo fator de núcleo apropriado. (Nos</w:t>
      </w:r>
      <w:r w:rsidR="00352188" w:rsidRPr="00653421">
        <w:rPr>
          <w:rFonts w:eastAsia="Calibri" w:cs="Tahoma"/>
          <w:szCs w:val="18"/>
        </w:rPr>
        <w:t> </w:t>
      </w:r>
      <w:r w:rsidRPr="00653421">
        <w:rPr>
          <w:rFonts w:eastAsia="Calibri" w:cs="Tahoma"/>
          <w:szCs w:val="18"/>
        </w:rPr>
        <w:t>casos em que o número real de núcleos por processador físico excede quatro, os clientes devem manter um registro da configuração do software SQ</w:t>
      </w:r>
      <w:r w:rsidR="00392523" w:rsidRPr="00653421">
        <w:rPr>
          <w:rFonts w:eastAsia="Calibri" w:cs="Tahoma"/>
          <w:szCs w:val="18"/>
        </w:rPr>
        <w:t>L Server executando no servidor</w:t>
      </w:r>
      <w:r w:rsidRPr="00653421">
        <w:rPr>
          <w:rFonts w:eastAsia="Calibri" w:cs="Tahoma"/>
          <w:szCs w:val="18"/>
        </w:rPr>
        <w:t xml:space="preserve"> </w:t>
      </w:r>
      <w:r w:rsidR="00392523" w:rsidRPr="00653421">
        <w:rPr>
          <w:rFonts w:eastAsia="Calibri" w:cs="Tahoma"/>
          <w:szCs w:val="18"/>
        </w:rPr>
        <w:t>(</w:t>
      </w:r>
      <w:r w:rsidRPr="00653421">
        <w:rPr>
          <w:rFonts w:eastAsia="Calibri" w:cs="Tahoma"/>
          <w:szCs w:val="18"/>
        </w:rPr>
        <w:t>instâncias licenciadas executando em ambientes do sistema</w:t>
      </w:r>
      <w:r w:rsidR="00CF471C" w:rsidRPr="00653421">
        <w:rPr>
          <w:rFonts w:eastAsia="Calibri" w:cs="Tahoma"/>
          <w:szCs w:val="18"/>
        </w:rPr>
        <w:t> </w:t>
      </w:r>
      <w:r w:rsidRPr="00653421">
        <w:rPr>
          <w:rFonts w:eastAsia="Calibri" w:cs="Tahoma"/>
          <w:szCs w:val="18"/>
        </w:rPr>
        <w:t>operacional no servidor licenciado) e o hardware físico oferecendo suporte</w:t>
      </w:r>
      <w:r w:rsidR="00CF471C" w:rsidRPr="00653421">
        <w:rPr>
          <w:rFonts w:eastAsia="Calibri" w:cs="Tahoma"/>
          <w:szCs w:val="18"/>
        </w:rPr>
        <w:t> </w:t>
      </w:r>
      <w:r w:rsidRPr="00653421">
        <w:rPr>
          <w:rFonts w:eastAsia="Calibri" w:cs="Tahoma"/>
          <w:szCs w:val="18"/>
        </w:rPr>
        <w:t>ao</w:t>
      </w:r>
      <w:r w:rsidR="00CF471C" w:rsidRPr="00653421">
        <w:rPr>
          <w:rFonts w:eastAsia="Calibri" w:cs="Tahoma"/>
          <w:szCs w:val="18"/>
        </w:rPr>
        <w:t> </w:t>
      </w:r>
      <w:r w:rsidRPr="00653421">
        <w:rPr>
          <w:rFonts w:eastAsia="Calibri" w:cs="Tahoma"/>
          <w:szCs w:val="18"/>
        </w:rPr>
        <w:t xml:space="preserve">software que está antecedendo a expiração do Software Assurance usando a ferramenta Microsoft MAP ou qualquer software equivalente.) </w:t>
      </w:r>
    </w:p>
    <w:p w:rsidR="00A81E83" w:rsidRPr="00653421" w:rsidRDefault="00A81E83" w:rsidP="000C03F3">
      <w:pPr>
        <w:numPr>
          <w:ilvl w:val="1"/>
          <w:numId w:val="73"/>
        </w:numPr>
        <w:tabs>
          <w:tab w:val="left" w:pos="1800"/>
        </w:tabs>
        <w:spacing w:after="60"/>
        <w:ind w:left="1800"/>
      </w:pPr>
      <w:r w:rsidRPr="00653421">
        <w:rPr>
          <w:rFonts w:eastAsia="Calibri" w:cs="Tahoma"/>
          <w:szCs w:val="18"/>
        </w:rPr>
        <w:t>Para qualquer licença de processador com um Software Assurance expirando atribuído ao mesmo servidor licenciado em excesso do número real de processadores físicos no servidor, a</w:t>
      </w:r>
      <w:r w:rsidR="00CF471C" w:rsidRPr="00653421">
        <w:rPr>
          <w:rFonts w:eastAsia="Calibri" w:cs="Tahoma"/>
          <w:szCs w:val="18"/>
        </w:rPr>
        <w:t> </w:t>
      </w:r>
      <w:r w:rsidRPr="00653421">
        <w:rPr>
          <w:rFonts w:eastAsia="Calibri" w:cs="Tahoma"/>
          <w:szCs w:val="18"/>
        </w:rPr>
        <w:t>equivalência de núcleo é de quatro núcleos por licença de processador.</w:t>
      </w:r>
    </w:p>
    <w:p w:rsidR="00A81E83" w:rsidRPr="00653421" w:rsidRDefault="00A81E83" w:rsidP="000C03F3">
      <w:pPr>
        <w:numPr>
          <w:ilvl w:val="1"/>
          <w:numId w:val="73"/>
        </w:numPr>
        <w:tabs>
          <w:tab w:val="left" w:pos="1800"/>
        </w:tabs>
        <w:spacing w:after="60"/>
        <w:ind w:left="1800"/>
      </w:pPr>
      <w:r w:rsidRPr="00653421">
        <w:rPr>
          <w:rFonts w:eastAsia="Calibri" w:cs="Tahoma"/>
          <w:szCs w:val="18"/>
        </w:rPr>
        <w:t>Os Clientes poderão transferir as Licenças para outro servidor. No entanto, se o cliente transferir uma licença para outro servidor, o cliente terá que seguir os direitos de uso do SQL</w:t>
      </w:r>
      <w:r w:rsidR="008415D8">
        <w:rPr>
          <w:rFonts w:eastAsia="Calibri" w:cs="Tahoma"/>
          <w:szCs w:val="18"/>
        </w:rPr>
        <w:t> </w:t>
      </w:r>
      <w:r w:rsidRPr="00653421">
        <w:rPr>
          <w:rFonts w:eastAsia="Calibri" w:cs="Tahoma"/>
          <w:szCs w:val="18"/>
        </w:rPr>
        <w:t>Server 2012. Ao transferir licenças principais para servidores sob os direitos de uso do</w:t>
      </w:r>
      <w:r w:rsidR="008415D8">
        <w:rPr>
          <w:rFonts w:eastAsia="Calibri" w:cs="Tahoma"/>
          <w:szCs w:val="18"/>
        </w:rPr>
        <w:t> </w:t>
      </w:r>
      <w:r w:rsidRPr="00653421">
        <w:rPr>
          <w:rFonts w:eastAsia="Calibri" w:cs="Tahoma"/>
          <w:szCs w:val="18"/>
        </w:rPr>
        <w:t>SQL 2012, o cliente poderá combinar a equivalência de núcleo de suas licenças existentes com as licenças principais do SQL Server 2012 adicionais.</w:t>
      </w:r>
    </w:p>
    <w:p w:rsidR="00A81E83" w:rsidRPr="00653421" w:rsidRDefault="00A81E83" w:rsidP="00E53811">
      <w:pPr>
        <w:numPr>
          <w:ilvl w:val="1"/>
          <w:numId w:val="73"/>
        </w:numPr>
        <w:tabs>
          <w:tab w:val="left" w:pos="1800"/>
        </w:tabs>
        <w:ind w:left="1800"/>
      </w:pPr>
      <w:r w:rsidRPr="00653421">
        <w:rPr>
          <w:rFonts w:eastAsia="Calibri" w:cs="Tahoma"/>
          <w:szCs w:val="18"/>
        </w:rPr>
        <w:t>A equivalência de licença principal dos clientes não implica que eles podem atribuir uma única licença de processador a núcleos por dois ou mais processadores.</w:t>
      </w:r>
    </w:p>
    <w:p w:rsidR="000C03F3" w:rsidRPr="00653421" w:rsidRDefault="000C03F3" w:rsidP="000C03F3">
      <w:pPr>
        <w:tabs>
          <w:tab w:val="left" w:pos="1800"/>
        </w:tabs>
        <w:spacing w:after="60"/>
      </w:pPr>
    </w:p>
    <w:p w:rsidR="000C03F3" w:rsidRPr="00653421" w:rsidRDefault="00A81E83" w:rsidP="000C03F3">
      <w:pPr>
        <w:tabs>
          <w:tab w:val="left" w:pos="720"/>
        </w:tabs>
        <w:spacing w:after="60"/>
        <w:ind w:left="720"/>
      </w:pPr>
      <w:r w:rsidRPr="00653421">
        <w:rPr>
          <w:rFonts w:eastAsia="Calibri" w:cs="Tahoma"/>
          <w:b/>
          <w:color w:val="000000"/>
          <w:szCs w:val="18"/>
        </w:rPr>
        <w:t>Para os clientes com cobertura de Software Assurance que expiram em ou depois de 1º</w:t>
      </w:r>
      <w:r w:rsidR="00CF471C" w:rsidRPr="00653421">
        <w:rPr>
          <w:rFonts w:eastAsia="Calibri" w:cs="Tahoma"/>
          <w:b/>
          <w:color w:val="000000"/>
          <w:szCs w:val="18"/>
        </w:rPr>
        <w:t> </w:t>
      </w:r>
      <w:r w:rsidRPr="00653421">
        <w:rPr>
          <w:rFonts w:eastAsia="Calibri" w:cs="Tahoma"/>
          <w:b/>
          <w:color w:val="000000"/>
          <w:szCs w:val="18"/>
        </w:rPr>
        <w:t>de</w:t>
      </w:r>
      <w:r w:rsidR="00CF471C" w:rsidRPr="00653421">
        <w:rPr>
          <w:rFonts w:eastAsia="Calibri" w:cs="Tahoma"/>
          <w:b/>
          <w:color w:val="000000"/>
          <w:szCs w:val="18"/>
        </w:rPr>
        <w:t> </w:t>
      </w:r>
      <w:r w:rsidRPr="00653421">
        <w:rPr>
          <w:rFonts w:eastAsia="Calibri" w:cs="Tahoma"/>
          <w:b/>
          <w:color w:val="000000"/>
          <w:szCs w:val="18"/>
        </w:rPr>
        <w:t>abril</w:t>
      </w:r>
      <w:r w:rsidR="00CF471C" w:rsidRPr="00653421">
        <w:rPr>
          <w:rFonts w:eastAsia="Calibri" w:cs="Tahoma"/>
          <w:b/>
          <w:color w:val="000000"/>
          <w:szCs w:val="18"/>
        </w:rPr>
        <w:t> </w:t>
      </w:r>
      <w:r w:rsidRPr="00653421">
        <w:rPr>
          <w:rFonts w:eastAsia="Calibri" w:cs="Tahoma"/>
          <w:b/>
          <w:color w:val="000000"/>
          <w:szCs w:val="18"/>
        </w:rPr>
        <w:t>de 2015 que optaram pela não renovação</w:t>
      </w:r>
    </w:p>
    <w:p w:rsidR="00A81E83" w:rsidRPr="00653421" w:rsidRDefault="00A81E83" w:rsidP="000C03F3">
      <w:pPr>
        <w:tabs>
          <w:tab w:val="left" w:pos="720"/>
        </w:tabs>
        <w:ind w:left="720"/>
      </w:pPr>
      <w:r w:rsidRPr="00653421">
        <w:rPr>
          <w:rFonts w:eastAsia="Calibri" w:cs="Tahoma"/>
          <w:color w:val="000000"/>
          <w:szCs w:val="18"/>
        </w:rPr>
        <w:t xml:space="preserve">Os clientes do Enterprise Subscription </w:t>
      </w:r>
      <w:r w:rsidRPr="00653421">
        <w:rPr>
          <w:rFonts w:cs="Tahoma"/>
          <w:bCs/>
          <w:color w:val="000000"/>
          <w:szCs w:val="18"/>
        </w:rPr>
        <w:t xml:space="preserve">e Open Value Subscription </w:t>
      </w:r>
      <w:r w:rsidRPr="00653421">
        <w:rPr>
          <w:rFonts w:eastAsia="Calibri" w:cs="Tahoma"/>
          <w:color w:val="000000"/>
          <w:szCs w:val="18"/>
        </w:rPr>
        <w:t>com cobertura expirando em ou depois de</w:t>
      </w:r>
      <w:r w:rsidR="00CF471C" w:rsidRPr="00653421">
        <w:rPr>
          <w:rFonts w:eastAsia="Calibri" w:cs="Tahoma"/>
          <w:color w:val="000000"/>
          <w:szCs w:val="18"/>
        </w:rPr>
        <w:t> </w:t>
      </w:r>
      <w:r w:rsidRPr="00653421">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rsidR="000C03F3" w:rsidRPr="00653421" w:rsidRDefault="000C03F3" w:rsidP="000C03F3">
      <w:pPr>
        <w:tabs>
          <w:tab w:val="left" w:pos="720"/>
        </w:tabs>
        <w:ind w:left="720"/>
      </w:pPr>
    </w:p>
    <w:p w:rsidR="00A81E83" w:rsidRPr="00653421" w:rsidRDefault="00A81E83" w:rsidP="000C03F3">
      <w:pPr>
        <w:numPr>
          <w:ilvl w:val="2"/>
          <w:numId w:val="64"/>
        </w:numPr>
        <w:spacing w:after="60"/>
        <w:ind w:left="1440"/>
      </w:pPr>
      <w:r w:rsidRPr="00653421">
        <w:rPr>
          <w:rFonts w:eastAsia="Calibri" w:cs="Tahoma"/>
          <w:szCs w:val="18"/>
        </w:rPr>
        <w:t>Conforme fornecido no primeiro parágrafo desta nota de produto, as licenças adquiridas antes de 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653421" w:rsidRDefault="00A81E83" w:rsidP="000C03F3">
      <w:pPr>
        <w:numPr>
          <w:ilvl w:val="2"/>
          <w:numId w:val="64"/>
        </w:numPr>
        <w:spacing w:after="60"/>
        <w:ind w:left="1440"/>
      </w:pPr>
      <w:r w:rsidRPr="00653421">
        <w:rPr>
          <w:rFonts w:eastAsia="Calibri" w:cs="Tahoma"/>
          <w:color w:val="000000"/>
          <w:szCs w:val="18"/>
        </w:rPr>
        <w:t>Para as licenças adquiridas depois de 1</w:t>
      </w:r>
      <w:r w:rsidRPr="00653421">
        <w:rPr>
          <w:rFonts w:eastAsia="Calibri" w:cs="Tahoma"/>
          <w:color w:val="000000"/>
          <w:szCs w:val="18"/>
          <w:vertAlign w:val="superscript"/>
        </w:rPr>
        <w:t>º</w:t>
      </w:r>
      <w:r w:rsidRPr="00653421">
        <w:rPr>
          <w:rFonts w:eastAsia="Calibri" w:cs="Tahoma"/>
          <w:color w:val="000000"/>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0C03F3" w:rsidRPr="00653421" w:rsidRDefault="000C03F3" w:rsidP="000C03F3"/>
    <w:p w:rsidR="000C03F3" w:rsidRPr="00653421" w:rsidRDefault="00A81E83" w:rsidP="000C03F3">
      <w:pPr>
        <w:pStyle w:val="ListParagraph"/>
        <w:tabs>
          <w:tab w:val="left" w:pos="720"/>
        </w:tabs>
        <w:spacing w:after="60"/>
        <w:contextualSpacing w:val="0"/>
      </w:pPr>
      <w:r w:rsidRPr="00653421">
        <w:rPr>
          <w:rFonts w:ascii="Tahoma" w:hAnsi="Tahoma" w:cs="Tahoma"/>
          <w:b/>
          <w:color w:val="000000"/>
          <w:sz w:val="18"/>
          <w:szCs w:val="18"/>
        </w:rPr>
        <w:t>Para os clientes localizados na República Popular da</w:t>
      </w:r>
      <w:r w:rsidRPr="00653421">
        <w:rPr>
          <w:rFonts w:ascii="Tahoma" w:hAnsi="Tahoma" w:cs="Tahoma"/>
          <w:color w:val="000000"/>
          <w:sz w:val="18"/>
          <w:szCs w:val="18"/>
        </w:rPr>
        <w:t xml:space="preserve"> </w:t>
      </w:r>
      <w:r w:rsidRPr="00653421">
        <w:rPr>
          <w:rFonts w:ascii="Tahoma" w:hAnsi="Tahoma" w:cs="Tahoma"/>
          <w:b/>
          <w:color w:val="000000"/>
          <w:sz w:val="18"/>
          <w:szCs w:val="18"/>
        </w:rPr>
        <w:t>China e para os que estão adquirindo licenças de processador e Software Assurance para SQL Server 2008 R2</w:t>
      </w:r>
    </w:p>
    <w:p w:rsidR="00A81E83" w:rsidRPr="00653421" w:rsidRDefault="00A81E83" w:rsidP="000C03F3">
      <w:pPr>
        <w:pStyle w:val="ListParagraph"/>
        <w:tabs>
          <w:tab w:val="left" w:pos="720"/>
        </w:tabs>
        <w:contextualSpacing w:val="0"/>
      </w:pPr>
      <w:r w:rsidRPr="00653421">
        <w:rPr>
          <w:rFonts w:ascii="Tahoma" w:hAnsi="Tahoma" w:cs="Tahoma"/>
          <w:color w:val="000000"/>
          <w:sz w:val="18"/>
          <w:szCs w:val="18"/>
        </w:rPr>
        <w:t>As referências a 1</w:t>
      </w:r>
      <w:r w:rsidRPr="00653421">
        <w:rPr>
          <w:rFonts w:ascii="Tahoma" w:hAnsi="Tahoma" w:cs="Tahoma"/>
          <w:color w:val="000000"/>
          <w:sz w:val="18"/>
          <w:szCs w:val="18"/>
          <w:vertAlign w:val="superscript"/>
        </w:rPr>
        <w:t>º</w:t>
      </w:r>
      <w:r w:rsidRPr="00653421">
        <w:rPr>
          <w:rFonts w:ascii="Tahoma" w:hAnsi="Tahoma" w:cs="Tahoma"/>
          <w:color w:val="000000"/>
          <w:sz w:val="18"/>
          <w:szCs w:val="18"/>
        </w:rPr>
        <w:t xml:space="preserve"> de abril de 2012 e 1</w:t>
      </w:r>
      <w:r w:rsidRPr="00653421">
        <w:rPr>
          <w:rFonts w:ascii="Tahoma" w:hAnsi="Tahoma" w:cs="Tahoma"/>
          <w:color w:val="000000"/>
          <w:sz w:val="18"/>
          <w:szCs w:val="18"/>
          <w:vertAlign w:val="superscript"/>
        </w:rPr>
        <w:t>º</w:t>
      </w:r>
      <w:r w:rsidRPr="00653421">
        <w:rPr>
          <w:rFonts w:ascii="Tahoma" w:hAnsi="Tahoma" w:cs="Tahoma"/>
          <w:color w:val="000000"/>
          <w:sz w:val="18"/>
          <w:szCs w:val="18"/>
        </w:rPr>
        <w:t xml:space="preserve"> de abril de 2015 nesta nota da lista de produtos não são aplicáveis. As datas aplicáveis para esses clientes são 1</w:t>
      </w:r>
      <w:r w:rsidRPr="00653421">
        <w:rPr>
          <w:rFonts w:ascii="Tahoma" w:hAnsi="Tahoma" w:cs="Tahoma"/>
          <w:color w:val="000000"/>
          <w:sz w:val="18"/>
          <w:szCs w:val="18"/>
          <w:vertAlign w:val="superscript"/>
        </w:rPr>
        <w:t>º</w:t>
      </w:r>
      <w:r w:rsidRPr="00653421">
        <w:rPr>
          <w:rFonts w:ascii="Tahoma" w:hAnsi="Tahoma" w:cs="Tahoma"/>
          <w:color w:val="000000"/>
          <w:sz w:val="18"/>
          <w:szCs w:val="18"/>
        </w:rPr>
        <w:t xml:space="preserve"> de julho de 2012 e 1</w:t>
      </w:r>
      <w:r w:rsidRPr="00653421">
        <w:rPr>
          <w:rFonts w:ascii="Tahoma" w:hAnsi="Tahoma" w:cs="Tahoma"/>
          <w:color w:val="000000"/>
          <w:sz w:val="18"/>
          <w:szCs w:val="18"/>
          <w:vertAlign w:val="superscript"/>
        </w:rPr>
        <w:t>º</w:t>
      </w:r>
      <w:r w:rsidRPr="00653421">
        <w:rPr>
          <w:rFonts w:ascii="Tahoma" w:hAnsi="Tahoma" w:cs="Tahoma"/>
          <w:color w:val="000000"/>
          <w:sz w:val="18"/>
          <w:szCs w:val="18"/>
        </w:rPr>
        <w:t xml:space="preserve"> de julho de 2015, respectivamente.</w:t>
      </w:r>
    </w:p>
    <w:p w:rsidR="00A81E83" w:rsidRDefault="00A81E83" w:rsidP="000C03F3">
      <w:pPr>
        <w:tabs>
          <w:tab w:val="left" w:pos="1080"/>
          <w:tab w:val="left" w:pos="1800"/>
        </w:tabs>
      </w:pPr>
      <w:bookmarkStart w:id="1447" w:name="Srv_87SQLServer2012Developer"/>
    </w:p>
    <w:p w:rsidR="00E53811" w:rsidRDefault="00E53811" w:rsidP="000C03F3">
      <w:pPr>
        <w:tabs>
          <w:tab w:val="left" w:pos="1080"/>
          <w:tab w:val="left" w:pos="1800"/>
        </w:tabs>
      </w:pPr>
    </w:p>
    <w:p w:rsidR="00E53811" w:rsidRDefault="00E53811" w:rsidP="000C03F3">
      <w:pPr>
        <w:tabs>
          <w:tab w:val="left" w:pos="1080"/>
          <w:tab w:val="left" w:pos="1800"/>
        </w:tabs>
      </w:pPr>
    </w:p>
    <w:p w:rsidR="00E53811" w:rsidRDefault="00E53811" w:rsidP="000C03F3">
      <w:pPr>
        <w:tabs>
          <w:tab w:val="left" w:pos="1080"/>
          <w:tab w:val="left" w:pos="1800"/>
        </w:tabs>
      </w:pPr>
    </w:p>
    <w:p w:rsidR="00E53811" w:rsidRDefault="00E53811" w:rsidP="000C03F3">
      <w:pPr>
        <w:tabs>
          <w:tab w:val="left" w:pos="1080"/>
          <w:tab w:val="left" w:pos="1800"/>
        </w:tabs>
      </w:pPr>
    </w:p>
    <w:p w:rsidR="00E53811" w:rsidRDefault="00E53811" w:rsidP="000C03F3">
      <w:pPr>
        <w:tabs>
          <w:tab w:val="left" w:pos="1080"/>
          <w:tab w:val="left" w:pos="1800"/>
        </w:tabs>
      </w:pPr>
    </w:p>
    <w:p w:rsidR="00E53811" w:rsidRDefault="00E53811" w:rsidP="000C03F3">
      <w:pPr>
        <w:tabs>
          <w:tab w:val="left" w:pos="1080"/>
          <w:tab w:val="left" w:pos="1800"/>
        </w:tabs>
      </w:pPr>
    </w:p>
    <w:p w:rsidR="00E53811" w:rsidRDefault="00E53811" w:rsidP="000C03F3">
      <w:pPr>
        <w:tabs>
          <w:tab w:val="left" w:pos="1080"/>
          <w:tab w:val="left" w:pos="1800"/>
        </w:tabs>
      </w:pPr>
    </w:p>
    <w:p w:rsidR="00E53811" w:rsidRPr="00653421" w:rsidRDefault="00E53811" w:rsidP="000C03F3">
      <w:pPr>
        <w:tabs>
          <w:tab w:val="left" w:pos="1080"/>
          <w:tab w:val="left" w:pos="1800"/>
        </w:tabs>
      </w:pPr>
    </w:p>
    <w:p w:rsidR="00BE30E6" w:rsidRPr="00653421" w:rsidRDefault="00BE30E6" w:rsidP="000C03F3">
      <w:pPr>
        <w:tabs>
          <w:tab w:val="left" w:pos="1080"/>
          <w:tab w:val="left" w:pos="1800"/>
        </w:tabs>
      </w:pPr>
    </w:p>
    <w:p w:rsidR="00A81E83" w:rsidRPr="00653421" w:rsidRDefault="00F66FB0" w:rsidP="00EF5637">
      <w:pPr>
        <w:pStyle w:val="Heading3"/>
      </w:pPr>
      <w:bookmarkStart w:id="1448" w:name="_80_78_SQL"/>
      <w:bookmarkStart w:id="1449" w:name="_79_SQL_Server®"/>
      <w:bookmarkStart w:id="1450" w:name="_Toc336338345"/>
      <w:bookmarkStart w:id="1451" w:name="_Toc353470985"/>
      <w:bookmarkEnd w:id="1448"/>
      <w:bookmarkEnd w:id="1449"/>
      <w:r w:rsidRPr="00653421">
        <w:rPr>
          <w:rFonts w:ascii="Tahoma" w:hAnsi="Tahoma"/>
          <w:color w:val="F66400"/>
          <w:sz w:val="22"/>
          <w:vertAlign w:val="superscript"/>
        </w:rPr>
        <w:lastRenderedPageBreak/>
        <w:t>79</w:t>
      </w:r>
      <w:r w:rsidRPr="00653421">
        <w:rPr>
          <w:rFonts w:ascii="Tahoma" w:hAnsi="Tahoma"/>
          <w:color w:val="F66400"/>
          <w:sz w:val="22"/>
        </w:rPr>
        <w:t xml:space="preserve"> SQL Server</w:t>
      </w:r>
      <w:r w:rsidRPr="00653421">
        <w:rPr>
          <w:rFonts w:ascii="Tahoma" w:hAnsi="Tahoma"/>
          <w:color w:val="F66400"/>
          <w:sz w:val="22"/>
          <w:vertAlign w:val="superscript"/>
        </w:rPr>
        <w:t>®</w:t>
      </w:r>
      <w:r w:rsidRPr="00653421">
        <w:rPr>
          <w:rFonts w:ascii="Tahoma" w:hAnsi="Tahoma"/>
          <w:color w:val="F66400"/>
          <w:sz w:val="22"/>
        </w:rPr>
        <w:t xml:space="preserve"> 2012 Developer</w:t>
      </w:r>
      <w:bookmarkEnd w:id="1450"/>
      <w:bookmarkEnd w:id="1451"/>
    </w:p>
    <w:bookmarkEnd w:id="1447"/>
    <w:p w:rsidR="00A81E83" w:rsidRPr="00653421" w:rsidRDefault="00A81E83" w:rsidP="00EF5637"/>
    <w:p w:rsidR="000C03F3" w:rsidRPr="00653421" w:rsidRDefault="00A81E83" w:rsidP="000C03F3">
      <w:pPr>
        <w:spacing w:after="60"/>
        <w:ind w:left="720"/>
      </w:pPr>
      <w:r w:rsidRPr="00653421">
        <w:rPr>
          <w:b/>
          <w:color w:val="000000"/>
          <w:szCs w:val="18"/>
        </w:rPr>
        <w:t>Notificação Importante</w:t>
      </w:r>
    </w:p>
    <w:p w:rsidR="008415D8" w:rsidRDefault="00A81E83" w:rsidP="00EF5637">
      <w:pPr>
        <w:ind w:left="720"/>
      </w:pPr>
      <w:r w:rsidRPr="00653421">
        <w:rPr>
          <w:color w:val="000000"/>
          <w:szCs w:val="18"/>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5A52A2" w:rsidRPr="00653421">
        <w:rPr>
          <w:color w:val="000000"/>
          <w:szCs w:val="18"/>
        </w:rPr>
        <w:t xml:space="preserve"> </w:t>
      </w:r>
      <w:r w:rsidRPr="00653421">
        <w:rPr>
          <w:color w:val="000000"/>
          <w:szCs w:val="18"/>
        </w:rPr>
        <w:t>Esse recurso não pode ser desativado.</w:t>
      </w:r>
      <w:r w:rsidR="005A52A2" w:rsidRPr="00653421">
        <w:rPr>
          <w:color w:val="000000"/>
          <w:szCs w:val="18"/>
        </w:rPr>
        <w:t xml:space="preserve"> </w:t>
      </w:r>
      <w:r w:rsidRPr="00653421">
        <w:rPr>
          <w:color w:val="000000"/>
          <w:szCs w:val="18"/>
        </w:rPr>
        <w:t>Os arquivos atualizados não podem ser removidos e os arquivos originais podem não ser recuperáveis.</w:t>
      </w:r>
      <w:r w:rsidR="005A52A2" w:rsidRPr="00653421">
        <w:rPr>
          <w:color w:val="000000"/>
          <w:szCs w:val="18"/>
        </w:rPr>
        <w:t xml:space="preserve"> </w:t>
      </w:r>
      <w:r w:rsidRPr="00653421">
        <w:rPr>
          <w:color w:val="000000"/>
          <w:szCs w:val="18"/>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5A52A2" w:rsidRPr="00653421">
        <w:rPr>
          <w:color w:val="000000"/>
          <w:szCs w:val="18"/>
        </w:rPr>
        <w:t xml:space="preserve"> </w:t>
      </w:r>
    </w:p>
    <w:p w:rsidR="008415D8" w:rsidRPr="00653421" w:rsidRDefault="008415D8" w:rsidP="00EF5637">
      <w:pPr>
        <w:ind w:left="720"/>
      </w:pPr>
    </w:p>
    <w:p w:rsidR="00CF471C" w:rsidRPr="00653421" w:rsidRDefault="00CF471C" w:rsidP="00EF5637">
      <w:pPr>
        <w:ind w:left="720"/>
      </w:pPr>
    </w:p>
    <w:p w:rsidR="00A81E83" w:rsidRPr="00653421" w:rsidRDefault="00F66FB0" w:rsidP="00EF5637">
      <w:pPr>
        <w:pStyle w:val="Heading3"/>
      </w:pPr>
      <w:bookmarkStart w:id="1452" w:name="_81_79_SQL"/>
      <w:bookmarkStart w:id="1453" w:name="_Toc336338346"/>
      <w:bookmarkStart w:id="1454" w:name="_Toc353470986"/>
      <w:bookmarkStart w:id="1455" w:name="Srv_88SQLServer2012Enterprise"/>
      <w:bookmarkEnd w:id="1452"/>
      <w:r w:rsidRPr="00653421">
        <w:rPr>
          <w:rFonts w:ascii="Tahoma" w:hAnsi="Tahoma"/>
          <w:color w:val="F66400"/>
          <w:sz w:val="22"/>
          <w:vertAlign w:val="superscript"/>
        </w:rPr>
        <w:t>80</w:t>
      </w:r>
      <w:r w:rsidRPr="00653421">
        <w:rPr>
          <w:rFonts w:ascii="Tahoma" w:hAnsi="Tahoma"/>
          <w:color w:val="F66400"/>
          <w:sz w:val="22"/>
        </w:rPr>
        <w:t xml:space="preserve"> SQL Server</w:t>
      </w:r>
      <w:r w:rsidRPr="00653421">
        <w:rPr>
          <w:rFonts w:ascii="Tahoma" w:hAnsi="Tahoma"/>
          <w:color w:val="F66400"/>
          <w:sz w:val="22"/>
          <w:vertAlign w:val="superscript"/>
        </w:rPr>
        <w:t>®</w:t>
      </w:r>
      <w:r w:rsidRPr="00653421">
        <w:rPr>
          <w:rFonts w:ascii="Tahoma" w:hAnsi="Tahoma"/>
          <w:color w:val="F66400"/>
          <w:sz w:val="22"/>
        </w:rPr>
        <w:t xml:space="preserve"> 2012 Enterprise</w:t>
      </w:r>
      <w:bookmarkEnd w:id="1453"/>
      <w:bookmarkEnd w:id="1454"/>
    </w:p>
    <w:bookmarkEnd w:id="1455"/>
    <w:p w:rsidR="00A81E83" w:rsidRPr="00653421" w:rsidRDefault="00A81E83" w:rsidP="00CF471C">
      <w:pPr>
        <w:spacing w:line="160" w:lineRule="exact"/>
      </w:pPr>
    </w:p>
    <w:p w:rsidR="00A81E83" w:rsidRPr="00653421" w:rsidRDefault="00A81E83" w:rsidP="00C321B6">
      <w:pPr>
        <w:ind w:left="720"/>
      </w:pPr>
      <w:r w:rsidRPr="00653421">
        <w:rPr>
          <w:rFonts w:eastAsia="Calibri" w:cs="Tahoma"/>
          <w:color w:val="000000"/>
          <w:szCs w:val="18"/>
        </w:rPr>
        <w:t>O SQL Server 2012 Enterprise é a próxima versão do SQL Server Enterprise, e a CAL do SQL Server 2012 é</w:t>
      </w:r>
      <w:r w:rsidR="00CF471C" w:rsidRPr="00653421">
        <w:rPr>
          <w:rFonts w:eastAsia="Calibri" w:cs="Tahoma"/>
          <w:color w:val="000000"/>
          <w:szCs w:val="18"/>
        </w:rPr>
        <w:t> </w:t>
      </w:r>
      <w:r w:rsidRPr="00653421">
        <w:rPr>
          <w:rFonts w:eastAsia="Calibri" w:cs="Tahoma"/>
          <w:color w:val="000000"/>
          <w:szCs w:val="18"/>
        </w:rPr>
        <w:t>a próxima versão da CAL do SQL Server.</w:t>
      </w:r>
    </w:p>
    <w:p w:rsidR="00C321B6" w:rsidRPr="00653421" w:rsidRDefault="00C321B6" w:rsidP="00CF471C">
      <w:pPr>
        <w:spacing w:line="160" w:lineRule="exact"/>
      </w:pPr>
    </w:p>
    <w:p w:rsidR="00C321B6" w:rsidRPr="00653421" w:rsidRDefault="00A81E83" w:rsidP="00C321B6">
      <w:pPr>
        <w:spacing w:after="60"/>
        <w:ind w:left="720"/>
      </w:pPr>
      <w:r w:rsidRPr="00653421">
        <w:rPr>
          <w:rFonts w:eastAsia="Calibri" w:cs="Tahoma"/>
          <w:b/>
          <w:color w:val="000000"/>
          <w:szCs w:val="18"/>
        </w:rPr>
        <w:t>Clientes de CAL/SQL Server Enterprise Server – Opção de Renovação de Software Assurance</w:t>
      </w:r>
      <w:r w:rsidR="00CF471C" w:rsidRPr="00653421">
        <w:rPr>
          <w:rFonts w:eastAsia="Calibri" w:cs="Tahoma"/>
          <w:b/>
          <w:color w:val="000000"/>
          <w:szCs w:val="18"/>
        </w:rPr>
        <w:t> </w:t>
      </w:r>
      <w:r w:rsidRPr="00653421">
        <w:rPr>
          <w:rFonts w:eastAsia="Calibri" w:cs="Tahoma"/>
          <w:b/>
          <w:color w:val="000000"/>
          <w:szCs w:val="18"/>
        </w:rPr>
        <w:t>Especial</w:t>
      </w:r>
    </w:p>
    <w:p w:rsidR="00A81E83" w:rsidRPr="00653421" w:rsidRDefault="00A81E83" w:rsidP="00C321B6">
      <w:pPr>
        <w:ind w:left="720"/>
      </w:pPr>
      <w:r w:rsidRPr="00653421">
        <w:rPr>
          <w:rFonts w:eastAsia="Calibri" w:cs="Tahoma"/>
          <w:color w:val="000000"/>
          <w:szCs w:val="18"/>
        </w:rPr>
        <w:t>Os clientes com Software Assurance ativo para licenças do SQL Server Enterprise Server/CAL a partir de 1</w:t>
      </w:r>
      <w:r w:rsidRPr="00653421">
        <w:rPr>
          <w:rFonts w:eastAsia="Calibri" w:cs="Tahoma"/>
          <w:color w:val="000000"/>
          <w:szCs w:val="18"/>
          <w:vertAlign w:val="superscript"/>
        </w:rPr>
        <w:t>o</w:t>
      </w:r>
      <w:r w:rsidR="00CF471C" w:rsidRPr="00653421">
        <w:rPr>
          <w:rFonts w:eastAsia="Calibri" w:cs="Tahoma"/>
          <w:color w:val="000000"/>
          <w:szCs w:val="18"/>
        </w:rPr>
        <w:t> </w:t>
      </w:r>
      <w:r w:rsidRPr="00653421">
        <w:rPr>
          <w:rFonts w:eastAsia="Calibri" w:cs="Tahoma"/>
          <w:color w:val="000000"/>
          <w:szCs w:val="18"/>
        </w:rPr>
        <w:t>de abril de 2012 podem, opcionalmente, renovar sua cobertura para Enterprise, adquirir Software Assurance para licenças de número igual para SQL Server 2012 Business Intelligence sem adquirir as licenças básicas.</w:t>
      </w:r>
      <w:r w:rsidR="005A52A2" w:rsidRPr="00653421">
        <w:rPr>
          <w:rFonts w:eastAsia="Calibri" w:cs="Tahoma"/>
          <w:color w:val="000000"/>
          <w:szCs w:val="18"/>
        </w:rPr>
        <w:t xml:space="preserve"> </w:t>
      </w:r>
      <w:r w:rsidRPr="00653421">
        <w:rPr>
          <w:rFonts w:eastAsia="Calibri" w:cs="Tahoma"/>
          <w:color w:val="000000"/>
          <w:szCs w:val="18"/>
        </w:rPr>
        <w:t>Mediante a aquisição do Software Assurance do SQL Server 2012 Business Intelligence sob</w:t>
      </w:r>
      <w:r w:rsidR="00CF471C" w:rsidRPr="00653421">
        <w:rPr>
          <w:rFonts w:eastAsia="Calibri" w:cs="Tahoma"/>
          <w:color w:val="000000"/>
          <w:szCs w:val="18"/>
        </w:rPr>
        <w:t> </w:t>
      </w:r>
      <w:r w:rsidRPr="00653421">
        <w:rPr>
          <w:rFonts w:eastAsia="Calibri" w:cs="Tahoma"/>
          <w:color w:val="000000"/>
          <w:szCs w:val="18"/>
        </w:rPr>
        <w:t>esta oferta, os clientes não poderão mais usar o SQL Server Enterprise sob as licenças qualificadas.</w:t>
      </w:r>
      <w:r w:rsidR="005A52A2" w:rsidRPr="00653421">
        <w:rPr>
          <w:rFonts w:eastAsia="Calibri" w:cs="Tahoma"/>
          <w:color w:val="000000"/>
          <w:szCs w:val="18"/>
        </w:rPr>
        <w:t xml:space="preserve"> </w:t>
      </w:r>
      <w:r w:rsidRPr="00653421">
        <w:rPr>
          <w:rFonts w:eastAsia="Calibri" w:cs="Tahoma"/>
          <w:color w:val="000000"/>
          <w:szCs w:val="18"/>
        </w:rPr>
        <w:t>Os</w:t>
      </w:r>
      <w:r w:rsidR="00CF471C" w:rsidRPr="00653421">
        <w:rPr>
          <w:rFonts w:eastAsia="Calibri" w:cs="Tahoma"/>
          <w:color w:val="000000"/>
          <w:szCs w:val="18"/>
        </w:rPr>
        <w:t> </w:t>
      </w:r>
      <w:r w:rsidRPr="00653421">
        <w:rPr>
          <w:rFonts w:eastAsia="Calibri" w:cs="Tahoma"/>
          <w:color w:val="000000"/>
          <w:szCs w:val="18"/>
        </w:rPr>
        <w:t>clientes que adquirem Software Assurance para SQL Server Business Intelligence sob esta oferta também não terão a opção de reverter a cobertura do SQL Server Enterprise para suas licenças qualificadas</w:t>
      </w:r>
      <w:r w:rsidR="00CF471C" w:rsidRPr="00653421">
        <w:rPr>
          <w:rFonts w:eastAsia="Calibri" w:cs="Tahoma"/>
          <w:color w:val="000000"/>
          <w:szCs w:val="18"/>
        </w:rPr>
        <w:t> </w:t>
      </w:r>
      <w:r w:rsidRPr="00653421">
        <w:rPr>
          <w:rFonts w:eastAsia="Calibri" w:cs="Tahoma"/>
          <w:color w:val="000000"/>
          <w:szCs w:val="18"/>
        </w:rPr>
        <w:t>do SQL Server Enterprise.</w:t>
      </w:r>
    </w:p>
    <w:p w:rsidR="002512D3" w:rsidRPr="00653421" w:rsidRDefault="002512D3" w:rsidP="00CF471C">
      <w:pPr>
        <w:spacing w:line="160" w:lineRule="exact"/>
      </w:pPr>
    </w:p>
    <w:p w:rsidR="00C321B6" w:rsidRPr="00653421" w:rsidRDefault="00A81E83" w:rsidP="00C321B6">
      <w:pPr>
        <w:spacing w:after="60"/>
        <w:ind w:left="720"/>
      </w:pPr>
      <w:r w:rsidRPr="00653421">
        <w:rPr>
          <w:rFonts w:eastAsia="Calibri" w:cs="Tahoma"/>
          <w:b/>
          <w:color w:val="000000"/>
          <w:szCs w:val="18"/>
        </w:rPr>
        <w:t>Opções de Fornecimento do SQL Server 2012</w:t>
      </w:r>
    </w:p>
    <w:p w:rsidR="00A81E83" w:rsidRPr="00653421" w:rsidRDefault="00A81E83" w:rsidP="00C321B6">
      <w:pPr>
        <w:ind w:left="720"/>
      </w:pPr>
      <w:r w:rsidRPr="00653421">
        <w:rPr>
          <w:rFonts w:eastAsia="Calibri" w:cs="Tahoma"/>
          <w:color w:val="000000"/>
          <w:szCs w:val="18"/>
        </w:rPr>
        <w:t>Os clientes podem usar apenas o software correspondente ao modelo de licenciamento sob o qual suas licenças do SQL Server são adquiridas.</w:t>
      </w:r>
      <w:r w:rsidR="005A52A2" w:rsidRPr="00653421">
        <w:rPr>
          <w:rFonts w:eastAsia="Calibri" w:cs="Tahoma"/>
          <w:color w:val="000000"/>
          <w:szCs w:val="18"/>
        </w:rPr>
        <w:t xml:space="preserve"> </w:t>
      </w:r>
    </w:p>
    <w:p w:rsidR="00C321B6" w:rsidRPr="00653421" w:rsidRDefault="00C321B6" w:rsidP="00CF471C">
      <w:pPr>
        <w:spacing w:line="160" w:lineRule="exact"/>
      </w:pPr>
    </w:p>
    <w:p w:rsidR="00C321B6" w:rsidRPr="00653421" w:rsidRDefault="00A81E83" w:rsidP="00C321B6">
      <w:pPr>
        <w:spacing w:after="60"/>
        <w:ind w:left="720"/>
      </w:pPr>
      <w:r w:rsidRPr="00653421">
        <w:rPr>
          <w:rFonts w:eastAsia="Calibri" w:cs="Tahoma"/>
          <w:b/>
          <w:color w:val="000000"/>
          <w:szCs w:val="18"/>
        </w:rPr>
        <w:t>Opção de Compra (“Buy-out”) do SQL Server sob EAP</w:t>
      </w:r>
    </w:p>
    <w:p w:rsidR="00A81E83" w:rsidRPr="00653421" w:rsidRDefault="00A81E83" w:rsidP="00C321B6">
      <w:pPr>
        <w:ind w:left="720"/>
      </w:pPr>
      <w:r w:rsidRPr="00653421">
        <w:rPr>
          <w:rFonts w:eastAsia="Calibri" w:cs="Tahoma"/>
          <w:color w:val="000000"/>
          <w:szCs w:val="18"/>
        </w:rPr>
        <w:t>Os clientes terão a opção de renovar as licenças do Software Assurance para SQL Server Enterprise Server/CAL depois de 30 de junho de 2012,</w:t>
      </w:r>
      <w:r w:rsidR="005A52A2" w:rsidRPr="00653421">
        <w:rPr>
          <w:rFonts w:eastAsia="Calibri" w:cs="Tahoma"/>
          <w:b/>
          <w:bCs/>
          <w:color w:val="000000"/>
          <w:szCs w:val="18"/>
        </w:rPr>
        <w:t xml:space="preserve"> </w:t>
      </w:r>
      <w:r w:rsidRPr="00653421">
        <w:rPr>
          <w:rFonts w:eastAsia="Calibri" w:cs="Tahoma"/>
          <w:color w:val="000000"/>
          <w:szCs w:val="18"/>
        </w:rPr>
        <w:t>no entanto, sua única opção de compra (“buy-out”) no final do</w:t>
      </w:r>
      <w:r w:rsidR="00CF471C" w:rsidRPr="00653421">
        <w:rPr>
          <w:rFonts w:eastAsia="Calibri" w:cs="Tahoma"/>
          <w:color w:val="000000"/>
          <w:szCs w:val="18"/>
        </w:rPr>
        <w:t> </w:t>
      </w:r>
      <w:r w:rsidRPr="00653421">
        <w:rPr>
          <w:rFonts w:eastAsia="Calibri" w:cs="Tahoma"/>
          <w:color w:val="000000"/>
          <w:szCs w:val="18"/>
        </w:rPr>
        <w:t>prazo do registro será para licenças principais.</w:t>
      </w:r>
    </w:p>
    <w:p w:rsidR="00C321B6" w:rsidRPr="00653421" w:rsidRDefault="00C321B6" w:rsidP="00CF471C">
      <w:pPr>
        <w:spacing w:line="160" w:lineRule="exact"/>
      </w:pPr>
    </w:p>
    <w:p w:rsidR="00C321B6" w:rsidRPr="00653421" w:rsidRDefault="00A81E83" w:rsidP="00C321B6">
      <w:pPr>
        <w:spacing w:after="60"/>
        <w:ind w:left="720"/>
      </w:pPr>
      <w:r w:rsidRPr="00653421">
        <w:rPr>
          <w:rFonts w:eastAsia="Calibri" w:cs="Tahoma"/>
          <w:b/>
          <w:color w:val="000000"/>
          <w:szCs w:val="18"/>
        </w:rPr>
        <w:t>Uso Contínuo do SQL Server 2008 R2 Enterprise</w:t>
      </w:r>
    </w:p>
    <w:p w:rsidR="00A81E83" w:rsidRPr="00653421" w:rsidRDefault="00A81E83" w:rsidP="00C321B6">
      <w:pPr>
        <w:ind w:left="720"/>
      </w:pPr>
      <w:r w:rsidRPr="00653421">
        <w:rPr>
          <w:rFonts w:eastAsia="Calibri" w:cs="Tahoma"/>
          <w:color w:val="000000"/>
          <w:szCs w:val="18"/>
        </w:rPr>
        <w:t>Os clientes de Software Assurance</w:t>
      </w:r>
      <w:r w:rsidR="005A52A2" w:rsidRPr="00653421">
        <w:rPr>
          <w:rFonts w:eastAsia="Calibri" w:cs="Tahoma"/>
          <w:b/>
          <w:bCs/>
          <w:color w:val="000000"/>
          <w:szCs w:val="18"/>
        </w:rPr>
        <w:t xml:space="preserve"> </w:t>
      </w:r>
      <w:r w:rsidRPr="00653421">
        <w:rPr>
          <w:rFonts w:eastAsia="Calibri" w:cs="Tahoma"/>
          <w:color w:val="000000"/>
          <w:szCs w:val="18"/>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5A52A2" w:rsidRPr="00653421">
        <w:rPr>
          <w:rFonts w:eastAsia="Calibri" w:cs="Tahoma"/>
          <w:color w:val="000000"/>
          <w:szCs w:val="18"/>
        </w:rPr>
        <w:t xml:space="preserve"> </w:t>
      </w:r>
      <w:r w:rsidRPr="00653421">
        <w:rPr>
          <w:rFonts w:eastAsia="Calibri" w:cs="Tahoma"/>
          <w:color w:val="000000"/>
          <w:szCs w:val="18"/>
        </w:rPr>
        <w:t>Os</w:t>
      </w:r>
      <w:r w:rsidR="00CF471C" w:rsidRPr="00653421">
        <w:rPr>
          <w:rFonts w:eastAsia="Calibri" w:cs="Tahoma"/>
          <w:color w:val="000000"/>
          <w:szCs w:val="18"/>
        </w:rPr>
        <w:t> </w:t>
      </w:r>
      <w:r w:rsidRPr="00653421">
        <w:rPr>
          <w:rFonts w:eastAsia="Calibri" w:cs="Tahoma"/>
          <w:color w:val="000000"/>
          <w:szCs w:val="18"/>
        </w:rPr>
        <w:t>clientes que usam o SQL Server 2008 R2 Enterprise sob diretos de fazer downgrade sob as licenças adquiridas depois da renovação de sua cobertura deverão usar o software sob os direitos de uso da versão</w:t>
      </w:r>
      <w:r w:rsidR="00CF471C" w:rsidRPr="00653421">
        <w:rPr>
          <w:rFonts w:eastAsia="Calibri" w:cs="Tahoma"/>
          <w:color w:val="000000"/>
          <w:szCs w:val="18"/>
        </w:rPr>
        <w:t> </w:t>
      </w:r>
      <w:r w:rsidRPr="00653421">
        <w:rPr>
          <w:rFonts w:eastAsia="Calibri" w:cs="Tahoma"/>
          <w:color w:val="000000"/>
          <w:szCs w:val="18"/>
        </w:rPr>
        <w:t>licenciada.</w:t>
      </w:r>
    </w:p>
    <w:p w:rsidR="00C321B6" w:rsidRPr="00653421" w:rsidRDefault="00C321B6" w:rsidP="00CF471C">
      <w:pPr>
        <w:spacing w:line="160" w:lineRule="exact"/>
      </w:pPr>
    </w:p>
    <w:p w:rsidR="00C321B6" w:rsidRPr="00653421" w:rsidRDefault="00A81E83" w:rsidP="00C321B6">
      <w:pPr>
        <w:spacing w:after="60"/>
        <w:ind w:left="720"/>
      </w:pPr>
      <w:r w:rsidRPr="00653421">
        <w:rPr>
          <w:rFonts w:eastAsia="Calibri" w:cs="Tahoma"/>
          <w:b/>
          <w:color w:val="000000"/>
          <w:szCs w:val="18"/>
        </w:rPr>
        <w:t>Para os clientes localizados na República Popular da China e para os que estão adquirindo licenças e Software Assurance para SQL Server 2008 R2</w:t>
      </w:r>
    </w:p>
    <w:p w:rsidR="00A81E83" w:rsidRDefault="00A81E83" w:rsidP="00C321B6">
      <w:pPr>
        <w:ind w:left="720"/>
      </w:pPr>
      <w:r w:rsidRPr="00653421">
        <w:t>As referências a 1</w:t>
      </w:r>
      <w:r w:rsidRPr="00653421">
        <w:rPr>
          <w:vertAlign w:val="superscript"/>
        </w:rPr>
        <w:t>º</w:t>
      </w:r>
      <w:r w:rsidRPr="00653421">
        <w:t xml:space="preserve"> de abril de 2012 nesta nota da lista de produtos não são aplicáveis. A data aplicável para esses clientes é 1</w:t>
      </w:r>
      <w:r w:rsidRPr="00653421">
        <w:rPr>
          <w:vertAlign w:val="superscript"/>
        </w:rPr>
        <w:t>º</w:t>
      </w:r>
      <w:r w:rsidRPr="00653421">
        <w:t xml:space="preserve"> de julho de 2012.</w:t>
      </w:r>
    </w:p>
    <w:p w:rsidR="00E53811" w:rsidRDefault="00E53811" w:rsidP="00C321B6">
      <w:pPr>
        <w:ind w:left="720"/>
      </w:pPr>
    </w:p>
    <w:p w:rsidR="00E53811" w:rsidRDefault="00E53811" w:rsidP="00C321B6">
      <w:pPr>
        <w:ind w:left="720"/>
      </w:pPr>
    </w:p>
    <w:p w:rsidR="00E53811" w:rsidRDefault="00E53811" w:rsidP="00C321B6">
      <w:pPr>
        <w:ind w:left="720"/>
      </w:pPr>
    </w:p>
    <w:p w:rsidR="00E53811" w:rsidRDefault="00E53811" w:rsidP="00C321B6">
      <w:pPr>
        <w:ind w:left="720"/>
      </w:pPr>
    </w:p>
    <w:p w:rsidR="00E53811" w:rsidRDefault="00E53811" w:rsidP="00C321B6">
      <w:pPr>
        <w:ind w:left="720"/>
      </w:pPr>
    </w:p>
    <w:p w:rsidR="00E53811" w:rsidRPr="00653421" w:rsidRDefault="00E53811" w:rsidP="00C321B6">
      <w:pPr>
        <w:ind w:left="720"/>
      </w:pPr>
    </w:p>
    <w:p w:rsidR="00A81E83" w:rsidRPr="00653421" w:rsidRDefault="00A81E83" w:rsidP="00CF471C">
      <w:pPr>
        <w:spacing w:line="160" w:lineRule="exact"/>
      </w:pPr>
    </w:p>
    <w:p w:rsidR="00A81E83" w:rsidRPr="00653421" w:rsidRDefault="00A81E83" w:rsidP="00CF471C">
      <w:pPr>
        <w:spacing w:line="160" w:lineRule="exact"/>
      </w:pPr>
    </w:p>
    <w:p w:rsidR="00A81E83" w:rsidRPr="00653421" w:rsidRDefault="00F66FB0" w:rsidP="00EF5637">
      <w:pPr>
        <w:pStyle w:val="Heading3"/>
      </w:pPr>
      <w:bookmarkStart w:id="1456" w:name="_80_SQL_Server®"/>
      <w:bookmarkStart w:id="1457" w:name="_81_SQL_Server®"/>
      <w:bookmarkStart w:id="1458" w:name="_Toc336338347"/>
      <w:bookmarkStart w:id="1459" w:name="_Toc353470987"/>
      <w:bookmarkStart w:id="1460" w:name="Srv_89SQLServer2012EnterpriseCore"/>
      <w:bookmarkEnd w:id="1456"/>
      <w:bookmarkEnd w:id="1457"/>
      <w:r w:rsidRPr="00653421">
        <w:rPr>
          <w:rFonts w:ascii="Tahoma" w:hAnsi="Tahoma"/>
          <w:caps/>
          <w:color w:val="F66400"/>
          <w:sz w:val="22"/>
          <w:vertAlign w:val="superscript"/>
        </w:rPr>
        <w:lastRenderedPageBreak/>
        <w:t>81</w:t>
      </w:r>
      <w:r w:rsidRPr="00653421">
        <w:rPr>
          <w:rFonts w:ascii="Tahoma" w:hAnsi="Tahoma"/>
          <w:caps/>
          <w:color w:val="F66400"/>
          <w:sz w:val="22"/>
        </w:rPr>
        <w:t xml:space="preserve"> </w:t>
      </w:r>
      <w:r w:rsidRPr="00653421">
        <w:rPr>
          <w:rFonts w:ascii="Tahoma" w:hAnsi="Tahoma"/>
          <w:color w:val="F66400"/>
          <w:sz w:val="22"/>
        </w:rPr>
        <w:t>SQL Server</w:t>
      </w:r>
      <w:r w:rsidRPr="00653421">
        <w:rPr>
          <w:rFonts w:ascii="Tahoma" w:hAnsi="Tahoma"/>
          <w:color w:val="F66400"/>
          <w:sz w:val="22"/>
          <w:vertAlign w:val="superscript"/>
        </w:rPr>
        <w:t>®</w:t>
      </w:r>
      <w:r w:rsidRPr="00653421">
        <w:rPr>
          <w:rFonts w:ascii="Tahoma" w:hAnsi="Tahoma"/>
          <w:color w:val="F66400"/>
          <w:sz w:val="22"/>
        </w:rPr>
        <w:t xml:space="preserve"> 2012 Enterprise Core</w:t>
      </w:r>
      <w:bookmarkEnd w:id="1458"/>
      <w:bookmarkEnd w:id="1459"/>
    </w:p>
    <w:bookmarkEnd w:id="1460"/>
    <w:p w:rsidR="00A81E83" w:rsidRPr="00653421" w:rsidRDefault="00A81E83" w:rsidP="00CF471C">
      <w:pPr>
        <w:pStyle w:val="EndnoteText"/>
        <w:spacing w:line="160" w:lineRule="exact"/>
        <w:ind w:left="0"/>
      </w:pPr>
    </w:p>
    <w:p w:rsidR="00C321B6" w:rsidRPr="00653421" w:rsidRDefault="00A81E83" w:rsidP="00C321B6">
      <w:pPr>
        <w:spacing w:after="60"/>
        <w:ind w:left="720"/>
      </w:pPr>
      <w:r w:rsidRPr="00653421">
        <w:rPr>
          <w:rFonts w:eastAsia="Calibri" w:cs="Tahoma"/>
          <w:b/>
          <w:color w:val="000000"/>
          <w:szCs w:val="18"/>
        </w:rPr>
        <w:t>Extensão dos Direitos de Uso da Virtualização Ilimitada para SQL Server 2008 R2 Enterprise (por processador)</w:t>
      </w:r>
    </w:p>
    <w:p w:rsidR="00A81E83" w:rsidRPr="00653421" w:rsidRDefault="00A81E83" w:rsidP="00C321B6">
      <w:pPr>
        <w:ind w:left="720"/>
      </w:pPr>
      <w:r w:rsidRPr="00653421">
        <w:rPr>
          <w:rFonts w:eastAsia="Calibri" w:cs="Tahoma"/>
          <w:color w:val="000000"/>
          <w:szCs w:val="18"/>
        </w:rPr>
        <w:t>Não obstante qualquer disposição em contrário nos Direitos de Uso do Produto ou nas versões anteriores da</w:t>
      </w:r>
      <w:r w:rsidR="00CF471C" w:rsidRPr="00653421">
        <w:rPr>
          <w:rFonts w:eastAsia="Calibri" w:cs="Tahoma"/>
          <w:color w:val="000000"/>
          <w:szCs w:val="18"/>
        </w:rPr>
        <w:t> </w:t>
      </w:r>
      <w:r w:rsidRPr="00653421">
        <w:rPr>
          <w:rFonts w:eastAsia="Calibri" w:cs="Tahoma"/>
          <w:color w:val="000000"/>
          <w:szCs w:val="18"/>
        </w:rPr>
        <w:t xml:space="preserve">Lista de Produtos, se um cliente tiver licenciado todos os processadores físicos em um servidor licenciado e mantiver Software Assurance ativo nessas licenças, o cliente poderá continuar a executar o software para servidores em um número ilimitado de ambientes do sistema operacional naquele servidor. </w:t>
      </w:r>
    </w:p>
    <w:p w:rsidR="00C321B6" w:rsidRPr="00653421" w:rsidRDefault="00C321B6" w:rsidP="00CF471C">
      <w:pPr>
        <w:spacing w:line="160" w:lineRule="exact"/>
      </w:pPr>
    </w:p>
    <w:p w:rsidR="00C321B6" w:rsidRPr="00653421" w:rsidRDefault="00A81E83" w:rsidP="00C321B6">
      <w:pPr>
        <w:spacing w:after="60"/>
        <w:ind w:left="720"/>
      </w:pPr>
      <w:r w:rsidRPr="00653421">
        <w:rPr>
          <w:rFonts w:eastAsia="Calibri" w:cs="Tahoma"/>
          <w:b/>
          <w:color w:val="000000"/>
          <w:szCs w:val="18"/>
        </w:rPr>
        <w:t>Outorgas de Licença Associadas à Alteração no Modelo de Licenciamento</w:t>
      </w:r>
    </w:p>
    <w:p w:rsidR="00A81E83" w:rsidRPr="00653421" w:rsidRDefault="00A81E83" w:rsidP="00C321B6">
      <w:pPr>
        <w:ind w:left="720"/>
      </w:pPr>
      <w:r w:rsidRPr="00653421">
        <w:rPr>
          <w:rFonts w:eastAsia="Calibri" w:cs="Tahoma"/>
          <w:color w:val="000000"/>
          <w:szCs w:val="18"/>
        </w:rPr>
        <w:t>O SQL Server 2008 R2 será a última versão do SQL Server licenciada sob o modelo de licenciamento por processador.</w:t>
      </w:r>
      <w:r w:rsidR="005A52A2" w:rsidRPr="00653421">
        <w:rPr>
          <w:rFonts w:eastAsia="Calibri" w:cs="Tahoma"/>
          <w:color w:val="000000"/>
          <w:szCs w:val="18"/>
        </w:rPr>
        <w:t xml:space="preserve"> </w:t>
      </w:r>
      <w:r w:rsidRPr="00653421">
        <w:rPr>
          <w:rFonts w:eastAsia="Calibri" w:cs="Tahoma"/>
          <w:color w:val="000000"/>
          <w:szCs w:val="18"/>
        </w:rPr>
        <w:t>Como uma exceção, aos clientes de licenciamento por volume com Software Assurance ativo</w:t>
      </w:r>
      <w:r w:rsidR="00CF471C" w:rsidRPr="00653421">
        <w:rPr>
          <w:rFonts w:eastAsia="Calibri" w:cs="Tahoma"/>
          <w:color w:val="000000"/>
          <w:szCs w:val="18"/>
        </w:rPr>
        <w:t> </w:t>
      </w:r>
      <w:r w:rsidRPr="00653421">
        <w:rPr>
          <w:rFonts w:eastAsia="Calibri" w:cs="Tahoma"/>
          <w:color w:val="000000"/>
          <w:szCs w:val="18"/>
        </w:rPr>
        <w:t xml:space="preserve">para licenças do processador do SQL Server 2008 R2 Enterprise em 1º de abril de 2012 (“licenças qualificadas”) são concedidas as seguintes opções. As licenças do processador do SQL Server 2008 R2 Enterprise </w:t>
      </w:r>
      <w:r w:rsidRPr="00653421">
        <w:rPr>
          <w:rFonts w:cs="Tahoma"/>
          <w:bCs/>
          <w:color w:val="000000"/>
          <w:szCs w:val="18"/>
        </w:rPr>
        <w:t>adquiridas posteriormente no mesmo prazo de registro, mas antes de 1º de abril de 2015 como</w:t>
      </w:r>
      <w:r w:rsidR="00CF471C" w:rsidRPr="00653421">
        <w:rPr>
          <w:rFonts w:cs="Tahoma"/>
          <w:bCs/>
          <w:color w:val="000000"/>
          <w:szCs w:val="18"/>
        </w:rPr>
        <w:t> </w:t>
      </w:r>
      <w:r w:rsidRPr="00653421">
        <w:rPr>
          <w:rFonts w:cs="Tahoma"/>
          <w:bCs/>
          <w:color w:val="000000"/>
          <w:szCs w:val="18"/>
        </w:rPr>
        <w:t>parte de um processo de adequação (“true-up”) programado do cliente Enterprise, Enterprise Subscription, Open Value Subscription ou EES também são “licenças qualificadas” para fins dessas opções.</w:t>
      </w:r>
      <w:r w:rsidR="005A52A2" w:rsidRPr="00653421">
        <w:rPr>
          <w:rFonts w:cs="Tahoma"/>
          <w:bCs/>
          <w:color w:val="000000"/>
          <w:szCs w:val="18"/>
        </w:rPr>
        <w:t xml:space="preserve"> </w:t>
      </w:r>
      <w:r w:rsidRPr="00653421">
        <w:rPr>
          <w:rFonts w:cs="Tahoma"/>
          <w:bCs/>
          <w:color w:val="000000"/>
          <w:szCs w:val="18"/>
        </w:rPr>
        <w:t>As licenças adquiridas depois de 1º de abril de 2015 ou sob um prazo de registro subsequente, um contrato</w:t>
      </w:r>
      <w:r w:rsidR="00CF471C" w:rsidRPr="00653421">
        <w:rPr>
          <w:rFonts w:cs="Tahoma"/>
          <w:bCs/>
          <w:color w:val="000000"/>
          <w:szCs w:val="18"/>
        </w:rPr>
        <w:t> </w:t>
      </w:r>
      <w:r w:rsidRPr="00653421">
        <w:rPr>
          <w:rFonts w:cs="Tahoma"/>
          <w:bCs/>
          <w:color w:val="000000"/>
          <w:szCs w:val="18"/>
        </w:rPr>
        <w:t>separado ou qualquer registro com uma data de início de vigência após 1º de abril de 2012 não são licenças qualificadas.</w:t>
      </w:r>
    </w:p>
    <w:p w:rsidR="00F94F25" w:rsidRPr="00653421" w:rsidRDefault="00F94F25" w:rsidP="00F94F25">
      <w:pPr>
        <w:spacing w:after="60"/>
        <w:ind w:left="720"/>
      </w:pPr>
      <w:r w:rsidRPr="00653421">
        <w:rPr>
          <w:rFonts w:eastAsia="Calibri" w:cs="Tahoma"/>
          <w:b/>
          <w:color w:val="000000"/>
          <w:szCs w:val="18"/>
        </w:rPr>
        <w:t>Prazo Atual</w:t>
      </w:r>
    </w:p>
    <w:p w:rsidR="00A81E83" w:rsidRPr="00653421" w:rsidRDefault="00A81E83" w:rsidP="00F94F25">
      <w:pPr>
        <w:ind w:left="720"/>
      </w:pPr>
      <w:r w:rsidRPr="00653421">
        <w:rPr>
          <w:rFonts w:eastAsia="Calibri" w:cs="Tahoma"/>
          <w:color w:val="000000"/>
          <w:szCs w:val="18"/>
        </w:rPr>
        <w:t>Durante o prazo atual da sua cobertura de Software Assurance a partir de 1º de abril de 2012, os clientes (incluindo aqueles sob contratos de assinatura) podem, sob qualquer licença qualificada, atualizar e usar o</w:t>
      </w:r>
      <w:r w:rsidR="00E30396" w:rsidRPr="00653421">
        <w:rPr>
          <w:rFonts w:eastAsia="Calibri" w:cs="Tahoma"/>
          <w:color w:val="000000"/>
          <w:szCs w:val="18"/>
        </w:rPr>
        <w:t> </w:t>
      </w:r>
      <w:r w:rsidRPr="00653421">
        <w:rPr>
          <w:rFonts w:eastAsia="Calibri" w:cs="Tahoma"/>
          <w:color w:val="000000"/>
          <w:szCs w:val="18"/>
        </w:rPr>
        <w:t>SQL Server 2012 Enterprise Core em vez do SQL Server 2008 R2 Enterprise sujeito aos direitos de uso do</w:t>
      </w:r>
      <w:r w:rsidR="00E30396" w:rsidRPr="00653421">
        <w:rPr>
          <w:rFonts w:eastAsia="Calibri" w:cs="Tahoma"/>
          <w:color w:val="000000"/>
          <w:szCs w:val="18"/>
        </w:rPr>
        <w:t> </w:t>
      </w:r>
      <w:r w:rsidRPr="00653421">
        <w:rPr>
          <w:rFonts w:eastAsia="Calibri" w:cs="Tahoma"/>
          <w:color w:val="000000"/>
          <w:szCs w:val="18"/>
        </w:rPr>
        <w:t xml:space="preserve">produto de licença do processador do SQL Server 2008 R2 Enterprise (conforme os Direitos de Uso do Produto de janeiro de 2012). </w:t>
      </w:r>
    </w:p>
    <w:p w:rsidR="00F94F25" w:rsidRDefault="00F94F25" w:rsidP="00F94F25">
      <w:pPr>
        <w:ind w:left="720"/>
      </w:pPr>
    </w:p>
    <w:p w:rsidR="00F94F25" w:rsidRPr="00653421" w:rsidRDefault="00A81E83" w:rsidP="00F94F25">
      <w:pPr>
        <w:spacing w:after="60"/>
        <w:ind w:left="720"/>
      </w:pPr>
      <w:r w:rsidRPr="00653421">
        <w:rPr>
          <w:rFonts w:eastAsia="Calibri" w:cs="Tahoma"/>
          <w:b/>
          <w:color w:val="000000"/>
          <w:szCs w:val="18"/>
        </w:rPr>
        <w:t>Primeiro Prazo de Renovação (antes de 1º de abril de 2015)</w:t>
      </w:r>
    </w:p>
    <w:p w:rsidR="00A81E83" w:rsidRPr="00653421" w:rsidRDefault="00A81E83" w:rsidP="00F94F25">
      <w:pPr>
        <w:tabs>
          <w:tab w:val="left" w:pos="1440"/>
        </w:tabs>
        <w:ind w:left="720"/>
      </w:pPr>
      <w:r w:rsidRPr="00653421">
        <w:rPr>
          <w:rFonts w:eastAsia="Calibri" w:cs="Tahoma"/>
          <w:color w:val="000000"/>
          <w:szCs w:val="18"/>
        </w:rPr>
        <w:t>Na sua primeira renovação de Software Assurance em ou depois de 1º de abril de 2012 (mas antes de 1º</w:t>
      </w:r>
      <w:r w:rsidR="00E30396" w:rsidRPr="00653421">
        <w:rPr>
          <w:rFonts w:eastAsia="Calibri" w:cs="Tahoma"/>
          <w:color w:val="000000"/>
          <w:szCs w:val="18"/>
        </w:rPr>
        <w:t> </w:t>
      </w:r>
      <w:r w:rsidRPr="00653421">
        <w:rPr>
          <w:rFonts w:eastAsia="Calibri" w:cs="Tahoma"/>
          <w:color w:val="000000"/>
          <w:szCs w:val="18"/>
        </w:rPr>
        <w:t>de abril de 2015), para cada servidor que um cliente tiver licenciado corretamente sob os direitos de uso</w:t>
      </w:r>
      <w:r w:rsidR="00E30396" w:rsidRPr="00653421">
        <w:rPr>
          <w:rFonts w:eastAsia="Calibri" w:cs="Tahoma"/>
          <w:color w:val="000000"/>
          <w:szCs w:val="18"/>
        </w:rPr>
        <w:t> </w:t>
      </w:r>
      <w:r w:rsidRPr="00653421">
        <w:rPr>
          <w:rFonts w:eastAsia="Calibri" w:cs="Tahoma"/>
          <w:color w:val="000000"/>
          <w:szCs w:val="18"/>
        </w:rPr>
        <w:t>do produto da licença do processador do SQL Server 2008 R2, o cliente poderá adquirir licenças principais do Software Assurance para SQL Server Enterprise sem adquirir as licenças principais subjacentes</w:t>
      </w:r>
      <w:r w:rsidR="00E30396" w:rsidRPr="00653421">
        <w:rPr>
          <w:rFonts w:eastAsia="Calibri" w:cs="Tahoma"/>
          <w:color w:val="000000"/>
          <w:szCs w:val="18"/>
        </w:rPr>
        <w:t> </w:t>
      </w:r>
      <w:r w:rsidRPr="00653421">
        <w:rPr>
          <w:rFonts w:eastAsia="Calibri" w:cs="Tahoma"/>
          <w:color w:val="000000"/>
          <w:szCs w:val="18"/>
        </w:rPr>
        <w:t>para uma série de licenças principais iguais à soma de (a) e (b):</w:t>
      </w:r>
    </w:p>
    <w:p w:rsidR="002512D3" w:rsidRPr="00653421" w:rsidRDefault="002512D3"/>
    <w:p w:rsidR="00A81E83" w:rsidRPr="00653421" w:rsidRDefault="00A81E83" w:rsidP="00F94F25">
      <w:pPr>
        <w:numPr>
          <w:ilvl w:val="0"/>
          <w:numId w:val="144"/>
        </w:numPr>
        <w:tabs>
          <w:tab w:val="left" w:pos="1800"/>
        </w:tabs>
        <w:spacing w:after="60"/>
        <w:ind w:left="1440"/>
      </w:pPr>
      <w:r w:rsidRPr="00653421">
        <w:rPr>
          <w:rFonts w:eastAsia="Calibri" w:cs="Tahoma"/>
          <w:color w:val="000000"/>
          <w:szCs w:val="18"/>
        </w:rPr>
        <w:t>um número igual ao menor número de licenças qualificadas atribuído ao servidor ou o número total</w:t>
      </w:r>
      <w:r w:rsidR="00071601">
        <w:rPr>
          <w:rFonts w:eastAsia="Calibri" w:cs="Tahoma"/>
          <w:color w:val="000000"/>
          <w:szCs w:val="18"/>
        </w:rPr>
        <w:t> </w:t>
      </w:r>
      <w:r w:rsidRPr="00653421">
        <w:rPr>
          <w:rFonts w:eastAsia="Calibri" w:cs="Tahoma"/>
          <w:color w:val="000000"/>
          <w:szCs w:val="18"/>
        </w:rPr>
        <w:t xml:space="preserve">de processadores físicos no servidor multiplicado pelo maior de: </w:t>
      </w:r>
    </w:p>
    <w:p w:rsidR="00A81E83" w:rsidRPr="00653421" w:rsidRDefault="00A81E83" w:rsidP="00F94F25">
      <w:pPr>
        <w:numPr>
          <w:ilvl w:val="3"/>
          <w:numId w:val="112"/>
        </w:numPr>
        <w:tabs>
          <w:tab w:val="left" w:pos="2160"/>
        </w:tabs>
        <w:spacing w:after="60"/>
        <w:ind w:left="2160"/>
      </w:pPr>
      <w:r w:rsidRPr="00653421">
        <w:rPr>
          <w:rFonts w:eastAsia="Calibri" w:cs="Tahoma"/>
          <w:color w:val="000000"/>
          <w:szCs w:val="18"/>
        </w:rPr>
        <w:t>Quatro OU</w:t>
      </w:r>
    </w:p>
    <w:p w:rsidR="00A81E83" w:rsidRPr="00653421" w:rsidRDefault="00A81E83" w:rsidP="00F94F25">
      <w:pPr>
        <w:numPr>
          <w:ilvl w:val="3"/>
          <w:numId w:val="112"/>
        </w:numPr>
        <w:tabs>
          <w:tab w:val="left" w:pos="2160"/>
        </w:tabs>
        <w:spacing w:after="60"/>
        <w:ind w:left="2160"/>
      </w:pPr>
      <w:r w:rsidRPr="00653421">
        <w:rPr>
          <w:rFonts w:eastAsia="Calibri" w:cs="Tahoma"/>
          <w:color w:val="000000"/>
          <w:szCs w:val="18"/>
        </w:rPr>
        <w:t>o número real de núcleos por processador físico multiplicado pelo fator do núcleo apropriado.</w:t>
      </w:r>
      <w:r w:rsidR="005A52A2" w:rsidRPr="00653421">
        <w:rPr>
          <w:rFonts w:eastAsia="Calibri" w:cs="Tahoma"/>
          <w:color w:val="000000"/>
          <w:szCs w:val="18"/>
        </w:rPr>
        <w:t xml:space="preserve"> </w:t>
      </w:r>
      <w:r w:rsidRPr="00653421">
        <w:rPr>
          <w:rFonts w:eastAsia="Calibri" w:cs="Tahoma"/>
          <w:color w:val="000000"/>
          <w:szCs w:val="18"/>
        </w:rPr>
        <w:t>(Nos casos em que o número real de núcleos por processador físico excede quatro, os clientes devem manter um registro da configuração do software SQ</w:t>
      </w:r>
      <w:r w:rsidR="00392523" w:rsidRPr="00653421">
        <w:rPr>
          <w:rFonts w:eastAsia="Calibri" w:cs="Tahoma"/>
          <w:color w:val="000000"/>
          <w:szCs w:val="18"/>
        </w:rPr>
        <w:t>L Server executando no servidor</w:t>
      </w:r>
      <w:r w:rsidRPr="00653421">
        <w:rPr>
          <w:rFonts w:eastAsia="Calibri" w:cs="Tahoma"/>
          <w:color w:val="000000"/>
          <w:szCs w:val="18"/>
        </w:rPr>
        <w:t xml:space="preserve"> </w:t>
      </w:r>
      <w:r w:rsidR="00392523" w:rsidRPr="00653421">
        <w:rPr>
          <w:rFonts w:eastAsia="Calibri" w:cs="Tahoma"/>
          <w:color w:val="000000"/>
          <w:szCs w:val="18"/>
        </w:rPr>
        <w:t>(</w:t>
      </w:r>
      <w:r w:rsidRPr="00653421">
        <w:rPr>
          <w:rFonts w:eastAsia="Calibri" w:cs="Tahoma"/>
          <w:color w:val="000000"/>
          <w:szCs w:val="18"/>
        </w:rPr>
        <w:t>instâncias licenciadas executando em ambientes do sistema operacional no servidor licenciado) e o hardware físico oferecendo suporte ao software que está antecedendo a renovação do Software Assurance usando a ferramenta Microsoft</w:t>
      </w:r>
      <w:r w:rsidR="00071601">
        <w:rPr>
          <w:rFonts w:eastAsia="Calibri" w:cs="Tahoma"/>
          <w:color w:val="000000"/>
          <w:szCs w:val="18"/>
        </w:rPr>
        <w:t> </w:t>
      </w:r>
      <w:r w:rsidRPr="00653421">
        <w:rPr>
          <w:rFonts w:eastAsia="Calibri" w:cs="Tahoma"/>
          <w:color w:val="000000"/>
          <w:szCs w:val="18"/>
        </w:rPr>
        <w:t xml:space="preserve">MAP ou qualquer software equivalente.) </w:t>
      </w:r>
    </w:p>
    <w:p w:rsidR="00A81E83" w:rsidRPr="00653421" w:rsidRDefault="00A81E83" w:rsidP="00F94F25">
      <w:pPr>
        <w:numPr>
          <w:ilvl w:val="0"/>
          <w:numId w:val="144"/>
        </w:numPr>
        <w:tabs>
          <w:tab w:val="left" w:pos="1800"/>
        </w:tabs>
        <w:spacing w:after="60"/>
        <w:ind w:left="1440"/>
      </w:pPr>
      <w:r w:rsidRPr="00653421">
        <w:rPr>
          <w:rFonts w:eastAsia="Calibri" w:cs="Tahoma"/>
          <w:color w:val="000000"/>
          <w:szCs w:val="18"/>
        </w:rPr>
        <w:t>um número igual ao número das licenças qualificadas atribuído ao servidor em excesso do número real de processadores físicos no servidor multiplicado por quatro.</w:t>
      </w:r>
    </w:p>
    <w:p w:rsidR="00E53811" w:rsidRPr="00653421" w:rsidRDefault="00E53811" w:rsidP="00F94F25">
      <w:pPr>
        <w:tabs>
          <w:tab w:val="left" w:pos="1800"/>
        </w:tabs>
        <w:ind w:left="1080"/>
      </w:pPr>
    </w:p>
    <w:p w:rsidR="00F94F25" w:rsidRPr="00653421" w:rsidRDefault="007A34E3" w:rsidP="00F94F25">
      <w:pPr>
        <w:spacing w:after="60"/>
        <w:ind w:left="720"/>
      </w:pPr>
      <w:r w:rsidRPr="00653421">
        <w:rPr>
          <w:rFonts w:eastAsia="Calibri" w:cs="Tahoma"/>
          <w:b/>
          <w:color w:val="000000"/>
          <w:szCs w:val="18"/>
        </w:rPr>
        <w:t>Primeiro Prazo de Renovação em ou após 1º de abril de 2015</w:t>
      </w:r>
    </w:p>
    <w:p w:rsidR="00A81E83" w:rsidRPr="00653421" w:rsidRDefault="00A81E83" w:rsidP="00F94F25">
      <w:pPr>
        <w:ind w:left="720"/>
      </w:pPr>
      <w:r w:rsidRPr="00653421">
        <w:rPr>
          <w:rFonts w:eastAsia="Calibri" w:cs="Tahoma"/>
          <w:color w:val="000000"/>
          <w:szCs w:val="18"/>
        </w:rPr>
        <w:t>Os clientes que renovaram primeiro a cobertura em ou depois de 1</w:t>
      </w:r>
      <w:r w:rsidRPr="00653421">
        <w:rPr>
          <w:rFonts w:eastAsia="Calibri" w:cs="Tahoma"/>
          <w:color w:val="000000"/>
          <w:szCs w:val="18"/>
          <w:vertAlign w:val="superscript"/>
        </w:rPr>
        <w:t>o</w:t>
      </w:r>
      <w:r w:rsidRPr="00653421">
        <w:rPr>
          <w:rFonts w:eastAsia="Calibri" w:cs="Tahoma"/>
          <w:color w:val="000000"/>
          <w:szCs w:val="18"/>
        </w:rPr>
        <w:t xml:space="preserve"> de abril de 2015</w:t>
      </w:r>
      <w:r w:rsidRPr="00653421">
        <w:rPr>
          <w:rFonts w:eastAsia="Calibri" w:cs="Tahoma"/>
          <w:szCs w:val="18"/>
        </w:rPr>
        <w:t xml:space="preserve"> poderão, para qualquer servidor no qual eles estejam devidamente licenciados sob os direitos de uso do produto da licença</w:t>
      </w:r>
      <w:r w:rsidR="00E30396" w:rsidRPr="00653421">
        <w:rPr>
          <w:rFonts w:eastAsia="Calibri" w:cs="Tahoma"/>
          <w:szCs w:val="18"/>
        </w:rPr>
        <w:t> </w:t>
      </w:r>
      <w:r w:rsidRPr="00653421">
        <w:rPr>
          <w:rFonts w:eastAsia="Calibri" w:cs="Tahoma"/>
          <w:szCs w:val="18"/>
        </w:rPr>
        <w:t>do processador SQK Server 2008 R2, adquirir o Software Assurance, como pode ser visto a seguir:</w:t>
      </w:r>
    </w:p>
    <w:p w:rsidR="00F94F25" w:rsidRPr="00653421" w:rsidRDefault="00F94F25" w:rsidP="00F94F25">
      <w:pPr>
        <w:ind w:left="720"/>
      </w:pPr>
    </w:p>
    <w:p w:rsidR="00A81E83" w:rsidRPr="00653421" w:rsidRDefault="00A81E83" w:rsidP="00F94F25">
      <w:pPr>
        <w:numPr>
          <w:ilvl w:val="3"/>
          <w:numId w:val="113"/>
        </w:numPr>
        <w:spacing w:after="60"/>
        <w:ind w:left="1440" w:hanging="360"/>
      </w:pPr>
      <w:r w:rsidRPr="00653421">
        <w:rPr>
          <w:rFonts w:eastAsia="Calibri" w:cs="Tahoma"/>
          <w:szCs w:val="18"/>
        </w:rPr>
        <w:t>Conforme fornecido no primeiro parágrafo desta nota do produto, as licenças adquiridas antes de 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renovar o SA de acordo com os</w:t>
      </w:r>
      <w:r w:rsidR="00E30396" w:rsidRPr="00653421">
        <w:rPr>
          <w:rFonts w:eastAsia="Calibri" w:cs="Tahoma"/>
          <w:szCs w:val="18"/>
        </w:rPr>
        <w:t> </w:t>
      </w:r>
      <w:r w:rsidRPr="00653421">
        <w:rPr>
          <w:rFonts w:eastAsia="Calibri" w:cs="Tahoma"/>
          <w:szCs w:val="18"/>
        </w:rPr>
        <w:t>termos na seção “Primeiro Prazo de Renovação (Antes de 1</w:t>
      </w:r>
      <w:r w:rsidRPr="00653421">
        <w:rPr>
          <w:rFonts w:eastAsia="Calibri" w:cs="Tahoma"/>
          <w:szCs w:val="18"/>
          <w:vertAlign w:val="superscript"/>
        </w:rPr>
        <w:t>º</w:t>
      </w:r>
      <w:r w:rsidRPr="00653421">
        <w:rPr>
          <w:rFonts w:eastAsia="Calibri" w:cs="Tahoma"/>
          <w:szCs w:val="18"/>
        </w:rPr>
        <w:t xml:space="preserve"> de abril de 2015)</w:t>
      </w:r>
      <w:r w:rsidR="00C133AB" w:rsidRPr="00653421">
        <w:rPr>
          <w:rFonts w:eastAsia="Calibri" w:cs="Tahoma"/>
          <w:szCs w:val="18"/>
        </w:rPr>
        <w:t>”</w:t>
      </w:r>
      <w:r w:rsidRPr="00653421">
        <w:rPr>
          <w:rFonts w:eastAsia="Calibri" w:cs="Tahoma"/>
          <w:szCs w:val="18"/>
        </w:rPr>
        <w:t xml:space="preserve"> acima e</w:t>
      </w:r>
    </w:p>
    <w:p w:rsidR="00A81E83" w:rsidRPr="00653421" w:rsidRDefault="00A81E83" w:rsidP="00F94F25">
      <w:pPr>
        <w:numPr>
          <w:ilvl w:val="3"/>
          <w:numId w:val="113"/>
        </w:numPr>
        <w:spacing w:after="60"/>
        <w:ind w:left="1440" w:hanging="360"/>
      </w:pPr>
      <w:r w:rsidRPr="00653421">
        <w:rPr>
          <w:rFonts w:eastAsia="Calibri" w:cs="Tahoma"/>
          <w:szCs w:val="18"/>
        </w:rPr>
        <w:lastRenderedPageBreak/>
        <w:t>Para as licenças adquiridas depois de 1</w:t>
      </w:r>
      <w:r w:rsidRPr="00653421">
        <w:rPr>
          <w:rFonts w:eastAsia="Calibri" w:cs="Tahoma"/>
          <w:szCs w:val="18"/>
          <w:vertAlign w:val="superscript"/>
        </w:rPr>
        <w:t>º</w:t>
      </w:r>
      <w:r w:rsidRPr="00653421">
        <w:rPr>
          <w:rFonts w:eastAsia="Calibri" w:cs="Tahoma"/>
          <w:szCs w:val="18"/>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E30396" w:rsidRPr="00653421">
        <w:rPr>
          <w:rFonts w:eastAsia="Calibri" w:cs="Tahoma"/>
          <w:szCs w:val="18"/>
        </w:rPr>
        <w:t> </w:t>
      </w:r>
      <w:r w:rsidRPr="00653421">
        <w:rPr>
          <w:rFonts w:eastAsia="Calibri" w:cs="Tahoma"/>
          <w:szCs w:val="18"/>
        </w:rPr>
        <w:t>cliente tem que adquirir licenças principais adicionais.</w:t>
      </w:r>
    </w:p>
    <w:p w:rsidR="00A81E83" w:rsidRPr="00653421" w:rsidRDefault="00A81E83" w:rsidP="00F94F25">
      <w:pPr>
        <w:numPr>
          <w:ilvl w:val="0"/>
          <w:numId w:val="64"/>
        </w:numPr>
        <w:spacing w:after="60"/>
        <w:ind w:left="1440"/>
      </w:pPr>
      <w:r w:rsidRPr="00653421">
        <w:rPr>
          <w:rFonts w:eastAsia="Calibri" w:cs="Tahoma"/>
          <w:color w:val="000000"/>
          <w:szCs w:val="18"/>
        </w:rPr>
        <w:t xml:space="preserve">As licenças do processador dos clientes não são mais válidas na aquisição do Software Assurance para as licenças principais sob esta oferta. </w:t>
      </w:r>
      <w:r w:rsidRPr="00653421">
        <w:rPr>
          <w:rFonts w:eastAsia="Calibri" w:cs="Tahoma"/>
          <w:szCs w:val="18"/>
        </w:rPr>
        <w:t>A opção de adquirir o Software Assurance para licenças principais do SQL Server não é aplicável à renovação de cobertura sob os programas de assinatura.</w:t>
      </w:r>
      <w:r w:rsidR="005A52A2" w:rsidRPr="00653421">
        <w:rPr>
          <w:rFonts w:eastAsia="Calibri" w:cs="Tahoma"/>
          <w:szCs w:val="18"/>
        </w:rPr>
        <w:t xml:space="preserve"> </w:t>
      </w:r>
    </w:p>
    <w:p w:rsidR="00F94F25" w:rsidRPr="00653421" w:rsidRDefault="00F94F25" w:rsidP="00F94F25">
      <w:pPr>
        <w:ind w:left="1440"/>
      </w:pPr>
    </w:p>
    <w:p w:rsidR="00204D6D" w:rsidRPr="00653421" w:rsidRDefault="00A81E83" w:rsidP="00204D6D">
      <w:pPr>
        <w:tabs>
          <w:tab w:val="left" w:pos="1440"/>
        </w:tabs>
        <w:spacing w:after="60"/>
        <w:ind w:left="720"/>
      </w:pPr>
      <w:r w:rsidRPr="00653421">
        <w:rPr>
          <w:rFonts w:eastAsia="Calibri" w:cs="Tahoma"/>
          <w:b/>
          <w:color w:val="000000"/>
          <w:szCs w:val="18"/>
        </w:rPr>
        <w:t>Para os clientes com cobertura de Software Assurance que expiram antes de 1º de abril de</w:t>
      </w:r>
      <w:r w:rsidR="00CC6362" w:rsidRPr="00653421">
        <w:rPr>
          <w:rFonts w:eastAsia="Calibri" w:cs="Tahoma"/>
          <w:b/>
          <w:color w:val="000000"/>
          <w:szCs w:val="18"/>
        </w:rPr>
        <w:t> </w:t>
      </w:r>
      <w:r w:rsidRPr="00653421">
        <w:rPr>
          <w:rFonts w:eastAsia="Calibri" w:cs="Tahoma"/>
          <w:b/>
          <w:color w:val="000000"/>
          <w:szCs w:val="18"/>
        </w:rPr>
        <w:t>2015 que optaram pela não renovação</w:t>
      </w:r>
    </w:p>
    <w:p w:rsidR="00A81E83" w:rsidRPr="00653421" w:rsidRDefault="00A81E83" w:rsidP="00204D6D">
      <w:pPr>
        <w:tabs>
          <w:tab w:val="left" w:pos="1440"/>
        </w:tabs>
        <w:ind w:left="720"/>
      </w:pPr>
      <w:r w:rsidRPr="00653421">
        <w:rPr>
          <w:rFonts w:eastAsia="Calibri" w:cs="Tahoma"/>
          <w:color w:val="000000"/>
          <w:szCs w:val="18"/>
        </w:rPr>
        <w:t xml:space="preserve">Os clientes do Enterprise Subscription </w:t>
      </w:r>
      <w:r w:rsidRPr="00653421">
        <w:rPr>
          <w:rFonts w:cs="Tahoma"/>
          <w:bCs/>
          <w:color w:val="000000"/>
          <w:szCs w:val="18"/>
        </w:rPr>
        <w:t xml:space="preserve">e Open Value Subscription </w:t>
      </w:r>
      <w:r w:rsidRPr="00653421">
        <w:rPr>
          <w:rFonts w:eastAsia="Calibri" w:cs="Tahoma"/>
          <w:color w:val="000000"/>
          <w:szCs w:val="18"/>
        </w:rPr>
        <w:t>com cobertura expirando antes de 1º</w:t>
      </w:r>
      <w:r w:rsidR="00E30396" w:rsidRPr="00653421">
        <w:rPr>
          <w:rFonts w:eastAsia="Calibri" w:cs="Tahoma"/>
          <w:color w:val="000000"/>
          <w:szCs w:val="18"/>
        </w:rPr>
        <w:t> </w:t>
      </w:r>
      <w:r w:rsidRPr="00653421">
        <w:rPr>
          <w:rFonts w:eastAsia="Calibri" w:cs="Tahoma"/>
          <w:color w:val="000000"/>
          <w:szCs w:val="18"/>
        </w:rPr>
        <w:t>de</w:t>
      </w:r>
      <w:r w:rsidR="00E30396" w:rsidRPr="00653421">
        <w:rPr>
          <w:rFonts w:eastAsia="Calibri" w:cs="Tahoma"/>
          <w:color w:val="000000"/>
          <w:szCs w:val="18"/>
        </w:rPr>
        <w:t> </w:t>
      </w:r>
      <w:r w:rsidRPr="00653421">
        <w:rPr>
          <w:rFonts w:eastAsia="Calibri" w:cs="Tahoma"/>
          <w:color w:val="000000"/>
          <w:szCs w:val="18"/>
        </w:rPr>
        <w:t>abril de 2015 que optarem por comprar licenças de processador e quaisquer outros clientes que adquirirem licenças perpétuas sob este contrato e optarem por não renovar o Software Assurance poderão</w:t>
      </w:r>
      <w:r w:rsidR="00E30396" w:rsidRPr="00653421">
        <w:rPr>
          <w:rFonts w:eastAsia="Calibri" w:cs="Tahoma"/>
          <w:color w:val="000000"/>
          <w:szCs w:val="18"/>
        </w:rPr>
        <w:t> </w:t>
      </w:r>
      <w:r w:rsidRPr="00653421">
        <w:rPr>
          <w:rFonts w:eastAsia="Calibri" w:cs="Tahoma"/>
          <w:color w:val="000000"/>
          <w:szCs w:val="18"/>
        </w:rPr>
        <w:t>executar o SQL Server 2008 R2 ou SQL Server 2012 sob essas licenças da seguinte forma:</w:t>
      </w:r>
    </w:p>
    <w:p w:rsidR="00204D6D" w:rsidRPr="00653421" w:rsidRDefault="00204D6D" w:rsidP="00204D6D">
      <w:pPr>
        <w:tabs>
          <w:tab w:val="left" w:pos="1440"/>
        </w:tabs>
        <w:ind w:left="720"/>
      </w:pPr>
    </w:p>
    <w:p w:rsidR="00A81E83" w:rsidRPr="00653421" w:rsidRDefault="00A81E83" w:rsidP="00204D6D">
      <w:pPr>
        <w:numPr>
          <w:ilvl w:val="0"/>
          <w:numId w:val="67"/>
        </w:numPr>
        <w:spacing w:after="60"/>
        <w:ind w:left="1440"/>
      </w:pPr>
      <w:r w:rsidRPr="00653421">
        <w:rPr>
          <w:rFonts w:eastAsia="Calibri" w:cs="Tahoma"/>
          <w:b/>
          <w:color w:val="000000"/>
          <w:szCs w:val="18"/>
        </w:rPr>
        <w:t>SQL Server 2008 R2 Enterprise:</w:t>
      </w:r>
      <w:r w:rsidRPr="00653421">
        <w:rPr>
          <w:rFonts w:eastAsia="Calibri" w:cs="Tahoma"/>
          <w:color w:val="000000"/>
          <w:szCs w:val="18"/>
        </w:rPr>
        <w:t xml:space="preserve"> O uso contínuo desta versão do software está sujeito aos</w:t>
      </w:r>
      <w:r w:rsidR="00E30396" w:rsidRPr="00653421">
        <w:rPr>
          <w:rFonts w:eastAsia="Calibri" w:cs="Tahoma"/>
          <w:color w:val="000000"/>
          <w:szCs w:val="18"/>
        </w:rPr>
        <w:t> </w:t>
      </w:r>
      <w:r w:rsidRPr="00653421">
        <w:rPr>
          <w:rFonts w:eastAsia="Calibri" w:cs="Tahoma"/>
          <w:color w:val="000000"/>
          <w:szCs w:val="18"/>
        </w:rPr>
        <w:t>direitos de uso do produto de licença do processador do SQL Server 2008 R2 Enterprise; no</w:t>
      </w:r>
      <w:r w:rsidR="00E30396" w:rsidRPr="00653421">
        <w:rPr>
          <w:rFonts w:eastAsia="Calibri" w:cs="Tahoma"/>
          <w:color w:val="000000"/>
          <w:szCs w:val="18"/>
        </w:rPr>
        <w:t> </w:t>
      </w:r>
      <w:r w:rsidRPr="00653421">
        <w:rPr>
          <w:rFonts w:eastAsia="Calibri" w:cs="Tahoma"/>
          <w:color w:val="000000"/>
          <w:szCs w:val="18"/>
        </w:rPr>
        <w:t xml:space="preserve">entanto, os clientes não têm mais os direitos de uso da Virtualização Ilimitada nem de Mobilidade de Licenças por meio de Software Assurance. </w:t>
      </w:r>
    </w:p>
    <w:p w:rsidR="00A81E83" w:rsidRPr="00653421" w:rsidRDefault="00A81E83" w:rsidP="00204D6D">
      <w:pPr>
        <w:numPr>
          <w:ilvl w:val="0"/>
          <w:numId w:val="67"/>
        </w:numPr>
        <w:tabs>
          <w:tab w:val="left" w:pos="1800"/>
        </w:tabs>
        <w:spacing w:after="60"/>
        <w:ind w:left="1440"/>
      </w:pPr>
      <w:r w:rsidRPr="00653421">
        <w:rPr>
          <w:rFonts w:eastAsia="Calibri" w:cs="Tahoma"/>
          <w:b/>
          <w:color w:val="000000"/>
          <w:szCs w:val="18"/>
        </w:rPr>
        <w:t xml:space="preserve">SQL Server 2012 Enterprise Core: </w:t>
      </w:r>
      <w:r w:rsidRPr="00653421">
        <w:rPr>
          <w:rFonts w:eastAsia="Calibri" w:cs="Tahoma"/>
          <w:color w:val="000000"/>
          <w:szCs w:val="18"/>
        </w:rPr>
        <w:t>O uso desta versão do software está sujeito aos direitos de</w:t>
      </w:r>
      <w:r w:rsidR="00E30396" w:rsidRPr="00653421">
        <w:rPr>
          <w:rFonts w:eastAsia="Calibri" w:cs="Tahoma"/>
          <w:color w:val="000000"/>
          <w:szCs w:val="18"/>
        </w:rPr>
        <w:t> </w:t>
      </w:r>
      <w:r w:rsidRPr="00653421">
        <w:rPr>
          <w:rFonts w:eastAsia="Calibri" w:cs="Tahoma"/>
          <w:color w:val="000000"/>
          <w:szCs w:val="18"/>
        </w:rPr>
        <w:t xml:space="preserve">uso do produto de licença do processador do SQL Server 2008 R2 Enterprise, no entanto: </w:t>
      </w:r>
    </w:p>
    <w:p w:rsidR="00A81E83" w:rsidRPr="00653421" w:rsidRDefault="00A81E83" w:rsidP="00204D6D">
      <w:pPr>
        <w:numPr>
          <w:ilvl w:val="1"/>
          <w:numId w:val="67"/>
        </w:numPr>
        <w:tabs>
          <w:tab w:val="left" w:pos="2160"/>
        </w:tabs>
        <w:spacing w:after="60"/>
        <w:ind w:left="2160"/>
      </w:pPr>
      <w:r w:rsidRPr="00653421">
        <w:rPr>
          <w:rFonts w:eastAsia="Calibri" w:cs="Tahoma"/>
          <w:color w:val="000000"/>
          <w:szCs w:val="18"/>
        </w:rPr>
        <w:t xml:space="preserve">os clientes não têm mais direitos de uso de Virtualização Ilimitada, Mobilidade de Licença nos Farms de Servidores nem Mobilidade de Licença por meio de Software Assurance e </w:t>
      </w:r>
    </w:p>
    <w:p w:rsidR="00A81E83" w:rsidRPr="00653421" w:rsidRDefault="00A81E83" w:rsidP="00204D6D">
      <w:pPr>
        <w:numPr>
          <w:ilvl w:val="1"/>
          <w:numId w:val="67"/>
        </w:numPr>
        <w:tabs>
          <w:tab w:val="left" w:pos="2160"/>
          <w:tab w:val="left" w:pos="2970"/>
        </w:tabs>
        <w:spacing w:after="60"/>
        <w:ind w:left="2160"/>
      </w:pPr>
      <w:r w:rsidRPr="00653421">
        <w:rPr>
          <w:rFonts w:eastAsia="Calibri" w:cs="Tahoma"/>
          <w:color w:val="000000"/>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653421" w:rsidRDefault="00A81E83" w:rsidP="00204D6D">
      <w:pPr>
        <w:numPr>
          <w:ilvl w:val="2"/>
          <w:numId w:val="67"/>
        </w:numPr>
        <w:tabs>
          <w:tab w:val="left" w:pos="2520"/>
        </w:tabs>
        <w:spacing w:after="60"/>
        <w:ind w:left="2520"/>
      </w:pPr>
      <w:r w:rsidRPr="00653421">
        <w:rPr>
          <w:rFonts w:eastAsia="Calibri" w:cs="Tahoma"/>
          <w:color w:val="000000"/>
          <w:szCs w:val="18"/>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653421" w:rsidRDefault="00A81E83" w:rsidP="00204D6D">
      <w:pPr>
        <w:numPr>
          <w:ilvl w:val="4"/>
          <w:numId w:val="64"/>
        </w:numPr>
        <w:tabs>
          <w:tab w:val="left" w:pos="2880"/>
        </w:tabs>
        <w:spacing w:after="60"/>
        <w:ind w:left="2880"/>
      </w:pPr>
      <w:r w:rsidRPr="00653421">
        <w:rPr>
          <w:rFonts w:eastAsia="Calibri" w:cs="Tahoma"/>
          <w:color w:val="000000"/>
          <w:szCs w:val="18"/>
        </w:rPr>
        <w:t xml:space="preserve">quatro núcleos por licença de processador OU </w:t>
      </w:r>
    </w:p>
    <w:p w:rsidR="00A81E83" w:rsidRPr="00653421" w:rsidRDefault="00A81E83" w:rsidP="00204D6D">
      <w:pPr>
        <w:numPr>
          <w:ilvl w:val="4"/>
          <w:numId w:val="64"/>
        </w:numPr>
        <w:tabs>
          <w:tab w:val="left" w:pos="2880"/>
        </w:tabs>
        <w:spacing w:after="60"/>
        <w:ind w:left="2880"/>
      </w:pPr>
      <w:r w:rsidRPr="00653421">
        <w:rPr>
          <w:rFonts w:eastAsia="Calibri" w:cs="Tahoma"/>
          <w:color w:val="000000"/>
          <w:szCs w:val="18"/>
        </w:rPr>
        <w:t>um número de núcleos por licença do processador com base no número real de</w:t>
      </w:r>
      <w:r w:rsidR="00E30396" w:rsidRPr="00653421">
        <w:rPr>
          <w:rFonts w:eastAsia="Calibri" w:cs="Tahoma"/>
          <w:color w:val="000000"/>
          <w:szCs w:val="18"/>
        </w:rPr>
        <w:t> </w:t>
      </w:r>
      <w:r w:rsidRPr="00653421">
        <w:rPr>
          <w:rFonts w:eastAsia="Calibri" w:cs="Tahoma"/>
          <w:color w:val="000000"/>
          <w:szCs w:val="18"/>
        </w:rPr>
        <w:t>núcleos por processador físico multiplicado pelo fator de núcleo apropriado. (Nos casos em que o número real de núcleos por processador físico excede quatro, os clientes devem manter um registro da configuração do software SQ</w:t>
      </w:r>
      <w:r w:rsidR="00392523" w:rsidRPr="00653421">
        <w:rPr>
          <w:rFonts w:eastAsia="Calibri" w:cs="Tahoma"/>
          <w:color w:val="000000"/>
          <w:szCs w:val="18"/>
        </w:rPr>
        <w:t>L Server executando no servidor</w:t>
      </w:r>
      <w:r w:rsidRPr="00653421">
        <w:rPr>
          <w:rFonts w:eastAsia="Calibri" w:cs="Tahoma"/>
          <w:color w:val="000000"/>
          <w:szCs w:val="18"/>
        </w:rPr>
        <w:t xml:space="preserve"> </w:t>
      </w:r>
      <w:r w:rsidR="00392523" w:rsidRPr="00653421">
        <w:rPr>
          <w:rFonts w:eastAsia="Calibri" w:cs="Tahoma"/>
          <w:color w:val="000000"/>
          <w:szCs w:val="18"/>
        </w:rPr>
        <w:t>(</w:t>
      </w:r>
      <w:r w:rsidRPr="00653421">
        <w:rPr>
          <w:rFonts w:eastAsia="Calibri" w:cs="Tahoma"/>
          <w:color w:val="000000"/>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E53811" w:rsidRPr="00F22872" w:rsidRDefault="00A81E83" w:rsidP="00E53811">
      <w:pPr>
        <w:numPr>
          <w:ilvl w:val="2"/>
          <w:numId w:val="67"/>
        </w:numPr>
        <w:tabs>
          <w:tab w:val="left" w:pos="2520"/>
        </w:tabs>
        <w:spacing w:after="60"/>
        <w:ind w:left="2520"/>
        <w:rPr>
          <w:rFonts w:eastAsia="Calibri" w:cs="Tahoma"/>
          <w:color w:val="000000"/>
          <w:szCs w:val="18"/>
        </w:rPr>
      </w:pPr>
      <w:r w:rsidRPr="00F22872">
        <w:rPr>
          <w:rFonts w:eastAsia="Calibri" w:cs="Tahoma"/>
          <w:color w:val="000000"/>
          <w:szCs w:val="18"/>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A81E83" w:rsidRPr="00653421" w:rsidRDefault="00A81E83" w:rsidP="00204D6D">
      <w:pPr>
        <w:numPr>
          <w:ilvl w:val="1"/>
          <w:numId w:val="67"/>
        </w:numPr>
        <w:tabs>
          <w:tab w:val="left" w:pos="1800"/>
        </w:tabs>
        <w:spacing w:after="60"/>
        <w:ind w:left="1800"/>
      </w:pPr>
      <w:r w:rsidRPr="00653421">
        <w:rPr>
          <w:rFonts w:eastAsia="Calibri" w:cs="Tahoma"/>
          <w:color w:val="000000"/>
          <w:szCs w:val="18"/>
        </w:rPr>
        <w:t xml:space="preserve">Os Clientes </w:t>
      </w:r>
      <w:r w:rsidRPr="00653421">
        <w:rPr>
          <w:rFonts w:eastAsia="Calibri" w:cs="Tahoma"/>
          <w:szCs w:val="18"/>
        </w:rPr>
        <w:t>poderão transferir as Licenças para outro servidor. No entanto, se o cliente transferir uma licença para outro servidor, o cliente terá que seguir os direitos de uso do SQL</w:t>
      </w:r>
      <w:r w:rsidR="00E30396" w:rsidRPr="00653421">
        <w:rPr>
          <w:rFonts w:eastAsia="Calibri" w:cs="Tahoma"/>
          <w:szCs w:val="18"/>
        </w:rPr>
        <w:t> </w:t>
      </w:r>
      <w:r w:rsidRPr="00653421">
        <w:rPr>
          <w:rFonts w:eastAsia="Calibri" w:cs="Tahoma"/>
          <w:szCs w:val="18"/>
        </w:rPr>
        <w:t>Server 2012. Ao transferir licenças principais para servidores sob os direitos de uso do</w:t>
      </w:r>
      <w:r w:rsidR="00E30396" w:rsidRPr="00653421">
        <w:rPr>
          <w:rFonts w:eastAsia="Calibri" w:cs="Tahoma"/>
          <w:szCs w:val="18"/>
        </w:rPr>
        <w:t> </w:t>
      </w:r>
      <w:r w:rsidRPr="00653421">
        <w:rPr>
          <w:rFonts w:eastAsia="Calibri" w:cs="Tahoma"/>
          <w:szCs w:val="18"/>
        </w:rPr>
        <w:t>SQL 2012, o cliente poderá combinar a equivalência de núcleo de suas licenças existentes com as licenças principais do SQL Server 2012 adicionais.</w:t>
      </w:r>
    </w:p>
    <w:p w:rsidR="00A81E83" w:rsidRPr="00653421" w:rsidRDefault="00A81E83" w:rsidP="00204D6D">
      <w:pPr>
        <w:numPr>
          <w:ilvl w:val="1"/>
          <w:numId w:val="67"/>
        </w:numPr>
        <w:tabs>
          <w:tab w:val="left" w:pos="1800"/>
          <w:tab w:val="left" w:pos="2970"/>
        </w:tabs>
        <w:spacing w:after="60"/>
        <w:ind w:left="1800"/>
      </w:pPr>
      <w:r w:rsidRPr="00653421">
        <w:rPr>
          <w:rFonts w:eastAsia="Calibri" w:cs="Tahoma"/>
          <w:color w:val="000000"/>
          <w:szCs w:val="18"/>
        </w:rPr>
        <w:t>A equivalência de licença principal dos clientes não implica que eles podem atribuir uma única licença de processador a núcleos por dois ou mais processadores.</w:t>
      </w:r>
    </w:p>
    <w:p w:rsidR="00204D6D" w:rsidRDefault="00204D6D" w:rsidP="00204D6D">
      <w:pPr>
        <w:tabs>
          <w:tab w:val="left" w:pos="1800"/>
          <w:tab w:val="left" w:pos="2970"/>
        </w:tabs>
      </w:pPr>
    </w:p>
    <w:p w:rsidR="00F22872" w:rsidRDefault="00F22872" w:rsidP="00204D6D">
      <w:pPr>
        <w:tabs>
          <w:tab w:val="left" w:pos="1800"/>
          <w:tab w:val="left" w:pos="2970"/>
        </w:tabs>
      </w:pPr>
    </w:p>
    <w:p w:rsidR="00F22872" w:rsidRPr="00653421" w:rsidRDefault="00F22872" w:rsidP="00204D6D">
      <w:pPr>
        <w:tabs>
          <w:tab w:val="left" w:pos="1800"/>
          <w:tab w:val="left" w:pos="2970"/>
        </w:tabs>
      </w:pPr>
    </w:p>
    <w:p w:rsidR="00204D6D" w:rsidRPr="00653421" w:rsidRDefault="00A81E83" w:rsidP="00204D6D">
      <w:pPr>
        <w:tabs>
          <w:tab w:val="left" w:pos="720"/>
        </w:tabs>
        <w:spacing w:after="60"/>
        <w:ind w:left="720"/>
      </w:pPr>
      <w:r w:rsidRPr="00653421">
        <w:rPr>
          <w:rFonts w:eastAsia="Calibri" w:cs="Tahoma"/>
          <w:b/>
          <w:color w:val="000000"/>
          <w:szCs w:val="18"/>
        </w:rPr>
        <w:lastRenderedPageBreak/>
        <w:t>Para os clientes com cobertura de Software Assurance que expiram em ou depois de 1º</w:t>
      </w:r>
      <w:r w:rsidR="00E30396" w:rsidRPr="00653421">
        <w:rPr>
          <w:rFonts w:eastAsia="Calibri" w:cs="Tahoma"/>
          <w:b/>
          <w:color w:val="000000"/>
          <w:szCs w:val="18"/>
        </w:rPr>
        <w:t> </w:t>
      </w:r>
      <w:r w:rsidRPr="00653421">
        <w:rPr>
          <w:rFonts w:eastAsia="Calibri" w:cs="Tahoma"/>
          <w:b/>
          <w:color w:val="000000"/>
          <w:szCs w:val="18"/>
        </w:rPr>
        <w:t>de</w:t>
      </w:r>
      <w:r w:rsidR="00E30396" w:rsidRPr="00653421">
        <w:rPr>
          <w:rFonts w:eastAsia="Calibri" w:cs="Tahoma"/>
          <w:b/>
          <w:color w:val="000000"/>
          <w:szCs w:val="18"/>
        </w:rPr>
        <w:t> </w:t>
      </w:r>
      <w:r w:rsidRPr="00653421">
        <w:rPr>
          <w:rFonts w:eastAsia="Calibri" w:cs="Tahoma"/>
          <w:b/>
          <w:color w:val="000000"/>
          <w:szCs w:val="18"/>
        </w:rPr>
        <w:t>abril</w:t>
      </w:r>
      <w:r w:rsidR="00E30396" w:rsidRPr="00653421">
        <w:rPr>
          <w:rFonts w:eastAsia="Calibri" w:cs="Tahoma"/>
          <w:b/>
          <w:color w:val="000000"/>
          <w:szCs w:val="18"/>
        </w:rPr>
        <w:t> </w:t>
      </w:r>
      <w:r w:rsidRPr="00653421">
        <w:rPr>
          <w:rFonts w:eastAsia="Calibri" w:cs="Tahoma"/>
          <w:b/>
          <w:color w:val="000000"/>
          <w:szCs w:val="18"/>
        </w:rPr>
        <w:t>de 2015 que optaram pela não renovação</w:t>
      </w:r>
    </w:p>
    <w:p w:rsidR="00A81E83" w:rsidRPr="00653421" w:rsidRDefault="00A81E83" w:rsidP="00204D6D">
      <w:pPr>
        <w:tabs>
          <w:tab w:val="left" w:pos="720"/>
        </w:tabs>
        <w:ind w:left="720"/>
      </w:pPr>
      <w:r w:rsidRPr="00653421">
        <w:rPr>
          <w:rFonts w:eastAsia="Calibri" w:cs="Tahoma"/>
          <w:color w:val="000000"/>
          <w:szCs w:val="18"/>
        </w:rPr>
        <w:t xml:space="preserve">Os clientes do Enterprise Subscription </w:t>
      </w:r>
      <w:r w:rsidRPr="00653421">
        <w:rPr>
          <w:rFonts w:cs="Tahoma"/>
          <w:bCs/>
          <w:color w:val="000000"/>
          <w:szCs w:val="18"/>
        </w:rPr>
        <w:t xml:space="preserve">e Open Value Subscription </w:t>
      </w:r>
      <w:r w:rsidRPr="00653421">
        <w:rPr>
          <w:rFonts w:eastAsia="Calibri" w:cs="Tahoma"/>
          <w:color w:val="000000"/>
          <w:szCs w:val="18"/>
        </w:rPr>
        <w:t>com cobertura expirando em ou depois de</w:t>
      </w:r>
      <w:r w:rsidR="00E30396" w:rsidRPr="00653421">
        <w:rPr>
          <w:rFonts w:eastAsia="Calibri" w:cs="Tahoma"/>
          <w:color w:val="000000"/>
          <w:szCs w:val="18"/>
        </w:rPr>
        <w:t> </w:t>
      </w:r>
      <w:r w:rsidRPr="00653421">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rsidR="00204D6D" w:rsidRPr="00653421" w:rsidRDefault="00204D6D" w:rsidP="00204D6D">
      <w:pPr>
        <w:tabs>
          <w:tab w:val="left" w:pos="720"/>
        </w:tabs>
        <w:ind w:left="720"/>
      </w:pPr>
    </w:p>
    <w:p w:rsidR="00A81E83" w:rsidRPr="00653421" w:rsidRDefault="00A81E83" w:rsidP="00204D6D">
      <w:pPr>
        <w:numPr>
          <w:ilvl w:val="2"/>
          <w:numId w:val="64"/>
        </w:numPr>
        <w:spacing w:after="60"/>
        <w:ind w:left="1440"/>
      </w:pPr>
      <w:r w:rsidRPr="00653421">
        <w:rPr>
          <w:rFonts w:eastAsia="Calibri" w:cs="Tahoma"/>
          <w:szCs w:val="18"/>
        </w:rPr>
        <w:t>Conforme fornecido no primeiro parágrafo desta nota de produto, as licenças adquiridas antes de</w:t>
      </w:r>
      <w:r w:rsidR="00E30396" w:rsidRPr="00653421">
        <w:rPr>
          <w:rFonts w:eastAsia="Calibri" w:cs="Tahoma"/>
          <w:szCs w:val="18"/>
        </w:rPr>
        <w:t> </w:t>
      </w:r>
      <w:r w:rsidRPr="00653421">
        <w:rPr>
          <w:rFonts w:eastAsia="Calibri" w:cs="Tahoma"/>
          <w:szCs w:val="18"/>
        </w:rPr>
        <w:t>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continuar usar o SQL Server</w:t>
      </w:r>
      <w:r w:rsidR="00E30396" w:rsidRPr="00653421">
        <w:rPr>
          <w:rFonts w:eastAsia="Calibri" w:cs="Tahoma"/>
          <w:szCs w:val="18"/>
        </w:rPr>
        <w:t> </w:t>
      </w:r>
      <w:r w:rsidRPr="00653421">
        <w:rPr>
          <w:rFonts w:eastAsia="Calibri" w:cs="Tahoma"/>
          <w:szCs w:val="18"/>
        </w:rPr>
        <w:t>2012 de acordo com os termos na seção “Para Clientes com cobertura de Software Assurance antes de 1º de abril de 2015, que optou por não renovar” acima e</w:t>
      </w:r>
    </w:p>
    <w:p w:rsidR="00A81E83" w:rsidRPr="00653421" w:rsidRDefault="00A81E83" w:rsidP="00204D6D">
      <w:pPr>
        <w:numPr>
          <w:ilvl w:val="2"/>
          <w:numId w:val="64"/>
        </w:numPr>
        <w:spacing w:after="60"/>
        <w:ind w:left="1440"/>
      </w:pPr>
      <w:r w:rsidRPr="00653421">
        <w:rPr>
          <w:rFonts w:eastAsia="Calibri" w:cs="Tahoma"/>
          <w:szCs w:val="18"/>
        </w:rPr>
        <w:t>Para as licenças adquiridas depois de 1</w:t>
      </w:r>
      <w:r w:rsidRPr="00653421">
        <w:rPr>
          <w:rFonts w:eastAsia="Calibri" w:cs="Tahoma"/>
          <w:szCs w:val="18"/>
          <w:vertAlign w:val="superscript"/>
        </w:rPr>
        <w:t>º</w:t>
      </w:r>
      <w:r w:rsidRPr="00653421">
        <w:rPr>
          <w:rFonts w:eastAsia="Calibri" w:cs="Tahoma"/>
          <w:szCs w:val="18"/>
        </w:rPr>
        <w:t xml:space="preserve"> de abril de 2015, a licença do processador de clientes terá</w:t>
      </w:r>
      <w:r w:rsidR="00E30396" w:rsidRPr="00653421">
        <w:rPr>
          <w:rFonts w:eastAsia="Calibri" w:cs="Tahoma"/>
          <w:szCs w:val="18"/>
        </w:rPr>
        <w:t> </w:t>
      </w:r>
      <w:r w:rsidRPr="00653421">
        <w:rPr>
          <w:rFonts w:eastAsia="Calibri" w:cs="Tahoma"/>
          <w:szCs w:val="18"/>
        </w:rPr>
        <w:t>uma equivalência de núcleo de quatro licenças principais do SQL Server 2012 Enterprise. Para</w:t>
      </w:r>
      <w:r w:rsidR="00E30396" w:rsidRPr="00653421">
        <w:rPr>
          <w:rFonts w:eastAsia="Calibri" w:cs="Tahoma"/>
          <w:szCs w:val="18"/>
        </w:rPr>
        <w:t> </w:t>
      </w:r>
      <w:r w:rsidRPr="00653421">
        <w:rPr>
          <w:rFonts w:eastAsia="Calibri" w:cs="Tahoma"/>
          <w:szCs w:val="18"/>
        </w:rPr>
        <w:t>o uso contínuo do SQL Server 2012 em processadores que exigem mais de quatro licenças principais por processador, o cliente tem que adquirir licenças principais adicionais.</w:t>
      </w:r>
    </w:p>
    <w:p w:rsidR="00204D6D" w:rsidRPr="00653421" w:rsidRDefault="00204D6D" w:rsidP="00204D6D">
      <w:pPr>
        <w:ind w:left="1440"/>
      </w:pPr>
    </w:p>
    <w:p w:rsidR="00204D6D" w:rsidRPr="00653421" w:rsidRDefault="00A81E83" w:rsidP="00204D6D">
      <w:pPr>
        <w:tabs>
          <w:tab w:val="left" w:pos="720"/>
        </w:tabs>
        <w:spacing w:after="60"/>
        <w:ind w:left="720"/>
      </w:pPr>
      <w:r w:rsidRPr="00653421">
        <w:rPr>
          <w:b/>
        </w:rPr>
        <w:t>Para os clientes localizados na República Popular da</w:t>
      </w:r>
      <w:r w:rsidRPr="00653421">
        <w:t xml:space="preserve"> </w:t>
      </w:r>
      <w:r w:rsidRPr="00653421">
        <w:rPr>
          <w:b/>
        </w:rPr>
        <w:t>China e para os que estão adquirindo licenças de processador e Software Assurance para SQL Server 2008 R2</w:t>
      </w:r>
    </w:p>
    <w:p w:rsidR="006E28CC" w:rsidRPr="00653421" w:rsidRDefault="00A81E83" w:rsidP="00204D6D">
      <w:pPr>
        <w:tabs>
          <w:tab w:val="left" w:pos="720"/>
        </w:tabs>
        <w:ind w:left="720"/>
      </w:pPr>
      <w:r w:rsidRPr="00653421">
        <w:t>As referências a 1</w:t>
      </w:r>
      <w:r w:rsidRPr="00653421">
        <w:rPr>
          <w:vertAlign w:val="superscript"/>
        </w:rPr>
        <w:t>º</w:t>
      </w:r>
      <w:r w:rsidRPr="00653421">
        <w:t xml:space="preserve"> de abril de 2012 e 1</w:t>
      </w:r>
      <w:r w:rsidRPr="00653421">
        <w:rPr>
          <w:vertAlign w:val="superscript"/>
        </w:rPr>
        <w:t>º</w:t>
      </w:r>
      <w:r w:rsidRPr="00653421">
        <w:t xml:space="preserve"> de abril de 2015 nesta nota da lista de produtos não são aplicáveis. As datas aplicáveis para esses clientes são 1</w:t>
      </w:r>
      <w:r w:rsidRPr="00653421">
        <w:rPr>
          <w:vertAlign w:val="superscript"/>
        </w:rPr>
        <w:t>º</w:t>
      </w:r>
      <w:r w:rsidRPr="00653421">
        <w:t xml:space="preserve"> de julho de 2012 e 1</w:t>
      </w:r>
      <w:r w:rsidRPr="00653421">
        <w:rPr>
          <w:vertAlign w:val="superscript"/>
        </w:rPr>
        <w:t>º</w:t>
      </w:r>
      <w:r w:rsidRPr="00653421">
        <w:t xml:space="preserve"> de julho de 2015, respectivamente.</w:t>
      </w:r>
    </w:p>
    <w:p w:rsidR="00E30396" w:rsidRPr="00653421" w:rsidRDefault="00E30396" w:rsidP="00204D6D">
      <w:pPr>
        <w:tabs>
          <w:tab w:val="left" w:pos="720"/>
        </w:tabs>
        <w:ind w:left="720"/>
      </w:pPr>
    </w:p>
    <w:p w:rsidR="00E30396" w:rsidRPr="00653421" w:rsidRDefault="00E30396" w:rsidP="00204D6D">
      <w:pPr>
        <w:tabs>
          <w:tab w:val="left" w:pos="720"/>
        </w:tabs>
        <w:ind w:left="720"/>
      </w:pPr>
    </w:p>
    <w:p w:rsidR="006E28CC" w:rsidRPr="00653421" w:rsidRDefault="00F66FB0" w:rsidP="006E28CC">
      <w:pPr>
        <w:pStyle w:val="Heading3"/>
      </w:pPr>
      <w:bookmarkStart w:id="1461" w:name="_80_SQL_Server"/>
      <w:bookmarkStart w:id="1462" w:name="_81_SQL_Server"/>
      <w:bookmarkStart w:id="1463" w:name="_82_SQL_Server"/>
      <w:bookmarkStart w:id="1464" w:name="_Toc353470988"/>
      <w:bookmarkEnd w:id="1461"/>
      <w:bookmarkEnd w:id="1462"/>
      <w:bookmarkEnd w:id="1463"/>
      <w:r w:rsidRPr="00653421">
        <w:rPr>
          <w:rFonts w:ascii="Tahoma" w:hAnsi="Tahoma"/>
          <w:caps/>
          <w:color w:val="F66400"/>
          <w:sz w:val="22"/>
          <w:vertAlign w:val="superscript"/>
        </w:rPr>
        <w:t>82</w:t>
      </w:r>
      <w:r w:rsidR="005B07BD" w:rsidRPr="00653421">
        <w:rPr>
          <w:rFonts w:ascii="Tahoma" w:hAnsi="Tahoma"/>
          <w:color w:val="F66400"/>
          <w:sz w:val="22"/>
        </w:rPr>
        <w:t xml:space="preserve"> SQL Server</w:t>
      </w:r>
      <w:r w:rsidRPr="00653421">
        <w:rPr>
          <w:rFonts w:ascii="Tahoma" w:hAnsi="Tahoma"/>
          <w:color w:val="F66400"/>
          <w:sz w:val="22"/>
          <w:vertAlign w:val="superscript"/>
        </w:rPr>
        <w:t>®</w:t>
      </w:r>
      <w:r w:rsidRPr="00653421">
        <w:rPr>
          <w:rFonts w:ascii="Tahoma" w:hAnsi="Tahoma"/>
          <w:color w:val="F66400"/>
          <w:sz w:val="22"/>
        </w:rPr>
        <w:t xml:space="preserve"> 2012 Parallel Data Warehouse</w:t>
      </w:r>
      <w:bookmarkEnd w:id="1464"/>
    </w:p>
    <w:p w:rsidR="006E28CC" w:rsidRPr="00653421" w:rsidRDefault="006E28CC" w:rsidP="006E28CC">
      <w:pPr>
        <w:pStyle w:val="EndnoteText"/>
      </w:pPr>
    </w:p>
    <w:p w:rsidR="000A30EE" w:rsidRPr="00653421" w:rsidRDefault="000A30EE" w:rsidP="000A30EE">
      <w:pPr>
        <w:spacing w:after="60"/>
        <w:ind w:left="720"/>
      </w:pPr>
      <w:r w:rsidRPr="00653421">
        <w:rPr>
          <w:rFonts w:eastAsia="Calibri" w:cs="Tahoma"/>
          <w:b/>
          <w:color w:val="000000"/>
          <w:szCs w:val="18"/>
        </w:rPr>
        <w:t>Outorgas de Licença Associadas à Alteração no Modelo de Licenciamento</w:t>
      </w:r>
    </w:p>
    <w:p w:rsidR="000A30EE" w:rsidRPr="00653421" w:rsidRDefault="000A30EE" w:rsidP="000A30EE">
      <w:pPr>
        <w:ind w:left="720"/>
      </w:pPr>
      <w:r w:rsidRPr="00653421">
        <w:rPr>
          <w:rFonts w:eastAsia="Calibri" w:cs="Tahoma"/>
          <w:color w:val="000000"/>
          <w:szCs w:val="18"/>
        </w:rPr>
        <w:t>O SQL Server 2008 R2 será a última versão do SQL Server Parallel Data Warehouse licenciada sob o modelo</w:t>
      </w:r>
      <w:r w:rsidR="00E30396" w:rsidRPr="00653421">
        <w:rPr>
          <w:rFonts w:eastAsia="Calibri" w:cs="Tahoma"/>
          <w:color w:val="000000"/>
          <w:szCs w:val="18"/>
        </w:rPr>
        <w:t> </w:t>
      </w:r>
      <w:r w:rsidRPr="00653421">
        <w:rPr>
          <w:rFonts w:eastAsia="Calibri" w:cs="Tahoma"/>
          <w:color w:val="000000"/>
          <w:szCs w:val="18"/>
        </w:rPr>
        <w:t>de licenciamento por processador.</w:t>
      </w:r>
      <w:r w:rsidR="005A52A2" w:rsidRPr="00653421">
        <w:rPr>
          <w:rFonts w:eastAsia="Calibri" w:cs="Tahoma"/>
          <w:color w:val="000000"/>
          <w:szCs w:val="18"/>
        </w:rPr>
        <w:t xml:space="preserve"> </w:t>
      </w:r>
      <w:r w:rsidRPr="00653421">
        <w:rPr>
          <w:rFonts w:eastAsia="Calibri" w:cs="Tahoma"/>
          <w:color w:val="000000"/>
          <w:szCs w:val="18"/>
        </w:rPr>
        <w:t>Como uma exceção, aos clientes de licenciamento por volume com Software Assurance ativo para licenças do processador do SQL Server 2008 R2 Parallel Data Warehouse em 1</w:t>
      </w:r>
      <w:r w:rsidRPr="00653421">
        <w:rPr>
          <w:rFonts w:eastAsia="Calibri" w:cs="Tahoma"/>
          <w:color w:val="000000"/>
          <w:szCs w:val="18"/>
          <w:vertAlign w:val="superscript"/>
        </w:rPr>
        <w:t>º</w:t>
      </w:r>
      <w:r w:rsidRPr="00653421">
        <w:rPr>
          <w:rFonts w:eastAsia="Calibri" w:cs="Tahoma"/>
          <w:color w:val="000000"/>
          <w:szCs w:val="18"/>
        </w:rPr>
        <w:t xml:space="preserve"> de março de 2013 (“licenças qualificadas”) são concedidas as seguintes opções. As licenças do processador do SQL Server 2008 R2 Parallel Data Warehouse </w:t>
      </w:r>
      <w:r w:rsidRPr="00653421">
        <w:rPr>
          <w:rFonts w:cs="Tahoma"/>
          <w:bCs/>
          <w:color w:val="000000"/>
          <w:szCs w:val="18"/>
        </w:rPr>
        <w:t>adquiridas posteriormente no mesmo prazo de registro como parte de um processo de adequação (“true-up”) programado do cliente Enterprise ou Enterprise Subscription também são “licenças de qualificação” para fins dessas opções.</w:t>
      </w:r>
    </w:p>
    <w:p w:rsidR="000A30EE" w:rsidRPr="00653421" w:rsidRDefault="000A30EE" w:rsidP="000A30EE">
      <w:pPr>
        <w:ind w:left="720"/>
      </w:pPr>
    </w:p>
    <w:p w:rsidR="000A30EE" w:rsidRPr="00653421" w:rsidRDefault="000A30EE" w:rsidP="000A30EE">
      <w:pPr>
        <w:numPr>
          <w:ilvl w:val="0"/>
          <w:numId w:val="67"/>
        </w:numPr>
        <w:spacing w:after="60"/>
        <w:ind w:left="1440"/>
      </w:pPr>
      <w:r w:rsidRPr="00653421">
        <w:rPr>
          <w:rFonts w:eastAsia="Calibri" w:cs="Tahoma"/>
          <w:color w:val="000000"/>
          <w:szCs w:val="18"/>
        </w:rPr>
        <w:t>Para cada licença qualificada que o cliente tiver, ele poderá atualizar para 8 licenças principais para o SQL Server 2012 Parallel Data Warehouse. Na atualização para SQL Server 2012, as licenças básicas do SQL Server 2008 R2 dos clientes não serão mais válidas.</w:t>
      </w:r>
    </w:p>
    <w:p w:rsidR="000A30EE" w:rsidRPr="00653421" w:rsidRDefault="000A30EE" w:rsidP="000A30EE"/>
    <w:p w:rsidR="000A30EE" w:rsidRPr="00653421" w:rsidRDefault="000A30EE" w:rsidP="000A30EE">
      <w:pPr>
        <w:spacing w:after="60"/>
        <w:ind w:left="720"/>
      </w:pPr>
      <w:r w:rsidRPr="00653421">
        <w:rPr>
          <w:rFonts w:eastAsia="Calibri" w:cs="Tahoma"/>
          <w:b/>
          <w:color w:val="000000"/>
          <w:szCs w:val="18"/>
        </w:rPr>
        <w:t>Outorga de Licença Padrão do System Center</w:t>
      </w:r>
    </w:p>
    <w:p w:rsidR="000A30EE" w:rsidRPr="00653421" w:rsidRDefault="000A30EE" w:rsidP="000A30EE">
      <w:pPr>
        <w:spacing w:after="60"/>
        <w:ind w:left="720"/>
      </w:pPr>
      <w:r w:rsidRPr="00653421">
        <w:rPr>
          <w:rFonts w:eastAsia="Calibri" w:cs="Tahoma"/>
          <w:color w:val="000000"/>
          <w:szCs w:val="18"/>
        </w:rPr>
        <w:t>Os clientes que também estão atualizando para o SQL Server 2012 Parallel Data Warehouse de acordo com as licenças de qualificação estarão qualificados para as outorgas de licença do System Center a seguir mediante sua atualização para o SQL Server 2012 Parallel Data Warehouse:</w:t>
      </w:r>
    </w:p>
    <w:p w:rsidR="000A30EE" w:rsidRPr="00653421" w:rsidRDefault="000A30EE" w:rsidP="000A30EE">
      <w:pPr>
        <w:numPr>
          <w:ilvl w:val="0"/>
          <w:numId w:val="67"/>
        </w:numPr>
        <w:spacing w:after="60"/>
        <w:ind w:left="1440"/>
      </w:pPr>
      <w:r w:rsidRPr="00653421">
        <w:rPr>
          <w:rFonts w:eastAsia="Calibri" w:cs="Tahoma"/>
          <w:color w:val="000000"/>
          <w:szCs w:val="18"/>
        </w:rPr>
        <w:t>Uma licença Padrão do System Center 2012 por servidor para cada servidor que esteja executando o software SQL Server 2012 Parallel Data Warehouse</w:t>
      </w:r>
    </w:p>
    <w:p w:rsidR="000A30EE" w:rsidRPr="00653421" w:rsidRDefault="000A30EE" w:rsidP="000A30EE">
      <w:pPr>
        <w:numPr>
          <w:ilvl w:val="0"/>
          <w:numId w:val="67"/>
        </w:numPr>
        <w:spacing w:after="60"/>
        <w:ind w:left="1440"/>
      </w:pPr>
      <w:r w:rsidRPr="00653421">
        <w:rPr>
          <w:rFonts w:eastAsia="Calibri" w:cs="Tahoma"/>
          <w:color w:val="000000"/>
          <w:szCs w:val="18"/>
        </w:rPr>
        <w:t>Duas licenças Padrão do System Center 2012 por servidor para todos os outros servidores no SQL Server 2012 Parallel Data Warehouse Appliance.</w:t>
      </w:r>
    </w:p>
    <w:p w:rsidR="000A30EE" w:rsidRPr="00653421" w:rsidRDefault="000A30EE" w:rsidP="00C964F5">
      <w:pPr>
        <w:spacing w:after="60"/>
        <w:ind w:left="720"/>
      </w:pPr>
      <w:r w:rsidRPr="00653421">
        <w:rPr>
          <w:rFonts w:eastAsia="Calibri" w:cs="Tahoma"/>
          <w:color w:val="000000"/>
          <w:szCs w:val="18"/>
        </w:rPr>
        <w:t>O software poderá ser usado unicamente para oferecer suporte ao SQL Server 2012 Parallel Data Warehouse Appliance.</w:t>
      </w:r>
    </w:p>
    <w:p w:rsidR="000A30EE" w:rsidRDefault="000A30EE" w:rsidP="000A30EE">
      <w:pPr>
        <w:spacing w:after="60"/>
        <w:ind w:firstLine="720"/>
      </w:pPr>
    </w:p>
    <w:p w:rsidR="00F22872" w:rsidRDefault="00F22872" w:rsidP="000A30EE">
      <w:pPr>
        <w:spacing w:after="60"/>
        <w:ind w:firstLine="720"/>
      </w:pPr>
    </w:p>
    <w:p w:rsidR="00F22872" w:rsidRDefault="00F22872" w:rsidP="000A30EE">
      <w:pPr>
        <w:spacing w:after="60"/>
        <w:ind w:firstLine="720"/>
      </w:pPr>
    </w:p>
    <w:p w:rsidR="00F22872" w:rsidRDefault="00F22872" w:rsidP="000A30EE">
      <w:pPr>
        <w:spacing w:after="60"/>
        <w:ind w:firstLine="720"/>
      </w:pPr>
    </w:p>
    <w:p w:rsidR="00F22872" w:rsidRDefault="00F22872" w:rsidP="000A30EE">
      <w:pPr>
        <w:spacing w:after="60"/>
        <w:ind w:firstLine="720"/>
      </w:pPr>
    </w:p>
    <w:p w:rsidR="00F22872" w:rsidRDefault="00F22872" w:rsidP="000A30EE">
      <w:pPr>
        <w:spacing w:after="60"/>
        <w:ind w:firstLine="720"/>
      </w:pPr>
    </w:p>
    <w:p w:rsidR="00F22872" w:rsidRDefault="00F22872" w:rsidP="000A30EE">
      <w:pPr>
        <w:spacing w:after="60"/>
        <w:ind w:firstLine="720"/>
      </w:pPr>
    </w:p>
    <w:p w:rsidR="00F22872" w:rsidRPr="00653421" w:rsidRDefault="00F22872" w:rsidP="000A30EE">
      <w:pPr>
        <w:spacing w:after="60"/>
        <w:ind w:firstLine="720"/>
      </w:pPr>
    </w:p>
    <w:p w:rsidR="000A30EE" w:rsidRPr="00653421" w:rsidRDefault="000A30EE" w:rsidP="000A30EE">
      <w:pPr>
        <w:tabs>
          <w:tab w:val="left" w:pos="1440"/>
        </w:tabs>
        <w:spacing w:after="60"/>
        <w:ind w:left="720"/>
      </w:pPr>
      <w:r w:rsidRPr="00653421">
        <w:rPr>
          <w:rFonts w:eastAsia="Calibri" w:cs="Tahoma"/>
          <w:b/>
          <w:color w:val="000000"/>
          <w:szCs w:val="18"/>
        </w:rPr>
        <w:lastRenderedPageBreak/>
        <w:t>Para os clientes com Software Assurance que optaram pela não renovação</w:t>
      </w:r>
    </w:p>
    <w:p w:rsidR="000A30EE" w:rsidRPr="00653421" w:rsidRDefault="000A30EE" w:rsidP="000A30EE">
      <w:pPr>
        <w:tabs>
          <w:tab w:val="left" w:pos="1440"/>
        </w:tabs>
        <w:ind w:left="720"/>
      </w:pPr>
      <w:r w:rsidRPr="00653421">
        <w:rPr>
          <w:rFonts w:eastAsia="Calibri" w:cs="Tahoma"/>
          <w:color w:val="000000"/>
          <w:szCs w:val="18"/>
        </w:rPr>
        <w:t>Os clientes do Enterprise Subscription com cobertura a partir de 1</w:t>
      </w:r>
      <w:r w:rsidRPr="00653421">
        <w:rPr>
          <w:rFonts w:eastAsia="Calibri" w:cs="Tahoma"/>
          <w:color w:val="000000"/>
          <w:szCs w:val="18"/>
          <w:vertAlign w:val="superscript"/>
        </w:rPr>
        <w:t>º</w:t>
      </w:r>
      <w:r w:rsidRPr="00653421">
        <w:rPr>
          <w:rFonts w:eastAsia="Calibri" w:cs="Tahoma"/>
          <w:color w:val="000000"/>
          <w:szCs w:val="18"/>
        </w:rPr>
        <w:t xml:space="preserve"> de março de 2013 que optarem por comprar licenças de processador e quaisquer outros clientes que adquirirem licenças de qualificação perpétuas sob este contrato e optarem por não renovar o Software Assurance poderão executar o SQL Server 2008 R2 ou SQL Server 2012 sob essas licenças da seguinte forma:</w:t>
      </w:r>
    </w:p>
    <w:p w:rsidR="000A30EE" w:rsidRPr="00653421" w:rsidRDefault="000A30EE" w:rsidP="000A30EE">
      <w:pPr>
        <w:tabs>
          <w:tab w:val="left" w:pos="1440"/>
        </w:tabs>
        <w:ind w:left="720"/>
      </w:pPr>
    </w:p>
    <w:p w:rsidR="000A30EE" w:rsidRPr="00653421" w:rsidRDefault="000A30EE" w:rsidP="000A30EE">
      <w:pPr>
        <w:numPr>
          <w:ilvl w:val="0"/>
          <w:numId w:val="67"/>
        </w:numPr>
        <w:spacing w:after="60"/>
        <w:ind w:left="1440"/>
      </w:pPr>
      <w:r w:rsidRPr="00653421">
        <w:rPr>
          <w:rFonts w:eastAsia="Calibri" w:cs="Tahoma"/>
          <w:b/>
          <w:color w:val="000000"/>
          <w:szCs w:val="18"/>
        </w:rPr>
        <w:t>SQL Server 2008 R2 Parallel Data Warehouse:</w:t>
      </w:r>
      <w:r w:rsidRPr="00653421">
        <w:rPr>
          <w:rFonts w:eastAsia="Calibri" w:cs="Tahoma"/>
          <w:color w:val="000000"/>
          <w:szCs w:val="18"/>
        </w:rPr>
        <w:t xml:space="preserve"> O uso contínuo do referido software está sujeito aos direitos de uso do produto de licença do SQL Server 2008 R2. </w:t>
      </w:r>
    </w:p>
    <w:p w:rsidR="000A30EE" w:rsidRPr="00653421" w:rsidRDefault="000A30EE" w:rsidP="000A30EE">
      <w:pPr>
        <w:numPr>
          <w:ilvl w:val="0"/>
          <w:numId w:val="67"/>
        </w:numPr>
        <w:tabs>
          <w:tab w:val="left" w:pos="1800"/>
        </w:tabs>
        <w:spacing w:after="60"/>
        <w:ind w:left="1440"/>
      </w:pPr>
      <w:r w:rsidRPr="00653421">
        <w:rPr>
          <w:rFonts w:eastAsia="Calibri" w:cs="Tahoma"/>
          <w:b/>
          <w:color w:val="000000"/>
          <w:szCs w:val="18"/>
        </w:rPr>
        <w:t xml:space="preserve">SQL Server 2012 Parallel Data Warehouse: </w:t>
      </w:r>
      <w:r w:rsidRPr="00653421">
        <w:rPr>
          <w:rFonts w:eastAsia="Calibri" w:cs="Tahoma"/>
          <w:color w:val="000000"/>
          <w:szCs w:val="18"/>
        </w:rPr>
        <w:t xml:space="preserve">O uso desta versão do software está sujeito aos direitos de uso do produto do SQL Server 2012 Parallel Data Warehouse. </w:t>
      </w:r>
    </w:p>
    <w:p w:rsidR="000A30EE" w:rsidRPr="00653421" w:rsidRDefault="000A30EE" w:rsidP="000A30EE">
      <w:pPr>
        <w:spacing w:after="60"/>
      </w:pPr>
    </w:p>
    <w:p w:rsidR="000A30EE" w:rsidRPr="00653421" w:rsidRDefault="000A30EE" w:rsidP="000A30EE">
      <w:pPr>
        <w:ind w:left="720"/>
      </w:pPr>
      <w:r w:rsidRPr="00653421">
        <w:rPr>
          <w:rFonts w:cs="Tahoma"/>
          <w:color w:val="000000"/>
          <w:szCs w:val="24"/>
        </w:rPr>
        <w:t xml:space="preserve">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rsidR="000A30EE" w:rsidRPr="00653421" w:rsidRDefault="000A30EE" w:rsidP="000A30EE">
      <w:pPr>
        <w:ind w:left="720"/>
      </w:pPr>
    </w:p>
    <w:p w:rsidR="00E30396" w:rsidRPr="00653421" w:rsidRDefault="000A30EE" w:rsidP="00E53811">
      <w:pPr>
        <w:ind w:left="720"/>
      </w:pPr>
      <w:r w:rsidRPr="00653421">
        <w:rPr>
          <w:rFonts w:cs="Tahoma"/>
          <w:color w:val="000000"/>
          <w:szCs w:val="24"/>
        </w:rPr>
        <w:t>O uso do software por um cliente sob esta oferta está sujeito aos termos e condições de seu contrato de</w:t>
      </w:r>
      <w:r w:rsidR="00E30396" w:rsidRPr="00653421">
        <w:rPr>
          <w:rFonts w:cs="Tahoma"/>
          <w:color w:val="000000"/>
          <w:szCs w:val="24"/>
        </w:rPr>
        <w:t> </w:t>
      </w:r>
      <w:r w:rsidRPr="00653421">
        <w:rPr>
          <w:rFonts w:cs="Tahoma"/>
          <w:color w:val="000000"/>
          <w:szCs w:val="24"/>
        </w:rPr>
        <w:t>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w:t>
      </w:r>
      <w:r w:rsidR="00E30396" w:rsidRPr="00653421">
        <w:rPr>
          <w:rFonts w:cs="Tahoma"/>
          <w:color w:val="000000"/>
          <w:szCs w:val="24"/>
        </w:rPr>
        <w:t> </w:t>
      </w:r>
      <w:r w:rsidRPr="00653421">
        <w:rPr>
          <w:rFonts w:cs="Tahoma"/>
          <w:color w:val="000000"/>
          <w:szCs w:val="24"/>
        </w:rPr>
        <w:t>licenças outorgadas sob esta oferta separadamente das licenças qualificadas correspondentes.</w:t>
      </w:r>
      <w:bookmarkStart w:id="1465" w:name="Srv_90SQLServer2012Standard"/>
    </w:p>
    <w:p w:rsidR="00E30396" w:rsidRPr="00653421" w:rsidRDefault="00E30396" w:rsidP="00C321B6">
      <w:pPr>
        <w:tabs>
          <w:tab w:val="left" w:pos="2970"/>
        </w:tabs>
        <w:ind w:left="1440"/>
      </w:pPr>
    </w:p>
    <w:p w:rsidR="00E30396" w:rsidRPr="00653421" w:rsidRDefault="00E30396" w:rsidP="00C321B6">
      <w:pPr>
        <w:tabs>
          <w:tab w:val="left" w:pos="2970"/>
        </w:tabs>
        <w:ind w:left="1440"/>
      </w:pPr>
    </w:p>
    <w:p w:rsidR="00A81E83" w:rsidRPr="00653421" w:rsidRDefault="00F66FB0" w:rsidP="00EF5637">
      <w:pPr>
        <w:pStyle w:val="Heading3"/>
      </w:pPr>
      <w:bookmarkStart w:id="1466" w:name="_82_SQL_Server®"/>
      <w:bookmarkStart w:id="1467" w:name="_83_SQL_Server®"/>
      <w:bookmarkStart w:id="1468" w:name="_Toc336338348"/>
      <w:bookmarkStart w:id="1469" w:name="_Toc353470989"/>
      <w:bookmarkEnd w:id="1466"/>
      <w:bookmarkEnd w:id="1467"/>
      <w:r w:rsidRPr="00653421">
        <w:rPr>
          <w:rFonts w:ascii="Tahoma" w:hAnsi="Tahoma"/>
          <w:caps/>
          <w:color w:val="F66400"/>
          <w:sz w:val="22"/>
          <w:vertAlign w:val="superscript"/>
        </w:rPr>
        <w:t>83</w:t>
      </w:r>
      <w:r w:rsidRPr="00653421">
        <w:rPr>
          <w:rFonts w:ascii="Tahoma" w:hAnsi="Tahoma"/>
          <w:color w:val="F66400"/>
          <w:sz w:val="22"/>
        </w:rPr>
        <w:t xml:space="preserve"> SQL Server</w:t>
      </w:r>
      <w:r w:rsidRPr="00653421">
        <w:rPr>
          <w:rFonts w:ascii="Tahoma" w:hAnsi="Tahoma"/>
          <w:color w:val="F66400"/>
          <w:sz w:val="22"/>
          <w:vertAlign w:val="superscript"/>
        </w:rPr>
        <w:t>®</w:t>
      </w:r>
      <w:r w:rsidRPr="00653421">
        <w:rPr>
          <w:rFonts w:ascii="Tahoma" w:hAnsi="Tahoma"/>
          <w:color w:val="F66400"/>
          <w:sz w:val="22"/>
        </w:rPr>
        <w:t xml:space="preserve"> 2012 Standard</w:t>
      </w:r>
      <w:bookmarkEnd w:id="1468"/>
      <w:bookmarkEnd w:id="1469"/>
      <w:r w:rsidRPr="00653421">
        <w:rPr>
          <w:rFonts w:ascii="Tahoma" w:hAnsi="Tahoma"/>
          <w:color w:val="F66400"/>
          <w:sz w:val="22"/>
        </w:rPr>
        <w:t xml:space="preserve"> </w:t>
      </w:r>
    </w:p>
    <w:bookmarkEnd w:id="1465"/>
    <w:p w:rsidR="00A81E83" w:rsidRPr="00653421" w:rsidRDefault="00A81E83" w:rsidP="00204D6D">
      <w:pPr>
        <w:pStyle w:val="EndnoteText"/>
        <w:ind w:left="0"/>
      </w:pPr>
    </w:p>
    <w:p w:rsidR="00A81E83" w:rsidRPr="00653421" w:rsidRDefault="00A81E83" w:rsidP="00204D6D">
      <w:pPr>
        <w:ind w:left="720"/>
      </w:pPr>
      <w:r w:rsidRPr="00653421">
        <w:rPr>
          <w:rFonts w:eastAsia="Calibri" w:cs="Tahoma"/>
          <w:szCs w:val="18"/>
        </w:rPr>
        <w:t>O SQL Server 2012 Standard é a próxima versão do SQL Server Standard, e a CAL do SQL Server 2012 é a</w:t>
      </w:r>
      <w:r w:rsidR="00E30396" w:rsidRPr="00653421">
        <w:rPr>
          <w:rFonts w:eastAsia="Calibri" w:cs="Tahoma"/>
          <w:szCs w:val="18"/>
        </w:rPr>
        <w:t> </w:t>
      </w:r>
      <w:r w:rsidRPr="00653421">
        <w:rPr>
          <w:rFonts w:eastAsia="Calibri" w:cs="Tahoma"/>
          <w:szCs w:val="18"/>
        </w:rPr>
        <w:t>próxima versão da CAL do SQL Server.</w:t>
      </w:r>
    </w:p>
    <w:p w:rsidR="00204D6D" w:rsidRPr="00653421" w:rsidRDefault="00204D6D" w:rsidP="00204D6D">
      <w:pPr>
        <w:ind w:left="720"/>
      </w:pPr>
    </w:p>
    <w:p w:rsidR="00204D6D" w:rsidRPr="00653421" w:rsidRDefault="00204D6D" w:rsidP="00204D6D">
      <w:pPr>
        <w:ind w:left="720"/>
      </w:pPr>
    </w:p>
    <w:p w:rsidR="00A81E83" w:rsidRPr="00653421" w:rsidRDefault="00F66FB0" w:rsidP="00EF5637">
      <w:pPr>
        <w:pStyle w:val="Heading3"/>
      </w:pPr>
      <w:bookmarkStart w:id="1470" w:name="_85_83_SQL"/>
      <w:bookmarkStart w:id="1471" w:name="_84_SQL_Server®"/>
      <w:bookmarkStart w:id="1472" w:name="_Toc336338349"/>
      <w:bookmarkStart w:id="1473" w:name="_Toc353470990"/>
      <w:bookmarkStart w:id="1474" w:name="Srv_91SQLServer2012StandardCore"/>
      <w:bookmarkEnd w:id="1470"/>
      <w:bookmarkEnd w:id="1471"/>
      <w:r w:rsidRPr="00653421">
        <w:rPr>
          <w:rFonts w:ascii="Tahoma" w:hAnsi="Tahoma" w:cs="Tahoma"/>
          <w:caps/>
          <w:color w:val="F66400"/>
          <w:sz w:val="22"/>
          <w:vertAlign w:val="superscript"/>
        </w:rPr>
        <w:t>84</w:t>
      </w:r>
      <w:r w:rsidRPr="00653421">
        <w:rPr>
          <w:rFonts w:ascii="Tahoma" w:hAnsi="Tahoma" w:cs="Tahoma"/>
          <w:color w:val="F66400"/>
          <w:sz w:val="22"/>
        </w:rPr>
        <w:t xml:space="preserve"> SQL Server</w:t>
      </w:r>
      <w:r w:rsidRPr="00653421">
        <w:rPr>
          <w:rFonts w:ascii="Tahoma" w:hAnsi="Tahoma" w:cs="Tahoma"/>
          <w:color w:val="F66400"/>
          <w:sz w:val="22"/>
          <w:vertAlign w:val="superscript"/>
        </w:rPr>
        <w:t>®</w:t>
      </w:r>
      <w:r w:rsidRPr="00653421">
        <w:rPr>
          <w:rFonts w:ascii="Tahoma" w:hAnsi="Tahoma" w:cs="Tahoma"/>
          <w:color w:val="F66400"/>
          <w:sz w:val="22"/>
        </w:rPr>
        <w:t xml:space="preserve"> 2012 Standard</w:t>
      </w:r>
      <w:r w:rsidRPr="00653421">
        <w:rPr>
          <w:rFonts w:ascii="Tahoma" w:eastAsia="Calibri" w:hAnsi="Tahoma" w:cs="Tahoma"/>
          <w:color w:val="F66400"/>
          <w:sz w:val="22"/>
          <w:szCs w:val="18"/>
        </w:rPr>
        <w:t xml:space="preserve"> Core</w:t>
      </w:r>
      <w:bookmarkEnd w:id="1472"/>
      <w:bookmarkEnd w:id="1473"/>
    </w:p>
    <w:bookmarkEnd w:id="1474"/>
    <w:p w:rsidR="00A81E83" w:rsidRPr="00653421" w:rsidRDefault="00A81E83" w:rsidP="0026723A"/>
    <w:p w:rsidR="0026723A" w:rsidRPr="00653421" w:rsidRDefault="00A81E83" w:rsidP="0026723A">
      <w:pPr>
        <w:spacing w:after="60"/>
        <w:ind w:left="720"/>
      </w:pPr>
      <w:r w:rsidRPr="00653421">
        <w:rPr>
          <w:rFonts w:eastAsia="Calibri" w:cs="Tahoma"/>
          <w:b/>
          <w:szCs w:val="18"/>
        </w:rPr>
        <w:t>Outorgas de Licença Associadas à Alteração no Modelo de Licenciamento</w:t>
      </w:r>
    </w:p>
    <w:p w:rsidR="00A81E83" w:rsidRPr="00653421" w:rsidRDefault="00A81E83" w:rsidP="0026723A">
      <w:pPr>
        <w:ind w:left="720"/>
      </w:pPr>
      <w:r w:rsidRPr="00653421">
        <w:rPr>
          <w:rFonts w:eastAsia="Calibri" w:cs="Tahoma"/>
          <w:color w:val="000000"/>
          <w:szCs w:val="18"/>
        </w:rPr>
        <w:t>O SQL Server 2008 R2 será a última versão do SQL Server licenciada sob o modelo de licenciamento por</w:t>
      </w:r>
      <w:r w:rsidR="00E30396" w:rsidRPr="00653421">
        <w:rPr>
          <w:rFonts w:eastAsia="Calibri" w:cs="Tahoma"/>
          <w:color w:val="000000"/>
          <w:szCs w:val="18"/>
        </w:rPr>
        <w:t> </w:t>
      </w:r>
      <w:r w:rsidRPr="00653421">
        <w:rPr>
          <w:rFonts w:eastAsia="Calibri" w:cs="Tahoma"/>
          <w:color w:val="000000"/>
          <w:szCs w:val="18"/>
        </w:rPr>
        <w:t>processador.</w:t>
      </w:r>
      <w:r w:rsidR="005A52A2" w:rsidRPr="00653421">
        <w:rPr>
          <w:rFonts w:eastAsia="Calibri" w:cs="Tahoma"/>
          <w:color w:val="000000"/>
          <w:szCs w:val="18"/>
        </w:rPr>
        <w:t xml:space="preserve"> </w:t>
      </w:r>
      <w:r w:rsidRPr="00653421">
        <w:rPr>
          <w:rFonts w:eastAsia="Calibri" w:cs="Tahoma"/>
          <w:color w:val="000000"/>
          <w:szCs w:val="18"/>
        </w:rPr>
        <w:t xml:space="preserve">Como uma exceção, aos clientes de licenciamento por volume com Software Assurance ativo para licenças do processador do SQL Server 2008 R2 Standard em 1º de abril de 2012 (“licenças qualificadas”) são concedidas as seguintes opções. As licenças do processador do SQL Server 2008 R2 Standard </w:t>
      </w:r>
      <w:r w:rsidRPr="00653421">
        <w:rPr>
          <w:rFonts w:cs="Tahoma"/>
          <w:bCs/>
          <w:color w:val="000000"/>
          <w:szCs w:val="18"/>
        </w:rPr>
        <w:t>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5A52A2" w:rsidRPr="00653421">
        <w:rPr>
          <w:rFonts w:cs="Tahoma"/>
          <w:bCs/>
          <w:color w:val="000000"/>
          <w:szCs w:val="18"/>
        </w:rPr>
        <w:t xml:space="preserve"> </w:t>
      </w:r>
      <w:r w:rsidRPr="00653421">
        <w:rPr>
          <w:rFonts w:cs="Tahoma"/>
          <w:bCs/>
          <w:color w:val="000000"/>
          <w:szCs w:val="18"/>
        </w:rPr>
        <w:t>As licenças adquiridas depois de 1º de abril de 2015 ou sob um prazo de registro subsequente, um contrato separado ou qualquer registro com uma data de início de vigência após 1º de abril de 2012 não são licenças qualificadas.</w:t>
      </w:r>
    </w:p>
    <w:p w:rsidR="0026723A" w:rsidRPr="00653421" w:rsidRDefault="0026723A" w:rsidP="0026723A">
      <w:pPr>
        <w:ind w:left="720"/>
      </w:pPr>
    </w:p>
    <w:p w:rsidR="0026723A" w:rsidRPr="00653421" w:rsidRDefault="0026723A" w:rsidP="0026723A">
      <w:pPr>
        <w:spacing w:after="60"/>
        <w:ind w:left="720"/>
      </w:pPr>
      <w:r w:rsidRPr="00653421">
        <w:rPr>
          <w:rFonts w:eastAsia="Calibri" w:cs="Tahoma"/>
          <w:b/>
          <w:szCs w:val="18"/>
        </w:rPr>
        <w:t>Prazo Atual</w:t>
      </w:r>
    </w:p>
    <w:p w:rsidR="00A81E83" w:rsidRPr="00653421" w:rsidRDefault="00A81E83" w:rsidP="0026723A">
      <w:pPr>
        <w:ind w:left="720"/>
      </w:pPr>
      <w:r w:rsidRPr="00653421">
        <w:rPr>
          <w:rFonts w:eastAsia="Calibri" w:cs="Tahoma"/>
          <w:szCs w:val="18"/>
        </w:rPr>
        <w:t>Durante o prazo atual da sua cobertura de Software Assurance a partir de 1º de abril de 2012, os clientes (incluindo aqueles sob contratos de assinatura) podem, sob qualquer licença qualificada, atualizar e usar o</w:t>
      </w:r>
      <w:r w:rsidR="00E30396" w:rsidRPr="00653421">
        <w:rPr>
          <w:rFonts w:eastAsia="Calibri" w:cs="Tahoma"/>
          <w:szCs w:val="18"/>
        </w:rPr>
        <w:t> </w:t>
      </w:r>
      <w:r w:rsidRPr="00653421">
        <w:rPr>
          <w:rFonts w:eastAsia="Calibri" w:cs="Tahoma"/>
          <w:szCs w:val="18"/>
        </w:rPr>
        <w:t>SQL Server 2012 Standard Core em vez do SQL Server 2008 R2 Standard sujeito aos direitos de uso do produto de licença do processador do SQL Server 2008 R2 Standard (conforme os Direitos de Uso do Produto de janeiro de 2012). Aos clientes são concedidos direitos adicionais sob a Mobilidade de Licença por</w:t>
      </w:r>
      <w:r w:rsidR="00E30396" w:rsidRPr="00653421">
        <w:rPr>
          <w:rFonts w:eastAsia="Calibri" w:cs="Tahoma"/>
          <w:szCs w:val="18"/>
        </w:rPr>
        <w:t> </w:t>
      </w:r>
      <w:r w:rsidRPr="00653421">
        <w:rPr>
          <w:rFonts w:eastAsia="Calibri" w:cs="Tahoma"/>
          <w:szCs w:val="18"/>
        </w:rPr>
        <w:t>meio de Software Assurance e Mobilidade de Licença nos Farms de Servidores.</w:t>
      </w:r>
      <w:r w:rsidR="005A52A2" w:rsidRPr="00653421">
        <w:rPr>
          <w:rFonts w:eastAsia="Calibri" w:cs="Tahoma"/>
          <w:szCs w:val="18"/>
        </w:rPr>
        <w:t xml:space="preserve"> </w:t>
      </w:r>
      <w:r w:rsidRPr="00653421">
        <w:rPr>
          <w:rFonts w:eastAsia="Calibri" w:cs="Tahoma"/>
          <w:szCs w:val="18"/>
        </w:rPr>
        <w:t>Os clientes devem consultar os Direitos de Uso do Produto para SQL Server 2012 Standard Core quanto aos termos de licença</w:t>
      </w:r>
      <w:r w:rsidR="00E30396" w:rsidRPr="00653421">
        <w:rPr>
          <w:rFonts w:eastAsia="Calibri" w:cs="Tahoma"/>
          <w:szCs w:val="18"/>
        </w:rPr>
        <w:t> </w:t>
      </w:r>
      <w:r w:rsidRPr="00653421">
        <w:rPr>
          <w:rFonts w:eastAsia="Calibri" w:cs="Tahoma"/>
          <w:szCs w:val="18"/>
        </w:rPr>
        <w:t>para Mobilidade de Licença.</w:t>
      </w:r>
    </w:p>
    <w:p w:rsidR="0026723A" w:rsidRDefault="0026723A" w:rsidP="0026723A">
      <w:pPr>
        <w:ind w:left="720"/>
      </w:pPr>
    </w:p>
    <w:p w:rsidR="00E53811" w:rsidRDefault="00E53811" w:rsidP="0026723A">
      <w:pPr>
        <w:ind w:left="720"/>
      </w:pPr>
    </w:p>
    <w:p w:rsidR="00E53811" w:rsidRDefault="00E53811" w:rsidP="0026723A">
      <w:pPr>
        <w:ind w:left="720"/>
      </w:pPr>
    </w:p>
    <w:p w:rsidR="00E53811" w:rsidRPr="00653421" w:rsidRDefault="00E53811" w:rsidP="0026723A">
      <w:pPr>
        <w:ind w:left="720"/>
      </w:pPr>
    </w:p>
    <w:p w:rsidR="0026723A" w:rsidRPr="00653421" w:rsidRDefault="00A81E83" w:rsidP="0026723A">
      <w:pPr>
        <w:spacing w:after="60"/>
        <w:ind w:left="720"/>
      </w:pPr>
      <w:r w:rsidRPr="00653421">
        <w:rPr>
          <w:rFonts w:eastAsia="Calibri" w:cs="Tahoma"/>
          <w:b/>
          <w:szCs w:val="18"/>
        </w:rPr>
        <w:lastRenderedPageBreak/>
        <w:t>Primeiro Prazo de Renovação (antes de 1º de abril de 2015)</w:t>
      </w:r>
    </w:p>
    <w:p w:rsidR="00A81E83" w:rsidRPr="00653421" w:rsidRDefault="00A81E83" w:rsidP="0026723A">
      <w:pPr>
        <w:ind w:left="720"/>
      </w:pPr>
      <w:r w:rsidRPr="00653421">
        <w:rPr>
          <w:rFonts w:eastAsia="Calibri" w:cs="Tahoma"/>
          <w:szCs w:val="18"/>
        </w:rPr>
        <w:t>Na sua primeira renovação de Software Assurance em ou depois de 1º de abril de 2012 (mas antes de 1º</w:t>
      </w:r>
      <w:r w:rsidR="00E30396" w:rsidRPr="00653421">
        <w:rPr>
          <w:rFonts w:eastAsia="Calibri" w:cs="Tahoma"/>
          <w:szCs w:val="18"/>
        </w:rPr>
        <w:t> </w:t>
      </w:r>
      <w:r w:rsidRPr="00653421">
        <w:rPr>
          <w:rFonts w:eastAsia="Calibri" w:cs="Tahoma"/>
          <w:szCs w:val="18"/>
        </w:rPr>
        <w:t>de abril de 2015), para cada servidor que um cliente tiver licenciado corretamente sob os direitos de uso</w:t>
      </w:r>
      <w:r w:rsidR="00E30396" w:rsidRPr="00653421">
        <w:rPr>
          <w:rFonts w:eastAsia="Calibri" w:cs="Tahoma"/>
          <w:szCs w:val="18"/>
        </w:rPr>
        <w:t> </w:t>
      </w:r>
      <w:r w:rsidRPr="00653421">
        <w:rPr>
          <w:rFonts w:eastAsia="Calibri" w:cs="Tahoma"/>
          <w:szCs w:val="18"/>
        </w:rPr>
        <w:t>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26723A" w:rsidRPr="00653421" w:rsidRDefault="0026723A" w:rsidP="0026723A">
      <w:pPr>
        <w:ind w:left="720"/>
      </w:pPr>
    </w:p>
    <w:p w:rsidR="0026723A" w:rsidRPr="00653421" w:rsidRDefault="00A81E83" w:rsidP="0026723A">
      <w:pPr>
        <w:numPr>
          <w:ilvl w:val="0"/>
          <w:numId w:val="145"/>
        </w:numPr>
        <w:tabs>
          <w:tab w:val="left" w:pos="1440"/>
        </w:tabs>
        <w:spacing w:after="60"/>
        <w:ind w:left="1440"/>
      </w:pPr>
      <w:r w:rsidRPr="00653421">
        <w:rPr>
          <w:rFonts w:eastAsia="Calibri" w:cs="Tahoma"/>
          <w:szCs w:val="18"/>
        </w:rPr>
        <w:t>um número igual ao menor número de licenças qualificadas atribuído ao servidor ou o número total</w:t>
      </w:r>
      <w:r w:rsidR="00E30396" w:rsidRPr="00653421">
        <w:rPr>
          <w:rFonts w:eastAsia="Calibri" w:cs="Tahoma"/>
          <w:szCs w:val="18"/>
        </w:rPr>
        <w:t> </w:t>
      </w:r>
      <w:r w:rsidRPr="00653421">
        <w:rPr>
          <w:rFonts w:eastAsia="Calibri" w:cs="Tahoma"/>
          <w:szCs w:val="18"/>
        </w:rPr>
        <w:t xml:space="preserve">de processadores físicos no servidor multiplicado pelo maior de: </w:t>
      </w:r>
    </w:p>
    <w:p w:rsidR="00A81E83" w:rsidRPr="00653421" w:rsidRDefault="00A81E83" w:rsidP="0026723A">
      <w:pPr>
        <w:numPr>
          <w:ilvl w:val="3"/>
          <w:numId w:val="71"/>
        </w:numPr>
        <w:spacing w:after="60"/>
        <w:ind w:left="1800"/>
      </w:pPr>
      <w:r w:rsidRPr="00653421">
        <w:rPr>
          <w:rFonts w:eastAsia="Calibri" w:cs="Tahoma"/>
          <w:szCs w:val="18"/>
        </w:rPr>
        <w:t>Quatro OU</w:t>
      </w:r>
    </w:p>
    <w:p w:rsidR="00A81E83" w:rsidRPr="00653421" w:rsidRDefault="00A81E83" w:rsidP="0026723A">
      <w:pPr>
        <w:numPr>
          <w:ilvl w:val="3"/>
          <w:numId w:val="71"/>
        </w:numPr>
        <w:spacing w:after="60"/>
        <w:ind w:left="1800"/>
      </w:pPr>
      <w:r w:rsidRPr="00653421">
        <w:rPr>
          <w:rFonts w:eastAsia="Calibri" w:cs="Tahoma"/>
          <w:szCs w:val="18"/>
        </w:rPr>
        <w:t>o número real de núcleos por processador físico multiplicado pelo fator do núcleo apropriado.</w:t>
      </w:r>
      <w:r w:rsidR="005A52A2" w:rsidRPr="00653421">
        <w:rPr>
          <w:rFonts w:eastAsia="Calibri" w:cs="Tahoma"/>
          <w:szCs w:val="18"/>
        </w:rPr>
        <w:t xml:space="preserve"> </w:t>
      </w:r>
      <w:r w:rsidRPr="00653421">
        <w:rPr>
          <w:rFonts w:eastAsia="Calibri" w:cs="Tahoma"/>
          <w:szCs w:val="18"/>
        </w:rPr>
        <w:t xml:space="preserve">(Nos casos em que o número real de núcleos por processador físico excede quatro, os clientes devem manter um registro da configuração do software SQL Server executando no servidor) </w:t>
      </w:r>
      <w:r w:rsidR="00392523" w:rsidRPr="00653421">
        <w:rPr>
          <w:rFonts w:eastAsia="Calibri" w:cs="Tahoma"/>
          <w:szCs w:val="18"/>
        </w:rPr>
        <w:t>(</w:t>
      </w:r>
      <w:r w:rsidRPr="00653421">
        <w:rPr>
          <w:rFonts w:eastAsia="Calibri" w:cs="Tahoma"/>
          <w:szCs w:val="18"/>
        </w:rPr>
        <w:t>instâncias licenciadas executando em ambientes do sistema ope</w:t>
      </w:r>
      <w:r w:rsidR="00392523" w:rsidRPr="00653421">
        <w:rPr>
          <w:rFonts w:eastAsia="Calibri" w:cs="Tahoma"/>
          <w:szCs w:val="18"/>
        </w:rPr>
        <w:t>racional no servidor licenciado</w:t>
      </w:r>
      <w:r w:rsidRPr="00653421">
        <w:rPr>
          <w:rFonts w:eastAsia="Calibri" w:cs="Tahoma"/>
          <w:szCs w:val="18"/>
        </w:rPr>
        <w:t xml:space="preserve"> e o hardware físico oferecendo suporte ao software que está antecedendo a renovação do Software Assurance usando a ferramenta Microsoft MAP ou qualquer software equivalente.) </w:t>
      </w:r>
    </w:p>
    <w:p w:rsidR="00E30396" w:rsidRPr="00653421" w:rsidRDefault="00A81E83" w:rsidP="0026723A">
      <w:pPr>
        <w:numPr>
          <w:ilvl w:val="0"/>
          <w:numId w:val="145"/>
        </w:numPr>
        <w:tabs>
          <w:tab w:val="left" w:pos="1440"/>
        </w:tabs>
        <w:spacing w:after="60"/>
        <w:ind w:left="1080"/>
      </w:pPr>
      <w:r w:rsidRPr="00E53811">
        <w:rPr>
          <w:rFonts w:eastAsia="Calibri" w:cs="Tahoma"/>
          <w:szCs w:val="18"/>
        </w:rPr>
        <w:t>um número igual ao número das licenças qualificadas atribuído ao servidor em excesso do número real de processadores físicos no servidor multiplicado por quatro.</w:t>
      </w:r>
    </w:p>
    <w:p w:rsidR="00E30396" w:rsidRPr="00653421" w:rsidRDefault="00E30396" w:rsidP="0026723A">
      <w:pPr>
        <w:tabs>
          <w:tab w:val="left" w:pos="1440"/>
        </w:tabs>
        <w:ind w:left="1080"/>
      </w:pPr>
    </w:p>
    <w:p w:rsidR="0026723A" w:rsidRPr="00653421" w:rsidRDefault="00A81E83" w:rsidP="0026723A">
      <w:pPr>
        <w:spacing w:after="60"/>
        <w:ind w:left="720"/>
      </w:pPr>
      <w:r w:rsidRPr="00653421">
        <w:rPr>
          <w:rFonts w:eastAsia="Calibri" w:cs="Tahoma"/>
          <w:b/>
          <w:szCs w:val="18"/>
        </w:rPr>
        <w:t>Primeiro Prazo de Renovação (em ou após 1º de abril de 2015)</w:t>
      </w:r>
    </w:p>
    <w:p w:rsidR="00A81E83" w:rsidRPr="00653421" w:rsidRDefault="00A81E83" w:rsidP="0026723A">
      <w:pPr>
        <w:ind w:left="720"/>
      </w:pPr>
      <w:r w:rsidRPr="00653421">
        <w:rPr>
          <w:rFonts w:eastAsia="Calibri" w:cs="Tahoma"/>
          <w:color w:val="000000"/>
          <w:szCs w:val="18"/>
        </w:rPr>
        <w:t>Os clientes que renovaram primeiro a cobertura em ou depois de 1</w:t>
      </w:r>
      <w:r w:rsidRPr="00653421">
        <w:rPr>
          <w:rFonts w:eastAsia="Calibri" w:cs="Tahoma"/>
          <w:color w:val="000000"/>
          <w:szCs w:val="18"/>
          <w:vertAlign w:val="superscript"/>
        </w:rPr>
        <w:t>o</w:t>
      </w:r>
      <w:r w:rsidRPr="00653421">
        <w:rPr>
          <w:rFonts w:eastAsia="Calibri" w:cs="Tahoma"/>
          <w:color w:val="000000"/>
          <w:szCs w:val="18"/>
        </w:rPr>
        <w:t xml:space="preserve"> de abril de 2015</w:t>
      </w:r>
      <w:r w:rsidRPr="00653421">
        <w:rPr>
          <w:rFonts w:eastAsia="Calibri" w:cs="Tahoma"/>
          <w:szCs w:val="18"/>
        </w:rPr>
        <w:t xml:space="preserve"> poderão, para qualquer servidor no qual eles estejam devidamente licenciados sob os direitos de uso do produto da licença</w:t>
      </w:r>
      <w:r w:rsidR="00E30396" w:rsidRPr="00653421">
        <w:rPr>
          <w:rFonts w:eastAsia="Calibri" w:cs="Tahoma"/>
          <w:szCs w:val="18"/>
        </w:rPr>
        <w:t> </w:t>
      </w:r>
      <w:r w:rsidRPr="00653421">
        <w:rPr>
          <w:rFonts w:eastAsia="Calibri" w:cs="Tahoma"/>
          <w:szCs w:val="18"/>
        </w:rPr>
        <w:t>do processador SQK Server 2008 R2, adquirir o Software Assurance, como pode ser visto a seguir:</w:t>
      </w:r>
    </w:p>
    <w:p w:rsidR="0026723A" w:rsidRPr="00653421" w:rsidRDefault="0026723A" w:rsidP="0026723A">
      <w:pPr>
        <w:ind w:left="720"/>
      </w:pPr>
    </w:p>
    <w:p w:rsidR="00A81E83" w:rsidRPr="00653421" w:rsidRDefault="00A81E83" w:rsidP="0026723A">
      <w:pPr>
        <w:numPr>
          <w:ilvl w:val="3"/>
          <w:numId w:val="114"/>
        </w:numPr>
        <w:spacing w:after="60"/>
        <w:ind w:left="1440"/>
      </w:pPr>
      <w:r w:rsidRPr="00653421">
        <w:rPr>
          <w:rFonts w:eastAsia="Calibri" w:cs="Tahoma"/>
          <w:szCs w:val="18"/>
        </w:rPr>
        <w:t>Conforme fornecido no primeiro parágrafo desta nota do produto, as licenças adquiridas antes de</w:t>
      </w:r>
      <w:r w:rsidR="00E30396" w:rsidRPr="00653421">
        <w:rPr>
          <w:rFonts w:eastAsia="Calibri" w:cs="Tahoma"/>
          <w:szCs w:val="18"/>
        </w:rPr>
        <w:t> </w:t>
      </w:r>
      <w:r w:rsidRPr="00653421">
        <w:rPr>
          <w:rFonts w:eastAsia="Calibri" w:cs="Tahoma"/>
          <w:szCs w:val="18"/>
        </w:rPr>
        <w:t>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renovar o SA de acordo com</w:t>
      </w:r>
      <w:r w:rsidR="00E30396" w:rsidRPr="00653421">
        <w:rPr>
          <w:rFonts w:eastAsia="Calibri" w:cs="Tahoma"/>
          <w:szCs w:val="18"/>
        </w:rPr>
        <w:t> </w:t>
      </w:r>
      <w:r w:rsidRPr="00653421">
        <w:rPr>
          <w:rFonts w:eastAsia="Calibri" w:cs="Tahoma"/>
          <w:szCs w:val="18"/>
        </w:rPr>
        <w:t>os termos na seção “Primeiro Prazo de Renovação (Antes de 1</w:t>
      </w:r>
      <w:r w:rsidRPr="00653421">
        <w:rPr>
          <w:rFonts w:eastAsia="Calibri" w:cs="Tahoma"/>
          <w:szCs w:val="18"/>
          <w:vertAlign w:val="superscript"/>
        </w:rPr>
        <w:t>º</w:t>
      </w:r>
      <w:r w:rsidRPr="00653421">
        <w:rPr>
          <w:rFonts w:eastAsia="Calibri" w:cs="Tahoma"/>
          <w:szCs w:val="18"/>
        </w:rPr>
        <w:t xml:space="preserve"> de abril de 2015)</w:t>
      </w:r>
      <w:r w:rsidR="00C133AB" w:rsidRPr="00653421">
        <w:rPr>
          <w:rFonts w:eastAsia="Calibri" w:cs="Tahoma"/>
          <w:szCs w:val="18"/>
        </w:rPr>
        <w:t>”</w:t>
      </w:r>
      <w:r w:rsidRPr="00653421">
        <w:rPr>
          <w:rFonts w:eastAsia="Calibri" w:cs="Tahoma"/>
          <w:szCs w:val="18"/>
        </w:rPr>
        <w:t xml:space="preserve"> acima e</w:t>
      </w:r>
    </w:p>
    <w:p w:rsidR="00A81E83" w:rsidRPr="00653421" w:rsidRDefault="00A81E83" w:rsidP="0026723A">
      <w:pPr>
        <w:numPr>
          <w:ilvl w:val="3"/>
          <w:numId w:val="114"/>
        </w:numPr>
        <w:spacing w:after="60"/>
        <w:ind w:left="1440"/>
      </w:pPr>
      <w:r w:rsidRPr="00653421">
        <w:rPr>
          <w:rFonts w:eastAsia="Calibri" w:cs="Tahoma"/>
          <w:szCs w:val="18"/>
        </w:rPr>
        <w:t>Para as licenças adquiridas depois de 1</w:t>
      </w:r>
      <w:r w:rsidRPr="00653421">
        <w:rPr>
          <w:rFonts w:eastAsia="Calibri" w:cs="Tahoma"/>
          <w:szCs w:val="18"/>
          <w:vertAlign w:val="superscript"/>
        </w:rPr>
        <w:t>º</w:t>
      </w:r>
      <w:r w:rsidRPr="00653421">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E30396" w:rsidRPr="00653421">
        <w:rPr>
          <w:rFonts w:eastAsia="Calibri" w:cs="Tahoma"/>
          <w:szCs w:val="18"/>
        </w:rPr>
        <w:t> </w:t>
      </w:r>
      <w:r w:rsidRPr="00653421">
        <w:rPr>
          <w:rFonts w:eastAsia="Calibri" w:cs="Tahoma"/>
          <w:szCs w:val="18"/>
        </w:rPr>
        <w:t>cliente tem que adquirir licenças principais adicionais.</w:t>
      </w:r>
    </w:p>
    <w:p w:rsidR="00A81E83" w:rsidRPr="00653421" w:rsidRDefault="00A81E83" w:rsidP="0026723A">
      <w:pPr>
        <w:numPr>
          <w:ilvl w:val="0"/>
          <w:numId w:val="64"/>
        </w:numPr>
        <w:spacing w:after="60"/>
        <w:ind w:left="1440"/>
      </w:pPr>
      <w:r w:rsidRPr="00653421">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5A52A2" w:rsidRPr="00653421">
        <w:rPr>
          <w:rFonts w:eastAsia="Calibri" w:cs="Tahoma"/>
          <w:szCs w:val="18"/>
        </w:rPr>
        <w:t xml:space="preserve"> </w:t>
      </w:r>
    </w:p>
    <w:p w:rsidR="0026723A" w:rsidRPr="00653421" w:rsidRDefault="0026723A" w:rsidP="0026723A">
      <w:pPr>
        <w:tabs>
          <w:tab w:val="left" w:pos="1080"/>
        </w:tabs>
        <w:ind w:left="1080"/>
      </w:pPr>
    </w:p>
    <w:p w:rsidR="0026723A" w:rsidRPr="00653421" w:rsidRDefault="00A431D5" w:rsidP="0026723A">
      <w:pPr>
        <w:spacing w:after="60"/>
        <w:ind w:left="720"/>
      </w:pPr>
      <w:r w:rsidRPr="00653421">
        <w:rPr>
          <w:rFonts w:eastAsia="Calibri" w:cs="Tahoma"/>
          <w:b/>
          <w:szCs w:val="18"/>
        </w:rPr>
        <w:t>Para os clientes que estão desejando fazer step-up do SQL Server Standard para SQL Server Enterprise Core</w:t>
      </w:r>
    </w:p>
    <w:p w:rsidR="00A431D5" w:rsidRPr="00653421" w:rsidRDefault="00A431D5" w:rsidP="0026723A">
      <w:pPr>
        <w:ind w:left="720"/>
      </w:pPr>
      <w:r w:rsidRPr="00653421">
        <w:rPr>
          <w:rFonts w:eastAsia="Calibri" w:cs="Tahoma"/>
          <w:szCs w:val="18"/>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rsidR="0026723A" w:rsidRPr="00653421" w:rsidRDefault="0026723A" w:rsidP="0026723A">
      <w:pPr>
        <w:tabs>
          <w:tab w:val="left" w:pos="1080"/>
        </w:tabs>
        <w:ind w:left="1080"/>
      </w:pPr>
    </w:p>
    <w:p w:rsidR="00A431D5" w:rsidRPr="00653421" w:rsidRDefault="00A431D5" w:rsidP="0026723A">
      <w:pPr>
        <w:numPr>
          <w:ilvl w:val="3"/>
          <w:numId w:val="115"/>
        </w:numPr>
        <w:tabs>
          <w:tab w:val="left" w:pos="1440"/>
        </w:tabs>
        <w:spacing w:after="60"/>
        <w:ind w:left="1440"/>
      </w:pPr>
      <w:r w:rsidRPr="00653421">
        <w:rPr>
          <w:rFonts w:eastAsia="Calibri" w:cs="Tahoma"/>
          <w:szCs w:val="18"/>
        </w:rPr>
        <w:t>Quatro OU</w:t>
      </w:r>
    </w:p>
    <w:p w:rsidR="00A431D5" w:rsidRPr="00653421" w:rsidRDefault="00A431D5" w:rsidP="0026723A">
      <w:pPr>
        <w:numPr>
          <w:ilvl w:val="3"/>
          <w:numId w:val="115"/>
        </w:numPr>
        <w:tabs>
          <w:tab w:val="left" w:pos="1440"/>
        </w:tabs>
        <w:spacing w:after="60"/>
        <w:ind w:left="1440"/>
      </w:pPr>
      <w:r w:rsidRPr="00653421">
        <w:rPr>
          <w:rFonts w:eastAsia="Calibri" w:cs="Tahoma"/>
          <w:szCs w:val="18"/>
        </w:rPr>
        <w:t>o número real de núcleos por processador físico multiplicado pelo fator do núcleo apropriado.</w:t>
      </w:r>
      <w:r w:rsidR="005A52A2" w:rsidRPr="00653421">
        <w:rPr>
          <w:rFonts w:eastAsia="Calibri" w:cs="Tahoma"/>
          <w:szCs w:val="18"/>
        </w:rPr>
        <w:t xml:space="preserve"> </w:t>
      </w:r>
      <w:r w:rsidRPr="00653421">
        <w:rPr>
          <w:rFonts w:eastAsia="Calibri" w:cs="Tahoma"/>
          <w:szCs w:val="18"/>
        </w:rPr>
        <w:t>(Nos</w:t>
      </w:r>
      <w:r w:rsidR="00E30396" w:rsidRPr="00653421">
        <w:rPr>
          <w:rFonts w:eastAsia="Calibri" w:cs="Tahoma"/>
          <w:szCs w:val="18"/>
        </w:rPr>
        <w:t> </w:t>
      </w:r>
      <w:r w:rsidRPr="00653421">
        <w:rPr>
          <w:rFonts w:eastAsia="Calibri" w:cs="Tahoma"/>
          <w:szCs w:val="18"/>
        </w:rPr>
        <w:t xml:space="preserve">casos em que o número real de núcleos por processador físico excede quatro, os clientes devem manter um registro da configuração do software SQL Server executando no servidor) </w:t>
      </w:r>
      <w:r w:rsidR="00392523" w:rsidRPr="00653421">
        <w:rPr>
          <w:rFonts w:eastAsia="Calibri" w:cs="Tahoma"/>
          <w:szCs w:val="18"/>
        </w:rPr>
        <w:t>(</w:t>
      </w:r>
      <w:r w:rsidRPr="00653421">
        <w:rPr>
          <w:rFonts w:eastAsia="Calibri" w:cs="Tahoma"/>
          <w:szCs w:val="18"/>
        </w:rPr>
        <w:t>instâncias licenciadas executando em ambientes do sistema ope</w:t>
      </w:r>
      <w:r w:rsidR="00392523" w:rsidRPr="00653421">
        <w:rPr>
          <w:rFonts w:eastAsia="Calibri" w:cs="Tahoma"/>
          <w:szCs w:val="18"/>
        </w:rPr>
        <w:t>racional no servidor licenciado</w:t>
      </w:r>
      <w:r w:rsidRPr="00653421">
        <w:rPr>
          <w:rFonts w:eastAsia="Calibri" w:cs="Tahoma"/>
          <w:szCs w:val="18"/>
        </w:rPr>
        <w:t xml:space="preserve"> e</w:t>
      </w:r>
      <w:r w:rsidR="00E30396" w:rsidRPr="00653421">
        <w:rPr>
          <w:rFonts w:eastAsia="Calibri" w:cs="Tahoma"/>
          <w:szCs w:val="18"/>
        </w:rPr>
        <w:t> </w:t>
      </w:r>
      <w:r w:rsidRPr="00653421">
        <w:rPr>
          <w:rFonts w:eastAsia="Calibri" w:cs="Tahoma"/>
          <w:szCs w:val="18"/>
        </w:rPr>
        <w:t>o</w:t>
      </w:r>
      <w:r w:rsidR="00E30396" w:rsidRPr="00653421">
        <w:rPr>
          <w:rFonts w:eastAsia="Calibri" w:cs="Tahoma"/>
          <w:szCs w:val="18"/>
        </w:rPr>
        <w:t> </w:t>
      </w:r>
      <w:r w:rsidRPr="00653421">
        <w:rPr>
          <w:rFonts w:eastAsia="Calibri" w:cs="Tahoma"/>
          <w:szCs w:val="18"/>
        </w:rPr>
        <w:t>hardware físico oferecendo suporte ao software que está antecedendo a aquisição das licenças</w:t>
      </w:r>
      <w:r w:rsidR="00E30396" w:rsidRPr="00653421">
        <w:rPr>
          <w:rFonts w:eastAsia="Calibri" w:cs="Tahoma"/>
          <w:szCs w:val="18"/>
        </w:rPr>
        <w:t> </w:t>
      </w:r>
      <w:r w:rsidRPr="00653421">
        <w:rPr>
          <w:rFonts w:eastAsia="Calibri" w:cs="Tahoma"/>
          <w:szCs w:val="18"/>
        </w:rPr>
        <w:t xml:space="preserve">de Step-up usando a ferramenta Microsoft MAP ou qualquer software equivalente.) </w:t>
      </w:r>
    </w:p>
    <w:p w:rsidR="0026723A" w:rsidRDefault="0026723A" w:rsidP="0026723A">
      <w:pPr>
        <w:tabs>
          <w:tab w:val="left" w:pos="1440"/>
        </w:tabs>
        <w:ind w:left="1440"/>
      </w:pPr>
    </w:p>
    <w:p w:rsidR="00E53811" w:rsidRPr="00653421" w:rsidRDefault="00E53811" w:rsidP="0026723A">
      <w:pPr>
        <w:tabs>
          <w:tab w:val="left" w:pos="1440"/>
        </w:tabs>
        <w:ind w:left="1440"/>
      </w:pPr>
    </w:p>
    <w:p w:rsidR="00A431D5" w:rsidRPr="00653421" w:rsidRDefault="00A431D5" w:rsidP="0026723A">
      <w:pPr>
        <w:ind w:left="720"/>
      </w:pPr>
      <w:r w:rsidRPr="00653421">
        <w:rPr>
          <w:rFonts w:eastAsia="Calibri" w:cs="Tahoma"/>
          <w:szCs w:val="18"/>
        </w:rPr>
        <w:lastRenderedPageBreak/>
        <w:t>Mediante a aquisição do número apropriado de licenças Step-up para SQL Server Enterprise Core, o cliente poderá implantar e usar o software sob os direitos de uso do SQL Server Enterprise Core.</w:t>
      </w:r>
      <w:r w:rsidR="005A52A2" w:rsidRPr="00653421">
        <w:rPr>
          <w:rFonts w:eastAsia="Calibri" w:cs="Tahoma"/>
          <w:szCs w:val="18"/>
        </w:rPr>
        <w:t xml:space="preserve"> </w:t>
      </w:r>
      <w:r w:rsidRPr="00653421">
        <w:rPr>
          <w:rFonts w:eastAsia="Calibri" w:cs="Tahoma"/>
          <w:szCs w:val="18"/>
        </w:rPr>
        <w:t>Exceto conforme fornecido nesta seção “Para os clientes que estão desejando fazer step-up do SQL Server Standard para SQL Server Enterprise Core”</w:t>
      </w:r>
      <w:r w:rsidRPr="00653421">
        <w:rPr>
          <w:rFonts w:eastAsia="Calibri" w:cs="Tahoma"/>
          <w:b/>
          <w:szCs w:val="18"/>
        </w:rPr>
        <w:t xml:space="preserve">, </w:t>
      </w:r>
      <w:r w:rsidRPr="00653421">
        <w:rPr>
          <w:rFonts w:eastAsia="Calibri" w:cs="Tahoma"/>
          <w:szCs w:val="18"/>
        </w:rPr>
        <w:t>aplicam-se os termos e as condições pertencentes à aquisição de licenças Step-up, conforme descrito na seção Software Assurance desta Lista de produto.</w:t>
      </w:r>
      <w:r w:rsidRPr="00653421">
        <w:rPr>
          <w:rFonts w:eastAsia="Calibri" w:cs="Tahoma"/>
          <w:b/>
          <w:szCs w:val="18"/>
        </w:rPr>
        <w:t xml:space="preserve"> </w:t>
      </w:r>
    </w:p>
    <w:p w:rsidR="0026723A" w:rsidRPr="00653421" w:rsidRDefault="0026723A" w:rsidP="0026723A">
      <w:pPr>
        <w:tabs>
          <w:tab w:val="left" w:pos="1080"/>
        </w:tabs>
        <w:ind w:left="1080"/>
      </w:pPr>
    </w:p>
    <w:p w:rsidR="0026723A" w:rsidRPr="00653421" w:rsidRDefault="00A81E83" w:rsidP="0026723A">
      <w:pPr>
        <w:spacing w:after="60"/>
        <w:ind w:left="720"/>
      </w:pPr>
      <w:r w:rsidRPr="00653421">
        <w:rPr>
          <w:rFonts w:eastAsia="Calibri" w:cs="Tahoma"/>
          <w:b/>
          <w:szCs w:val="18"/>
        </w:rPr>
        <w:t>Para os clientes com cobertura de Software Assurance que expiram antes de 1º</w:t>
      </w:r>
      <w:r w:rsidR="00E30396" w:rsidRPr="00653421">
        <w:rPr>
          <w:rFonts w:eastAsia="Calibri" w:cs="Tahoma"/>
          <w:b/>
          <w:szCs w:val="18"/>
        </w:rPr>
        <w:t> </w:t>
      </w:r>
      <w:r w:rsidRPr="00653421">
        <w:rPr>
          <w:rFonts w:eastAsia="Calibri" w:cs="Tahoma"/>
          <w:b/>
          <w:szCs w:val="18"/>
        </w:rPr>
        <w:t>de</w:t>
      </w:r>
      <w:r w:rsidR="00E30396" w:rsidRPr="00653421">
        <w:rPr>
          <w:rFonts w:eastAsia="Calibri" w:cs="Tahoma"/>
          <w:b/>
          <w:szCs w:val="18"/>
        </w:rPr>
        <w:t> </w:t>
      </w:r>
      <w:r w:rsidRPr="00653421">
        <w:rPr>
          <w:rFonts w:eastAsia="Calibri" w:cs="Tahoma"/>
          <w:b/>
          <w:szCs w:val="18"/>
        </w:rPr>
        <w:t>abril</w:t>
      </w:r>
      <w:r w:rsidR="00E30396" w:rsidRPr="00653421">
        <w:rPr>
          <w:rFonts w:eastAsia="Calibri" w:cs="Tahoma"/>
          <w:b/>
          <w:szCs w:val="18"/>
        </w:rPr>
        <w:t> </w:t>
      </w:r>
      <w:r w:rsidRPr="00653421">
        <w:rPr>
          <w:rFonts w:eastAsia="Calibri" w:cs="Tahoma"/>
          <w:b/>
          <w:szCs w:val="18"/>
        </w:rPr>
        <w:t>de</w:t>
      </w:r>
      <w:r w:rsidR="00E30396" w:rsidRPr="00653421">
        <w:rPr>
          <w:rFonts w:eastAsia="Calibri" w:cs="Tahoma"/>
          <w:b/>
          <w:szCs w:val="18"/>
        </w:rPr>
        <w:t> </w:t>
      </w:r>
      <w:r w:rsidRPr="00653421">
        <w:rPr>
          <w:rFonts w:eastAsia="Calibri" w:cs="Tahoma"/>
          <w:b/>
          <w:szCs w:val="18"/>
        </w:rPr>
        <w:t>2015 que optaram pela não renovação</w:t>
      </w:r>
    </w:p>
    <w:p w:rsidR="00A81E83" w:rsidRPr="00653421" w:rsidRDefault="00A81E83" w:rsidP="0026723A">
      <w:pPr>
        <w:ind w:left="720"/>
      </w:pPr>
      <w:r w:rsidRPr="00653421">
        <w:rPr>
          <w:rFonts w:eastAsia="Calibri" w:cs="Tahoma"/>
          <w:szCs w:val="18"/>
        </w:rPr>
        <w:t>Os clientes do Enterprise Subscription e Open Value Subscription com cobertura expirando antes de 1º</w:t>
      </w:r>
      <w:r w:rsidR="00E30396" w:rsidRPr="00653421">
        <w:rPr>
          <w:rFonts w:eastAsia="Calibri" w:cs="Tahoma"/>
          <w:szCs w:val="18"/>
        </w:rPr>
        <w:t> </w:t>
      </w:r>
      <w:r w:rsidRPr="00653421">
        <w:rPr>
          <w:rFonts w:eastAsia="Calibri" w:cs="Tahoma"/>
          <w:szCs w:val="18"/>
        </w:rPr>
        <w:t>de</w:t>
      </w:r>
      <w:r w:rsidR="00E30396" w:rsidRPr="00653421">
        <w:rPr>
          <w:rFonts w:eastAsia="Calibri" w:cs="Tahoma"/>
          <w:szCs w:val="18"/>
        </w:rPr>
        <w:t> </w:t>
      </w:r>
      <w:r w:rsidRPr="00653421">
        <w:rPr>
          <w:rFonts w:eastAsia="Calibri" w:cs="Tahoma"/>
          <w:szCs w:val="18"/>
        </w:rPr>
        <w:t>abril de 2015 que optarem por comprar licenças de processador e quaisquer outros clientes que</w:t>
      </w:r>
      <w:r w:rsidR="00E30396" w:rsidRPr="00653421">
        <w:rPr>
          <w:rFonts w:eastAsia="Calibri" w:cs="Tahoma"/>
          <w:szCs w:val="18"/>
        </w:rPr>
        <w:t> </w:t>
      </w:r>
      <w:r w:rsidRPr="00653421">
        <w:rPr>
          <w:rFonts w:eastAsia="Calibri" w:cs="Tahoma"/>
          <w:szCs w:val="18"/>
        </w:rPr>
        <w:t>adquirirem licenças perpétuas sob este contrato e optarem por não renovar o Software Assurance poderão executar o SQL Server 2008 R2 ou SQL Server 2012 sob essas licenças da seguinte forma:</w:t>
      </w:r>
    </w:p>
    <w:p w:rsidR="009C7505" w:rsidRPr="00653421" w:rsidRDefault="009C7505" w:rsidP="0026723A">
      <w:pPr>
        <w:ind w:left="720"/>
      </w:pPr>
    </w:p>
    <w:p w:rsidR="001A7718" w:rsidRPr="00653421" w:rsidRDefault="00A81E83" w:rsidP="001A7718">
      <w:pPr>
        <w:numPr>
          <w:ilvl w:val="0"/>
          <w:numId w:val="116"/>
        </w:numPr>
        <w:tabs>
          <w:tab w:val="left" w:pos="1440"/>
        </w:tabs>
        <w:spacing w:after="60"/>
        <w:ind w:left="1440"/>
      </w:pPr>
      <w:r w:rsidRPr="00E53811">
        <w:rPr>
          <w:rFonts w:eastAsia="Calibri" w:cs="Tahoma"/>
          <w:b/>
          <w:szCs w:val="18"/>
        </w:rPr>
        <w:t>SQL Server 2008 R2 Standard:</w:t>
      </w:r>
      <w:r w:rsidRPr="00E53811">
        <w:rPr>
          <w:rFonts w:eastAsia="Calibri" w:cs="Tahoma"/>
          <w:szCs w:val="18"/>
        </w:rPr>
        <w:t xml:space="preserve"> O uso contínuo desta versão do software está sujeito aos</w:t>
      </w:r>
      <w:r w:rsidR="00E30396" w:rsidRPr="00E53811">
        <w:rPr>
          <w:rFonts w:eastAsia="Calibri" w:cs="Tahoma"/>
          <w:szCs w:val="18"/>
        </w:rPr>
        <w:t> </w:t>
      </w:r>
      <w:r w:rsidRPr="00E53811">
        <w:rPr>
          <w:rFonts w:eastAsia="Calibri" w:cs="Tahoma"/>
          <w:szCs w:val="18"/>
        </w:rPr>
        <w:t>direitos de uso do produto de licença do processador do SQL Server 2008 R2 Standard. Os</w:t>
      </w:r>
      <w:r w:rsidR="00E30396" w:rsidRPr="00E53811">
        <w:rPr>
          <w:rFonts w:eastAsia="Calibri" w:cs="Tahoma"/>
          <w:szCs w:val="18"/>
        </w:rPr>
        <w:t> clients </w:t>
      </w:r>
      <w:r w:rsidRPr="00E53811">
        <w:rPr>
          <w:rFonts w:eastAsia="Calibri" w:cs="Tahoma"/>
          <w:szCs w:val="18"/>
        </w:rPr>
        <w:t xml:space="preserve">não têm mais direitos sob Mobilidade de Licença nos Farms de Servidores nem Mobilidade de Licença por meio de Software Assurance. </w:t>
      </w:r>
    </w:p>
    <w:p w:rsidR="00A81E83" w:rsidRPr="00653421" w:rsidRDefault="00A81E83" w:rsidP="009C7505">
      <w:pPr>
        <w:numPr>
          <w:ilvl w:val="0"/>
          <w:numId w:val="116"/>
        </w:numPr>
        <w:tabs>
          <w:tab w:val="left" w:pos="1440"/>
        </w:tabs>
        <w:spacing w:after="60"/>
        <w:ind w:left="1440"/>
      </w:pPr>
      <w:r w:rsidRPr="00653421">
        <w:rPr>
          <w:rFonts w:eastAsia="Calibri" w:cs="Tahoma"/>
          <w:b/>
          <w:szCs w:val="18"/>
        </w:rPr>
        <w:t xml:space="preserve">SQL Server 2012 Standard Core: </w:t>
      </w:r>
      <w:r w:rsidRPr="00653421">
        <w:rPr>
          <w:rFonts w:eastAsia="Calibri" w:cs="Tahoma"/>
          <w:szCs w:val="18"/>
        </w:rPr>
        <w:t>O uso desta versão do software está sujeito aos direitos de</w:t>
      </w:r>
      <w:r w:rsidR="00E30396" w:rsidRPr="00653421">
        <w:rPr>
          <w:rFonts w:eastAsia="Calibri" w:cs="Tahoma"/>
          <w:szCs w:val="18"/>
        </w:rPr>
        <w:t> </w:t>
      </w:r>
      <w:r w:rsidRPr="00653421">
        <w:rPr>
          <w:rFonts w:eastAsia="Calibri" w:cs="Tahoma"/>
          <w:szCs w:val="18"/>
        </w:rPr>
        <w:t xml:space="preserve">uso do produto de licença do processador do SQL Server 2008 R2 Standard, no entanto: </w:t>
      </w:r>
    </w:p>
    <w:p w:rsidR="00A81E83" w:rsidRPr="00653421" w:rsidRDefault="00A81E83" w:rsidP="009C7505">
      <w:pPr>
        <w:numPr>
          <w:ilvl w:val="1"/>
          <w:numId w:val="117"/>
        </w:numPr>
        <w:tabs>
          <w:tab w:val="left" w:pos="1800"/>
        </w:tabs>
        <w:spacing w:after="60"/>
        <w:ind w:left="1800"/>
      </w:pPr>
      <w:r w:rsidRPr="00653421">
        <w:rPr>
          <w:rFonts w:eastAsia="Calibri" w:cs="Tahoma"/>
          <w:szCs w:val="18"/>
        </w:rPr>
        <w:t xml:space="preserve">os clientes não têm mais direitos sob Mobilidade de Licença nos Farms de Servidores nem Mobilidade de Licença por meio de Software Assurance e </w:t>
      </w:r>
    </w:p>
    <w:p w:rsidR="00A81E83" w:rsidRPr="00653421" w:rsidRDefault="00A81E83" w:rsidP="009C7505">
      <w:pPr>
        <w:numPr>
          <w:ilvl w:val="1"/>
          <w:numId w:val="117"/>
        </w:numPr>
        <w:tabs>
          <w:tab w:val="left" w:pos="1800"/>
        </w:tabs>
        <w:spacing w:after="60"/>
        <w:ind w:left="1800"/>
      </w:pPr>
      <w:r w:rsidRPr="00653421">
        <w:rPr>
          <w:rFonts w:eastAsia="Calibri" w:cs="Tahoma"/>
          <w:szCs w:val="18"/>
        </w:rPr>
        <w:t>quaisquer reatribuição de licenças está sujeita a limitações em (i) e (ii) abaixo relacionada a</w:t>
      </w:r>
      <w:r w:rsidR="00AD4152" w:rsidRPr="00653421">
        <w:rPr>
          <w:rFonts w:eastAsia="Calibri" w:cs="Tahoma"/>
          <w:szCs w:val="18"/>
        </w:rPr>
        <w:t> </w:t>
      </w:r>
      <w:r w:rsidRPr="00653421">
        <w:rPr>
          <w:rFonts w:eastAsia="Calibri" w:cs="Tahoma"/>
          <w:szCs w:val="18"/>
        </w:rPr>
        <w:t>sua “equivalência de licença principal”. A equivalência de licença principal é determinada da</w:t>
      </w:r>
      <w:r w:rsidR="00AD4152" w:rsidRPr="00653421">
        <w:rPr>
          <w:rFonts w:eastAsia="Calibri" w:cs="Tahoma"/>
          <w:szCs w:val="18"/>
        </w:rPr>
        <w:t> </w:t>
      </w:r>
      <w:r w:rsidRPr="00653421">
        <w:rPr>
          <w:rFonts w:eastAsia="Calibri" w:cs="Tahoma"/>
          <w:szCs w:val="18"/>
        </w:rPr>
        <w:t xml:space="preserve">seguinte forma: </w:t>
      </w:r>
    </w:p>
    <w:p w:rsidR="00A81E83" w:rsidRPr="00653421" w:rsidRDefault="00A81E83" w:rsidP="009C7505">
      <w:pPr>
        <w:numPr>
          <w:ilvl w:val="2"/>
          <w:numId w:val="116"/>
        </w:numPr>
        <w:tabs>
          <w:tab w:val="left" w:pos="2160"/>
        </w:tabs>
        <w:spacing w:after="60"/>
        <w:ind w:hanging="360"/>
      </w:pPr>
      <w:r w:rsidRPr="00653421">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E30396" w:rsidRPr="00653421">
        <w:rPr>
          <w:rFonts w:eastAsia="Calibri" w:cs="Tahoma"/>
          <w:szCs w:val="18"/>
        </w:rPr>
        <w:t> </w:t>
      </w:r>
      <w:r w:rsidRPr="00653421">
        <w:rPr>
          <w:rFonts w:eastAsia="Calibri" w:cs="Tahoma"/>
          <w:szCs w:val="18"/>
        </w:rPr>
        <w:t xml:space="preserve">equivalência de licença principal é maior do que: </w:t>
      </w:r>
    </w:p>
    <w:p w:rsidR="00A81E83" w:rsidRPr="00653421" w:rsidRDefault="00A81E83" w:rsidP="009C7505">
      <w:pPr>
        <w:numPr>
          <w:ilvl w:val="4"/>
          <w:numId w:val="64"/>
        </w:numPr>
        <w:tabs>
          <w:tab w:val="left" w:pos="2520"/>
        </w:tabs>
        <w:spacing w:after="60"/>
        <w:ind w:left="2880"/>
      </w:pPr>
      <w:r w:rsidRPr="00653421">
        <w:rPr>
          <w:rFonts w:eastAsia="Calibri" w:cs="Tahoma"/>
          <w:szCs w:val="18"/>
        </w:rPr>
        <w:t xml:space="preserve">quatro núcleos por licença de processador OU </w:t>
      </w:r>
    </w:p>
    <w:p w:rsidR="00A81E83" w:rsidRPr="00653421" w:rsidRDefault="00A81E83" w:rsidP="009C7505">
      <w:pPr>
        <w:numPr>
          <w:ilvl w:val="4"/>
          <w:numId w:val="64"/>
        </w:numPr>
        <w:tabs>
          <w:tab w:val="left" w:pos="2520"/>
        </w:tabs>
        <w:spacing w:after="60"/>
        <w:ind w:left="2880"/>
      </w:pPr>
      <w:r w:rsidRPr="00653421">
        <w:rPr>
          <w:rFonts w:eastAsia="Calibri" w:cs="Tahoma"/>
          <w:szCs w:val="18"/>
        </w:rPr>
        <w:t>um número de núcleos por licença do processador com base no número real de</w:t>
      </w:r>
      <w:r w:rsidR="00E30396" w:rsidRPr="00653421">
        <w:rPr>
          <w:rFonts w:eastAsia="Calibri" w:cs="Tahoma"/>
          <w:szCs w:val="18"/>
        </w:rPr>
        <w:t> </w:t>
      </w:r>
      <w:r w:rsidRPr="00653421">
        <w:rPr>
          <w:rFonts w:eastAsia="Calibri" w:cs="Tahoma"/>
          <w:szCs w:val="18"/>
        </w:rPr>
        <w:t>núcleos por processador físico multiplicado pelo fator de núcleo apropriado. (Nos casos em que o número real de núcleos por processador físico excede quatro, os clientes devem manter um registro da configuração do software SQ</w:t>
      </w:r>
      <w:r w:rsidR="00392523" w:rsidRPr="00653421">
        <w:rPr>
          <w:rFonts w:eastAsia="Calibri" w:cs="Tahoma"/>
          <w:szCs w:val="18"/>
        </w:rPr>
        <w:t>L Server executando no servidor</w:t>
      </w:r>
      <w:r w:rsidRPr="00653421">
        <w:rPr>
          <w:rFonts w:eastAsia="Calibri" w:cs="Tahoma"/>
          <w:szCs w:val="18"/>
        </w:rPr>
        <w:t xml:space="preserve"> </w:t>
      </w:r>
      <w:r w:rsidR="00392523" w:rsidRPr="00653421">
        <w:rPr>
          <w:rFonts w:eastAsia="Calibri" w:cs="Tahoma"/>
          <w:szCs w:val="18"/>
        </w:rPr>
        <w:t>(</w:t>
      </w:r>
      <w:r w:rsidRPr="00653421">
        <w:rPr>
          <w:rFonts w:eastAsia="Calibri" w:cs="Tahoma"/>
          <w:szCs w:val="18"/>
        </w:rPr>
        <w:t>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rsidR="00A81E83" w:rsidRPr="00653421" w:rsidRDefault="00A81E83" w:rsidP="009C7505">
      <w:pPr>
        <w:numPr>
          <w:ilvl w:val="2"/>
          <w:numId w:val="116"/>
        </w:numPr>
        <w:tabs>
          <w:tab w:val="left" w:pos="2160"/>
        </w:tabs>
        <w:spacing w:after="60"/>
        <w:ind w:hanging="360"/>
      </w:pPr>
      <w:r w:rsidRPr="00653421">
        <w:rPr>
          <w:rFonts w:eastAsia="Calibri" w:cs="Tahoma"/>
          <w:szCs w:val="18"/>
        </w:rPr>
        <w:t>Para qualquer licença de processador com um Software Assurance expirando atribuído ao</w:t>
      </w:r>
      <w:r w:rsidR="00E30396" w:rsidRPr="00653421">
        <w:rPr>
          <w:rFonts w:eastAsia="Calibri" w:cs="Tahoma"/>
          <w:szCs w:val="18"/>
        </w:rPr>
        <w:t> </w:t>
      </w:r>
      <w:r w:rsidRPr="00653421">
        <w:rPr>
          <w:rFonts w:eastAsia="Calibri" w:cs="Tahoma"/>
          <w:szCs w:val="18"/>
        </w:rPr>
        <w:t>mesmo servidor licenciado em excesso do número real de processadores físicos no servidor, a equivalência de núcleo é de quatro núcleos por licença de processador.</w:t>
      </w:r>
    </w:p>
    <w:p w:rsidR="00A81E83" w:rsidRPr="00653421" w:rsidRDefault="00A81E83" w:rsidP="009C7505">
      <w:pPr>
        <w:numPr>
          <w:ilvl w:val="0"/>
          <w:numId w:val="67"/>
        </w:numPr>
        <w:tabs>
          <w:tab w:val="left" w:pos="1440"/>
        </w:tabs>
        <w:spacing w:after="60"/>
        <w:ind w:left="1440"/>
      </w:pPr>
      <w:r w:rsidRPr="00653421">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w:t>
      </w:r>
      <w:r w:rsidR="00E30396" w:rsidRPr="00653421">
        <w:rPr>
          <w:rFonts w:eastAsia="Calibri" w:cs="Tahoma"/>
          <w:szCs w:val="18"/>
        </w:rPr>
        <w:t> </w:t>
      </w:r>
      <w:r w:rsidRPr="00653421">
        <w:rPr>
          <w:rFonts w:eastAsia="Calibri" w:cs="Tahoma"/>
          <w:szCs w:val="18"/>
        </w:rPr>
        <w:t>SQL Server 2012 adicionais.</w:t>
      </w:r>
    </w:p>
    <w:p w:rsidR="00A81E83" w:rsidRPr="00653421" w:rsidRDefault="00A81E83" w:rsidP="009C7505">
      <w:pPr>
        <w:numPr>
          <w:ilvl w:val="0"/>
          <w:numId w:val="67"/>
        </w:numPr>
        <w:tabs>
          <w:tab w:val="left" w:pos="1440"/>
        </w:tabs>
        <w:spacing w:after="60"/>
        <w:ind w:left="1440"/>
      </w:pPr>
      <w:r w:rsidRPr="00653421">
        <w:rPr>
          <w:rFonts w:eastAsia="Calibri" w:cs="Tahoma"/>
          <w:szCs w:val="18"/>
        </w:rPr>
        <w:t>A equivalência de licença principal dos clientes não implica que eles podem atribuir uma única licença de processador a núcleos por dois ou mais processadores.</w:t>
      </w:r>
    </w:p>
    <w:p w:rsidR="009C7505" w:rsidRDefault="009C7505" w:rsidP="00E30396">
      <w:pPr>
        <w:tabs>
          <w:tab w:val="left" w:pos="1440"/>
        </w:tabs>
        <w:spacing w:line="160" w:lineRule="exact"/>
        <w:ind w:left="1080"/>
      </w:pPr>
    </w:p>
    <w:p w:rsidR="00E53811" w:rsidRDefault="00E53811" w:rsidP="00E30396">
      <w:pPr>
        <w:tabs>
          <w:tab w:val="left" w:pos="1440"/>
        </w:tabs>
        <w:spacing w:line="160" w:lineRule="exact"/>
        <w:ind w:left="1080"/>
      </w:pPr>
    </w:p>
    <w:p w:rsidR="00E53811" w:rsidRDefault="00E53811" w:rsidP="00E30396">
      <w:pPr>
        <w:tabs>
          <w:tab w:val="left" w:pos="1440"/>
        </w:tabs>
        <w:spacing w:line="160" w:lineRule="exact"/>
        <w:ind w:left="1080"/>
      </w:pPr>
    </w:p>
    <w:p w:rsidR="00E53811" w:rsidRDefault="00E53811" w:rsidP="00E30396">
      <w:pPr>
        <w:tabs>
          <w:tab w:val="left" w:pos="1440"/>
        </w:tabs>
        <w:spacing w:line="160" w:lineRule="exact"/>
        <w:ind w:left="1080"/>
      </w:pPr>
    </w:p>
    <w:p w:rsidR="00E53811" w:rsidRDefault="00E53811" w:rsidP="00E30396">
      <w:pPr>
        <w:tabs>
          <w:tab w:val="left" w:pos="1440"/>
        </w:tabs>
        <w:spacing w:line="160" w:lineRule="exact"/>
        <w:ind w:left="1080"/>
      </w:pPr>
    </w:p>
    <w:p w:rsidR="00E53811" w:rsidRDefault="00E53811" w:rsidP="00E30396">
      <w:pPr>
        <w:tabs>
          <w:tab w:val="left" w:pos="1440"/>
        </w:tabs>
        <w:spacing w:line="160" w:lineRule="exact"/>
        <w:ind w:left="1080"/>
      </w:pPr>
    </w:p>
    <w:p w:rsidR="00E53811" w:rsidRDefault="00E53811" w:rsidP="00E30396">
      <w:pPr>
        <w:tabs>
          <w:tab w:val="left" w:pos="1440"/>
        </w:tabs>
        <w:spacing w:line="160" w:lineRule="exact"/>
        <w:ind w:left="1080"/>
      </w:pPr>
    </w:p>
    <w:p w:rsidR="00E53811" w:rsidRDefault="00E53811" w:rsidP="00E30396">
      <w:pPr>
        <w:tabs>
          <w:tab w:val="left" w:pos="1440"/>
        </w:tabs>
        <w:spacing w:line="160" w:lineRule="exact"/>
        <w:ind w:left="1080"/>
      </w:pPr>
    </w:p>
    <w:p w:rsidR="00E53811" w:rsidRDefault="00E53811" w:rsidP="00E30396">
      <w:pPr>
        <w:tabs>
          <w:tab w:val="left" w:pos="1440"/>
        </w:tabs>
        <w:spacing w:line="160" w:lineRule="exact"/>
        <w:ind w:left="1080"/>
      </w:pPr>
    </w:p>
    <w:p w:rsidR="00E53811" w:rsidRPr="00653421" w:rsidRDefault="00E53811" w:rsidP="00E30396">
      <w:pPr>
        <w:tabs>
          <w:tab w:val="left" w:pos="1440"/>
        </w:tabs>
        <w:spacing w:line="160" w:lineRule="exact"/>
        <w:ind w:left="1080"/>
      </w:pPr>
    </w:p>
    <w:p w:rsidR="009C7505" w:rsidRPr="00653421" w:rsidRDefault="00A81E83" w:rsidP="009C7505">
      <w:pPr>
        <w:tabs>
          <w:tab w:val="left" w:pos="720"/>
        </w:tabs>
        <w:spacing w:after="60"/>
        <w:ind w:left="720"/>
      </w:pPr>
      <w:r w:rsidRPr="00653421">
        <w:rPr>
          <w:rFonts w:eastAsia="Calibri" w:cs="Tahoma"/>
          <w:b/>
          <w:szCs w:val="18"/>
        </w:rPr>
        <w:lastRenderedPageBreak/>
        <w:t>Para os clientes com cobertura de Software Assurance que expiram em ou depois de 1º</w:t>
      </w:r>
      <w:r w:rsidR="00E30396" w:rsidRPr="00653421">
        <w:rPr>
          <w:rFonts w:eastAsia="Calibri" w:cs="Tahoma"/>
          <w:b/>
          <w:szCs w:val="18"/>
        </w:rPr>
        <w:t> </w:t>
      </w:r>
      <w:r w:rsidRPr="00653421">
        <w:rPr>
          <w:rFonts w:eastAsia="Calibri" w:cs="Tahoma"/>
          <w:b/>
          <w:szCs w:val="18"/>
        </w:rPr>
        <w:t>de</w:t>
      </w:r>
      <w:r w:rsidR="00E30396" w:rsidRPr="00653421">
        <w:rPr>
          <w:rFonts w:eastAsia="Calibri" w:cs="Tahoma"/>
          <w:b/>
          <w:szCs w:val="18"/>
        </w:rPr>
        <w:t> </w:t>
      </w:r>
      <w:r w:rsidRPr="00653421">
        <w:rPr>
          <w:rFonts w:eastAsia="Calibri" w:cs="Tahoma"/>
          <w:b/>
          <w:szCs w:val="18"/>
        </w:rPr>
        <w:t>abril</w:t>
      </w:r>
      <w:r w:rsidR="00E30396" w:rsidRPr="00653421">
        <w:rPr>
          <w:rFonts w:eastAsia="Calibri" w:cs="Tahoma"/>
          <w:b/>
          <w:szCs w:val="18"/>
        </w:rPr>
        <w:t> </w:t>
      </w:r>
      <w:r w:rsidRPr="00653421">
        <w:rPr>
          <w:rFonts w:eastAsia="Calibri" w:cs="Tahoma"/>
          <w:b/>
          <w:szCs w:val="18"/>
        </w:rPr>
        <w:t>de 2015 que optaram pela não renovação</w:t>
      </w:r>
    </w:p>
    <w:p w:rsidR="00A81E83" w:rsidRPr="00653421" w:rsidRDefault="00A81E83" w:rsidP="009C7505">
      <w:pPr>
        <w:tabs>
          <w:tab w:val="left" w:pos="720"/>
        </w:tabs>
        <w:ind w:left="720"/>
      </w:pPr>
      <w:r w:rsidRPr="00653421">
        <w:rPr>
          <w:rFonts w:eastAsia="Calibri" w:cs="Tahoma"/>
          <w:color w:val="000000"/>
          <w:szCs w:val="18"/>
        </w:rPr>
        <w:t xml:space="preserve">Os clientes do Enterprise Subscription </w:t>
      </w:r>
      <w:r w:rsidRPr="00653421">
        <w:rPr>
          <w:rFonts w:eastAsia="Calibri" w:cs="Tahoma"/>
          <w:szCs w:val="18"/>
        </w:rPr>
        <w:t xml:space="preserve">e Open Value Subscription </w:t>
      </w:r>
      <w:r w:rsidRPr="00653421">
        <w:rPr>
          <w:rFonts w:eastAsia="Calibri" w:cs="Tahoma"/>
          <w:color w:val="000000"/>
          <w:szCs w:val="18"/>
        </w:rPr>
        <w:t>com cobertura expirando em ou depois de</w:t>
      </w:r>
      <w:r w:rsidR="00E30396" w:rsidRPr="00653421">
        <w:rPr>
          <w:rFonts w:eastAsia="Calibri" w:cs="Tahoma"/>
          <w:color w:val="000000"/>
          <w:szCs w:val="18"/>
        </w:rPr>
        <w:t> </w:t>
      </w:r>
      <w:r w:rsidRPr="00653421">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rsidR="009C7505" w:rsidRPr="00E53811" w:rsidRDefault="009C7505" w:rsidP="00E30396">
      <w:pPr>
        <w:tabs>
          <w:tab w:val="left" w:pos="720"/>
        </w:tabs>
        <w:spacing w:line="160" w:lineRule="exact"/>
        <w:ind w:left="1080"/>
        <w:rPr>
          <w:sz w:val="16"/>
          <w:szCs w:val="16"/>
        </w:rPr>
      </w:pPr>
    </w:p>
    <w:p w:rsidR="00A81E83" w:rsidRPr="00653421" w:rsidRDefault="00A81E83" w:rsidP="009C7505">
      <w:pPr>
        <w:numPr>
          <w:ilvl w:val="2"/>
          <w:numId w:val="64"/>
        </w:numPr>
        <w:spacing w:after="60"/>
        <w:ind w:left="1440"/>
      </w:pPr>
      <w:r w:rsidRPr="00653421">
        <w:rPr>
          <w:rFonts w:eastAsia="Calibri" w:cs="Tahoma"/>
          <w:szCs w:val="18"/>
        </w:rPr>
        <w:t>Conforme fornecido no primeiro parágrafo desta nota de produto, as licenças adquiridas antes de 1</w:t>
      </w:r>
      <w:r w:rsidRPr="00653421">
        <w:rPr>
          <w:rFonts w:eastAsia="Calibri" w:cs="Tahoma"/>
          <w:szCs w:val="18"/>
          <w:vertAlign w:val="superscript"/>
        </w:rPr>
        <w:t>º</w:t>
      </w:r>
      <w:r w:rsidRPr="00653421">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653421" w:rsidRDefault="00A81E83" w:rsidP="009C7505">
      <w:pPr>
        <w:numPr>
          <w:ilvl w:val="2"/>
          <w:numId w:val="64"/>
        </w:numPr>
        <w:spacing w:after="60"/>
        <w:ind w:left="1440"/>
      </w:pPr>
      <w:r w:rsidRPr="00653421">
        <w:rPr>
          <w:rFonts w:eastAsia="Calibri" w:cs="Tahoma"/>
          <w:szCs w:val="18"/>
        </w:rPr>
        <w:t>Para as licenças adquiridas depois de 1</w:t>
      </w:r>
      <w:r w:rsidRPr="00653421">
        <w:rPr>
          <w:rFonts w:eastAsia="Calibri" w:cs="Tahoma"/>
          <w:szCs w:val="18"/>
          <w:vertAlign w:val="superscript"/>
        </w:rPr>
        <w:t>º</w:t>
      </w:r>
      <w:r w:rsidRPr="00653421">
        <w:rPr>
          <w:rFonts w:eastAsia="Calibri" w:cs="Tahoma"/>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9C7505" w:rsidRPr="00E53811" w:rsidRDefault="009C7505" w:rsidP="00E53811">
      <w:pPr>
        <w:tabs>
          <w:tab w:val="left" w:pos="720"/>
        </w:tabs>
        <w:spacing w:line="160" w:lineRule="exact"/>
        <w:ind w:left="1080"/>
        <w:rPr>
          <w:sz w:val="16"/>
          <w:szCs w:val="16"/>
        </w:rPr>
      </w:pPr>
    </w:p>
    <w:p w:rsidR="009C7505" w:rsidRPr="00653421" w:rsidRDefault="00A81E83" w:rsidP="009C7505">
      <w:pPr>
        <w:spacing w:after="60"/>
        <w:ind w:left="720"/>
      </w:pPr>
      <w:r w:rsidRPr="00653421">
        <w:rPr>
          <w:b/>
        </w:rPr>
        <w:t>Para os clientes localizados na República Popular da</w:t>
      </w:r>
      <w:r w:rsidRPr="00653421">
        <w:t xml:space="preserve"> </w:t>
      </w:r>
      <w:r w:rsidRPr="00653421">
        <w:rPr>
          <w:b/>
        </w:rPr>
        <w:t>China e para os que estão adquirindo licenças de processador e Software Assurance para SQL Server 2008 R2</w:t>
      </w:r>
    </w:p>
    <w:p w:rsidR="001A7718" w:rsidRPr="00653421" w:rsidRDefault="00A81E83" w:rsidP="00E53811">
      <w:pPr>
        <w:ind w:left="720"/>
      </w:pPr>
      <w:r w:rsidRPr="00653421">
        <w:t>As referências a 1</w:t>
      </w:r>
      <w:r w:rsidRPr="00653421">
        <w:rPr>
          <w:vertAlign w:val="superscript"/>
        </w:rPr>
        <w:t>º</w:t>
      </w:r>
      <w:r w:rsidRPr="00653421">
        <w:t xml:space="preserve"> de abril de 2012 e 1</w:t>
      </w:r>
      <w:r w:rsidRPr="00653421">
        <w:rPr>
          <w:vertAlign w:val="superscript"/>
        </w:rPr>
        <w:t>º</w:t>
      </w:r>
      <w:r w:rsidRPr="00653421">
        <w:t xml:space="preserve"> de abril de 2015 nesta nota da lista de produtos não são aplicáveis. As datas aplicáveis para esses clientes são 1</w:t>
      </w:r>
      <w:r w:rsidRPr="00653421">
        <w:rPr>
          <w:vertAlign w:val="superscript"/>
        </w:rPr>
        <w:t>º</w:t>
      </w:r>
      <w:r w:rsidRPr="00653421">
        <w:t xml:space="preserve"> de julho de 2012 e 1</w:t>
      </w:r>
      <w:r w:rsidRPr="00653421">
        <w:rPr>
          <w:vertAlign w:val="superscript"/>
        </w:rPr>
        <w:t>º</w:t>
      </w:r>
      <w:r w:rsidRPr="00653421">
        <w:t xml:space="preserve"> de julho de 2015, respectivamente.</w:t>
      </w:r>
      <w:bookmarkStart w:id="1475" w:name="_821_SQL_Server®"/>
      <w:bookmarkStart w:id="1476" w:name="Srv_82SysCtrDataProMgr07StdSvrMgmtML"/>
      <w:bookmarkStart w:id="1477" w:name="Srv_78SysCtrDataProMgr07StdSvrMgmtML"/>
      <w:bookmarkStart w:id="1478" w:name="Srv_79SysCtrDataProMgr07StdSvrMgmtML"/>
      <w:bookmarkEnd w:id="1422"/>
      <w:bookmarkEnd w:id="1423"/>
      <w:bookmarkEnd w:id="1424"/>
      <w:bookmarkEnd w:id="1425"/>
      <w:bookmarkEnd w:id="1475"/>
    </w:p>
    <w:p w:rsidR="001A7718" w:rsidRPr="00E53811" w:rsidRDefault="001A7718" w:rsidP="00E53811">
      <w:pPr>
        <w:tabs>
          <w:tab w:val="left" w:pos="720"/>
        </w:tabs>
        <w:spacing w:line="160" w:lineRule="exact"/>
        <w:ind w:left="1080"/>
        <w:rPr>
          <w:sz w:val="16"/>
          <w:szCs w:val="16"/>
        </w:rPr>
      </w:pPr>
    </w:p>
    <w:p w:rsidR="001A7718" w:rsidRPr="00E53811" w:rsidRDefault="001A7718" w:rsidP="00E53811">
      <w:pPr>
        <w:tabs>
          <w:tab w:val="left" w:pos="720"/>
        </w:tabs>
        <w:spacing w:line="160" w:lineRule="exact"/>
        <w:ind w:left="1080"/>
        <w:rPr>
          <w:sz w:val="16"/>
          <w:szCs w:val="16"/>
        </w:rPr>
      </w:pPr>
    </w:p>
    <w:p w:rsidR="00023FE7" w:rsidRPr="00653421" w:rsidRDefault="00F66FB0" w:rsidP="0037081F">
      <w:pPr>
        <w:pStyle w:val="Heading3"/>
      </w:pPr>
      <w:bookmarkStart w:id="1479" w:name="_79_System_Center"/>
      <w:bookmarkStart w:id="1480" w:name="_86_84_System"/>
      <w:bookmarkStart w:id="1481" w:name="_Toc336338351"/>
      <w:bookmarkStart w:id="1482" w:name="_Toc353470991"/>
      <w:bookmarkStart w:id="1483" w:name="Srv_79SystemCenterEssentials07"/>
      <w:bookmarkStart w:id="1484" w:name="Srv_80SystemCenterEssentials07"/>
      <w:bookmarkStart w:id="1485" w:name="Srv_83SystemCenterEssentials07"/>
      <w:bookmarkEnd w:id="1476"/>
      <w:bookmarkEnd w:id="1477"/>
      <w:bookmarkEnd w:id="1478"/>
      <w:bookmarkEnd w:id="1479"/>
      <w:bookmarkEnd w:id="1480"/>
      <w:r w:rsidRPr="00653421">
        <w:rPr>
          <w:rFonts w:ascii="Tahoma" w:hAnsi="Tahoma"/>
          <w:caps/>
          <w:color w:val="F66400"/>
          <w:sz w:val="22"/>
          <w:vertAlign w:val="superscript"/>
        </w:rPr>
        <w:t>85</w:t>
      </w:r>
      <w:r w:rsidRPr="00653421">
        <w:rPr>
          <w:rFonts w:ascii="Tahoma" w:hAnsi="Tahoma"/>
          <w:color w:val="F66400"/>
          <w:sz w:val="22"/>
        </w:rPr>
        <w:t xml:space="preserve"> System Center Essentials 2010</w:t>
      </w:r>
      <w:bookmarkEnd w:id="1481"/>
      <w:bookmarkEnd w:id="1482"/>
    </w:p>
    <w:bookmarkEnd w:id="1483"/>
    <w:bookmarkEnd w:id="1484"/>
    <w:bookmarkEnd w:id="1485"/>
    <w:p w:rsidR="00A30254" w:rsidRPr="00E53811" w:rsidRDefault="00A30254" w:rsidP="00E53811">
      <w:pPr>
        <w:tabs>
          <w:tab w:val="left" w:pos="720"/>
        </w:tabs>
        <w:spacing w:line="160" w:lineRule="exact"/>
        <w:ind w:left="1080"/>
        <w:rPr>
          <w:sz w:val="16"/>
          <w:szCs w:val="16"/>
        </w:rPr>
      </w:pPr>
    </w:p>
    <w:p w:rsidR="00A30254" w:rsidRPr="00653421" w:rsidRDefault="00A30254" w:rsidP="00A30254">
      <w:pPr>
        <w:spacing w:after="60"/>
        <w:ind w:left="720"/>
      </w:pPr>
      <w:r w:rsidRPr="00653421">
        <w:rPr>
          <w:rFonts w:cs="Tahoma"/>
          <w:b/>
          <w:color w:val="000000"/>
          <w:szCs w:val="20"/>
        </w:rPr>
        <w:t>Outorga de Licença para os Clientes de Software Assurance do System Center Essentials 2010</w:t>
      </w:r>
    </w:p>
    <w:p w:rsidR="00A30254" w:rsidRPr="00653421" w:rsidRDefault="00A30254" w:rsidP="00A30254">
      <w:pPr>
        <w:pStyle w:val="EndnoteText"/>
        <w:ind w:left="720"/>
        <w:rPr>
          <w:rFonts w:ascii="Tahoma" w:hAnsi="Tahoma" w:cs="Tahoma"/>
          <w:sz w:val="18"/>
        </w:rPr>
      </w:pPr>
      <w:r w:rsidRPr="00653421">
        <w:rPr>
          <w:rFonts w:ascii="Tahoma" w:hAnsi="Tahoma" w:cs="Tahoma"/>
          <w:sz w:val="18"/>
        </w:rPr>
        <w:t>A versão 2010 do System Center Essentials (SCE) será a última versão do produto.</w:t>
      </w:r>
      <w:r w:rsidR="005A52A2" w:rsidRPr="00653421">
        <w:rPr>
          <w:rFonts w:ascii="Tahoma" w:hAnsi="Tahoma" w:cs="Tahoma"/>
          <w:sz w:val="18"/>
        </w:rPr>
        <w:t xml:space="preserve"> </w:t>
      </w:r>
      <w:r w:rsidRPr="00653421">
        <w:rPr>
          <w:rFonts w:ascii="Tahoma" w:hAnsi="Tahoma" w:cs="Tahoma"/>
          <w:sz w:val="18"/>
        </w:rPr>
        <w:t>Os clientes que possuírem cobertura de Software Assurance para SCE a partir de 1</w:t>
      </w:r>
      <w:r w:rsidRPr="00653421">
        <w:rPr>
          <w:rFonts w:ascii="Tahoma" w:hAnsi="Tahoma" w:cs="Tahoma"/>
          <w:sz w:val="18"/>
          <w:vertAlign w:val="superscript"/>
        </w:rPr>
        <w:t>o</w:t>
      </w:r>
      <w:r w:rsidRPr="00653421">
        <w:rPr>
          <w:rFonts w:ascii="Tahoma" w:hAnsi="Tahoma" w:cs="Tahoma"/>
          <w:sz w:val="18"/>
        </w:rPr>
        <w:t xml:space="preserve"> de março de 2013 terão uma concessão de licenças do System Center 2012 sem custo adicional, a não ser os custos de mídia (se</w:t>
      </w:r>
      <w:r w:rsidR="00E30396" w:rsidRPr="00653421">
        <w:rPr>
          <w:rFonts w:ascii="Tahoma" w:hAnsi="Tahoma" w:cs="Tahoma"/>
          <w:sz w:val="18"/>
        </w:rPr>
        <w:t> </w:t>
      </w:r>
      <w:r w:rsidRPr="00653421">
        <w:rPr>
          <w:rFonts w:ascii="Tahoma" w:hAnsi="Tahoma" w:cs="Tahoma"/>
          <w:sz w:val="18"/>
        </w:rPr>
        <w:t>aplicável).</w:t>
      </w:r>
      <w:r w:rsidR="005A52A2" w:rsidRPr="00653421">
        <w:rPr>
          <w:rFonts w:ascii="Tahoma" w:hAnsi="Tahoma" w:cs="Tahoma"/>
          <w:sz w:val="18"/>
        </w:rPr>
        <w:t xml:space="preserve"> </w:t>
      </w:r>
      <w:r w:rsidRPr="00653421">
        <w:rPr>
          <w:rFonts w:ascii="Tahoma" w:hAnsi="Tahoma" w:cs="Tahoma"/>
          <w:sz w:val="18"/>
        </w:rPr>
        <w:t>O número de licenças do System Center 2012 para as quais um cliente estará qualificado</w:t>
      </w:r>
      <w:r w:rsidR="00E30396" w:rsidRPr="00653421">
        <w:rPr>
          <w:rFonts w:ascii="Tahoma" w:hAnsi="Tahoma" w:cs="Tahoma"/>
          <w:sz w:val="18"/>
        </w:rPr>
        <w:t> </w:t>
      </w:r>
      <w:r w:rsidRPr="00653421">
        <w:rPr>
          <w:rFonts w:ascii="Tahoma" w:hAnsi="Tahoma" w:cs="Tahoma"/>
          <w:sz w:val="18"/>
        </w:rPr>
        <w:t>sob</w:t>
      </w:r>
      <w:r w:rsidR="00E30396" w:rsidRPr="00653421">
        <w:rPr>
          <w:rFonts w:ascii="Tahoma" w:hAnsi="Tahoma" w:cs="Tahoma"/>
          <w:sz w:val="18"/>
        </w:rPr>
        <w:t> </w:t>
      </w:r>
      <w:r w:rsidRPr="00653421">
        <w:rPr>
          <w:rFonts w:ascii="Tahoma" w:hAnsi="Tahoma" w:cs="Tahoma"/>
          <w:sz w:val="18"/>
        </w:rPr>
        <w:t>esta oferta varia com base no número e no tipo de licenças SCE com cobertura de Software</w:t>
      </w:r>
      <w:r w:rsidR="00E30396" w:rsidRPr="00653421">
        <w:rPr>
          <w:rFonts w:ascii="Tahoma" w:hAnsi="Tahoma" w:cs="Tahoma"/>
          <w:sz w:val="18"/>
        </w:rPr>
        <w:t> </w:t>
      </w:r>
      <w:r w:rsidRPr="00653421">
        <w:rPr>
          <w:rFonts w:ascii="Tahoma" w:hAnsi="Tahoma" w:cs="Tahoma"/>
          <w:sz w:val="18"/>
        </w:rPr>
        <w:t>Assurance que o cliente adquiriu.</w:t>
      </w:r>
      <w:r w:rsidR="005A52A2" w:rsidRPr="00653421">
        <w:rPr>
          <w:rFonts w:ascii="Tahoma" w:hAnsi="Tahoma" w:cs="Tahoma"/>
          <w:sz w:val="18"/>
        </w:rPr>
        <w:t xml:space="preserve"> </w:t>
      </w:r>
      <w:r w:rsidRPr="00653421">
        <w:rPr>
          <w:rFonts w:ascii="Tahoma" w:hAnsi="Tahoma" w:cs="Tahoma"/>
          <w:sz w:val="18"/>
        </w:rPr>
        <w:t>Consulte a tabela a seguir para obter detalhes.</w:t>
      </w:r>
    </w:p>
    <w:p w:rsidR="001A7718" w:rsidRPr="00E53811" w:rsidRDefault="001A7718" w:rsidP="00E53811">
      <w:pPr>
        <w:tabs>
          <w:tab w:val="left" w:pos="720"/>
        </w:tabs>
        <w:spacing w:line="160" w:lineRule="exact"/>
        <w:ind w:left="1080"/>
        <w:rPr>
          <w:sz w:val="16"/>
          <w:szCs w:val="16"/>
        </w:rPr>
      </w:pPr>
    </w:p>
    <w:tbl>
      <w:tblPr>
        <w:tblStyle w:val="TableGrid1"/>
        <w:tblW w:w="8644" w:type="dxa"/>
        <w:tblInd w:w="824" w:type="dxa"/>
        <w:tblLook w:val="04A0" w:firstRow="1" w:lastRow="0" w:firstColumn="1" w:lastColumn="0" w:noHBand="0" w:noVBand="1"/>
      </w:tblPr>
      <w:tblGrid>
        <w:gridCol w:w="3424"/>
        <w:gridCol w:w="5220"/>
      </w:tblGrid>
      <w:tr w:rsidR="00A30254" w:rsidRPr="00E53811" w:rsidTr="00E53811">
        <w:tc>
          <w:tcPr>
            <w:tcW w:w="3424" w:type="dxa"/>
            <w:shd w:val="clear" w:color="auto" w:fill="FABF8F"/>
            <w:hideMark/>
          </w:tcPr>
          <w:p w:rsidR="00A30254" w:rsidRPr="00E53811" w:rsidRDefault="00A30254" w:rsidP="00E30396">
            <w:pPr>
              <w:ind w:left="162"/>
              <w:jc w:val="center"/>
              <w:rPr>
                <w:rFonts w:cs="Tahoma"/>
                <w:b/>
                <w:bCs/>
                <w:color w:val="000000"/>
                <w:szCs w:val="18"/>
              </w:rPr>
            </w:pPr>
            <w:r w:rsidRPr="00E53811">
              <w:rPr>
                <w:rFonts w:cs="Tahoma"/>
                <w:b/>
                <w:bCs/>
                <w:color w:val="000000"/>
                <w:szCs w:val="18"/>
              </w:rPr>
              <w:t>Licenças de Qualificação com Software</w:t>
            </w:r>
            <w:r w:rsidR="00E30396" w:rsidRPr="00E53811">
              <w:rPr>
                <w:rFonts w:cs="Tahoma"/>
                <w:b/>
                <w:bCs/>
                <w:color w:val="000000"/>
                <w:szCs w:val="18"/>
              </w:rPr>
              <w:t> </w:t>
            </w:r>
            <w:r w:rsidRPr="00E53811">
              <w:rPr>
                <w:rFonts w:cs="Tahoma"/>
                <w:b/>
                <w:bCs/>
                <w:color w:val="000000"/>
                <w:szCs w:val="18"/>
              </w:rPr>
              <w:t>Assurance</w:t>
            </w:r>
          </w:p>
        </w:tc>
        <w:tc>
          <w:tcPr>
            <w:tcW w:w="5220" w:type="dxa"/>
            <w:shd w:val="clear" w:color="auto" w:fill="FABF8F"/>
            <w:hideMark/>
          </w:tcPr>
          <w:p w:rsidR="00A30254" w:rsidRPr="00E53811" w:rsidRDefault="00A30254" w:rsidP="00CE334A">
            <w:pPr>
              <w:ind w:left="162"/>
              <w:jc w:val="center"/>
              <w:rPr>
                <w:rFonts w:cs="Tahoma"/>
                <w:b/>
                <w:bCs/>
                <w:color w:val="000000"/>
                <w:szCs w:val="18"/>
              </w:rPr>
            </w:pPr>
            <w:r w:rsidRPr="00E53811">
              <w:rPr>
                <w:rFonts w:cs="Tahoma"/>
                <w:b/>
                <w:bCs/>
                <w:color w:val="000000"/>
                <w:szCs w:val="18"/>
              </w:rPr>
              <w:t>Outorga de Licença do System Center 2012</w:t>
            </w:r>
          </w:p>
        </w:tc>
      </w:tr>
      <w:tr w:rsidR="00A30254" w:rsidRPr="00E53811" w:rsidTr="00E53811">
        <w:tc>
          <w:tcPr>
            <w:tcW w:w="3424" w:type="dxa"/>
            <w:hideMark/>
          </w:tcPr>
          <w:p w:rsidR="00A30254" w:rsidRPr="00E53811" w:rsidRDefault="00A30254" w:rsidP="00E53811">
            <w:pPr>
              <w:rPr>
                <w:rFonts w:cs="Tahoma"/>
                <w:bCs/>
                <w:color w:val="000000"/>
                <w:szCs w:val="18"/>
              </w:rPr>
            </w:pPr>
            <w:r w:rsidRPr="00E53811">
              <w:rPr>
                <w:rFonts w:cs="Tahoma"/>
                <w:bCs/>
                <w:color w:val="000000"/>
                <w:szCs w:val="18"/>
              </w:rPr>
              <w:t>System Center Essentials 2010</w:t>
            </w:r>
          </w:p>
        </w:tc>
        <w:tc>
          <w:tcPr>
            <w:tcW w:w="5220" w:type="dxa"/>
            <w:hideMark/>
          </w:tcPr>
          <w:p w:rsidR="00A30254" w:rsidRPr="00E53811" w:rsidRDefault="00A30254" w:rsidP="00E53811">
            <w:pPr>
              <w:ind w:left="115"/>
              <w:rPr>
                <w:rFonts w:cs="Tahoma"/>
                <w:bCs/>
                <w:color w:val="000000"/>
                <w:szCs w:val="18"/>
              </w:rPr>
            </w:pPr>
            <w:r w:rsidRPr="00E53811">
              <w:rPr>
                <w:rFonts w:cs="Tahoma"/>
                <w:bCs/>
                <w:color w:val="000000"/>
                <w:szCs w:val="18"/>
              </w:rPr>
              <w:t>uma Licença de Gerenciamento de Servidores Padrão do System Center 2012 para cada oito* licenças de qualificação</w:t>
            </w:r>
          </w:p>
        </w:tc>
      </w:tr>
      <w:tr w:rsidR="00A30254" w:rsidRPr="00E53811" w:rsidTr="00E53811">
        <w:tc>
          <w:tcPr>
            <w:tcW w:w="3424" w:type="dxa"/>
            <w:hideMark/>
          </w:tcPr>
          <w:p w:rsidR="00A30254" w:rsidRPr="00E53811" w:rsidRDefault="00A30254" w:rsidP="00E53811">
            <w:pPr>
              <w:rPr>
                <w:rFonts w:cs="Tahoma"/>
                <w:bCs/>
                <w:color w:val="000000"/>
                <w:szCs w:val="18"/>
              </w:rPr>
            </w:pPr>
            <w:r w:rsidRPr="00E53811">
              <w:rPr>
                <w:rFonts w:cs="Tahoma"/>
                <w:bCs/>
                <w:color w:val="000000"/>
                <w:szCs w:val="18"/>
              </w:rPr>
              <w:t>System Center Essentials 2010 com</w:t>
            </w:r>
            <w:r w:rsidR="00E53811">
              <w:rPr>
                <w:rFonts w:cs="Tahoma"/>
                <w:bCs/>
                <w:color w:val="000000"/>
                <w:szCs w:val="18"/>
              </w:rPr>
              <w:t xml:space="preserve"> </w:t>
            </w:r>
            <w:r w:rsidRPr="00E53811">
              <w:rPr>
                <w:rFonts w:cs="Tahoma"/>
                <w:bCs/>
                <w:color w:val="000000"/>
                <w:szCs w:val="18"/>
              </w:rPr>
              <w:t>SQL</w:t>
            </w:r>
          </w:p>
        </w:tc>
        <w:tc>
          <w:tcPr>
            <w:tcW w:w="5220" w:type="dxa"/>
            <w:hideMark/>
          </w:tcPr>
          <w:p w:rsidR="00A30254" w:rsidRPr="00E53811" w:rsidRDefault="00A30254" w:rsidP="00E53811">
            <w:pPr>
              <w:ind w:left="115"/>
              <w:rPr>
                <w:rFonts w:cs="Tahoma"/>
                <w:bCs/>
                <w:color w:val="000000"/>
                <w:szCs w:val="18"/>
              </w:rPr>
            </w:pPr>
            <w:r w:rsidRPr="00E53811">
              <w:rPr>
                <w:rFonts w:cs="Tahoma"/>
                <w:bCs/>
                <w:color w:val="000000"/>
                <w:szCs w:val="18"/>
              </w:rPr>
              <w:t>uma Licença de Gerenciamento de Servidores Padrão do System Center 2012 para cada uma licença qualificada</w:t>
            </w:r>
          </w:p>
        </w:tc>
      </w:tr>
      <w:tr w:rsidR="00A30254" w:rsidRPr="00E53811" w:rsidTr="00E53811">
        <w:tc>
          <w:tcPr>
            <w:tcW w:w="3424" w:type="dxa"/>
            <w:hideMark/>
          </w:tcPr>
          <w:p w:rsidR="00A30254" w:rsidRPr="00E53811" w:rsidRDefault="00A30254" w:rsidP="00E53811">
            <w:pPr>
              <w:rPr>
                <w:rFonts w:cs="Tahoma"/>
                <w:bCs/>
                <w:color w:val="000000"/>
                <w:szCs w:val="18"/>
              </w:rPr>
            </w:pPr>
            <w:r w:rsidRPr="00E53811">
              <w:rPr>
                <w:rFonts w:cs="Tahoma"/>
                <w:bCs/>
                <w:color w:val="000000"/>
                <w:szCs w:val="18"/>
              </w:rPr>
              <w:t>Licença de Gerenciamento do System Center Essentials 2010 Server</w:t>
            </w:r>
          </w:p>
        </w:tc>
        <w:tc>
          <w:tcPr>
            <w:tcW w:w="5220" w:type="dxa"/>
            <w:hideMark/>
          </w:tcPr>
          <w:p w:rsidR="00A30254" w:rsidRPr="00E53811" w:rsidRDefault="00A30254" w:rsidP="00E53811">
            <w:pPr>
              <w:ind w:left="115"/>
              <w:rPr>
                <w:rFonts w:cs="Tahoma"/>
                <w:bCs/>
                <w:color w:val="000000"/>
                <w:szCs w:val="18"/>
              </w:rPr>
            </w:pPr>
            <w:r w:rsidRPr="00E53811">
              <w:rPr>
                <w:rFonts w:cs="Tahoma"/>
                <w:bCs/>
                <w:color w:val="000000"/>
                <w:szCs w:val="18"/>
              </w:rPr>
              <w:t>uma Licença de Gerenciamento de Servidores Padrão do System Center 2012 para cada oito* licenças de qualificação</w:t>
            </w:r>
          </w:p>
        </w:tc>
      </w:tr>
      <w:tr w:rsidR="00A30254" w:rsidRPr="00E53811" w:rsidTr="00E53811">
        <w:tc>
          <w:tcPr>
            <w:tcW w:w="3424" w:type="dxa"/>
            <w:hideMark/>
          </w:tcPr>
          <w:p w:rsidR="00A30254" w:rsidRPr="00E53811" w:rsidRDefault="00A30254" w:rsidP="00E53811">
            <w:r w:rsidRPr="00E53811">
              <w:rPr>
                <w:rFonts w:cs="Tahoma"/>
                <w:bCs/>
                <w:color w:val="000000"/>
                <w:szCs w:val="18"/>
              </w:rPr>
              <w:t>System Center Essentials 2010 Plus</w:t>
            </w:r>
          </w:p>
          <w:p w:rsidR="00A30254" w:rsidRPr="00E53811" w:rsidRDefault="00A30254" w:rsidP="00E53811">
            <w:pPr>
              <w:rPr>
                <w:rFonts w:cs="Tahoma"/>
                <w:bCs/>
                <w:color w:val="000000"/>
                <w:szCs w:val="18"/>
              </w:rPr>
            </w:pPr>
            <w:r w:rsidRPr="00E53811">
              <w:rPr>
                <w:rFonts w:cs="Tahoma"/>
                <w:bCs/>
                <w:color w:val="000000"/>
                <w:szCs w:val="18"/>
              </w:rPr>
              <w:t>Pacote de Licenças de Gerenciamento de</w:t>
            </w:r>
            <w:r w:rsidR="00AE277F" w:rsidRPr="00E53811">
              <w:rPr>
                <w:rFonts w:cs="Tahoma"/>
                <w:bCs/>
                <w:color w:val="000000"/>
                <w:szCs w:val="18"/>
              </w:rPr>
              <w:t> </w:t>
            </w:r>
            <w:r w:rsidRPr="00E53811">
              <w:rPr>
                <w:rFonts w:cs="Tahoma"/>
                <w:bCs/>
                <w:color w:val="000000"/>
                <w:szCs w:val="18"/>
              </w:rPr>
              <w:t>Servidor</w:t>
            </w:r>
          </w:p>
        </w:tc>
        <w:tc>
          <w:tcPr>
            <w:tcW w:w="5220" w:type="dxa"/>
            <w:hideMark/>
          </w:tcPr>
          <w:p w:rsidR="00A30254" w:rsidRPr="00E53811" w:rsidRDefault="00A30254" w:rsidP="00E53811">
            <w:pPr>
              <w:ind w:left="115"/>
              <w:rPr>
                <w:rFonts w:cs="Tahoma"/>
                <w:bCs/>
                <w:color w:val="000000"/>
                <w:szCs w:val="18"/>
              </w:rPr>
            </w:pPr>
            <w:r w:rsidRPr="00E53811">
              <w:rPr>
                <w:rFonts w:cs="Tahoma"/>
                <w:bCs/>
                <w:color w:val="000000"/>
                <w:szCs w:val="18"/>
              </w:rPr>
              <w:t>uma Licença de Gerenciamento de Servidores Padrão do System Center 2012 para cada duas** licenças de qualificação</w:t>
            </w:r>
          </w:p>
        </w:tc>
      </w:tr>
      <w:tr w:rsidR="00A30254" w:rsidRPr="00E53811" w:rsidTr="00E53811">
        <w:tc>
          <w:tcPr>
            <w:tcW w:w="3424" w:type="dxa"/>
            <w:hideMark/>
          </w:tcPr>
          <w:p w:rsidR="00A30254" w:rsidRPr="00E53811" w:rsidRDefault="00A30254" w:rsidP="00E53811">
            <w:pPr>
              <w:rPr>
                <w:rFonts w:cs="Tahoma"/>
                <w:bCs/>
                <w:color w:val="000000"/>
                <w:szCs w:val="18"/>
              </w:rPr>
            </w:pPr>
            <w:r w:rsidRPr="00E53811">
              <w:rPr>
                <w:rFonts w:cs="Tahoma"/>
                <w:bCs/>
                <w:color w:val="000000"/>
                <w:szCs w:val="18"/>
              </w:rPr>
              <w:t>Licença de Gerenciamento de Clientes do</w:t>
            </w:r>
            <w:r w:rsidR="00AE277F" w:rsidRPr="00E53811">
              <w:rPr>
                <w:rFonts w:cs="Tahoma"/>
                <w:bCs/>
                <w:color w:val="000000"/>
                <w:szCs w:val="18"/>
              </w:rPr>
              <w:t> </w:t>
            </w:r>
            <w:r w:rsidRPr="00E53811">
              <w:rPr>
                <w:rFonts w:cs="Tahoma"/>
                <w:bCs/>
                <w:color w:val="000000"/>
                <w:szCs w:val="18"/>
              </w:rPr>
              <w:t>System Center Essentials 2010</w:t>
            </w:r>
          </w:p>
        </w:tc>
        <w:tc>
          <w:tcPr>
            <w:tcW w:w="5220" w:type="dxa"/>
            <w:hideMark/>
          </w:tcPr>
          <w:p w:rsidR="00A30254" w:rsidRPr="00E53811" w:rsidRDefault="00A30254" w:rsidP="00E53811">
            <w:pPr>
              <w:ind w:left="115"/>
              <w:rPr>
                <w:rFonts w:cs="Tahoma"/>
                <w:bCs/>
                <w:color w:val="000000"/>
                <w:szCs w:val="18"/>
              </w:rPr>
            </w:pPr>
            <w:r w:rsidRPr="00E53811">
              <w:rPr>
                <w:rFonts w:cs="Tahoma"/>
                <w:bCs/>
                <w:color w:val="000000"/>
                <w:szCs w:val="18"/>
              </w:rPr>
              <w:t>uma Licença de Gerenciamento de Clientes do Gerenciador de Configuração do System Center 2012 para cada uma licença qualificada</w:t>
            </w:r>
          </w:p>
        </w:tc>
      </w:tr>
      <w:tr w:rsidR="00A30254" w:rsidRPr="00E53811" w:rsidTr="00E53811">
        <w:tc>
          <w:tcPr>
            <w:tcW w:w="3424" w:type="dxa"/>
            <w:hideMark/>
          </w:tcPr>
          <w:p w:rsidR="00A30254" w:rsidRPr="00E53811" w:rsidRDefault="00A30254" w:rsidP="00E53811">
            <w:pPr>
              <w:rPr>
                <w:rFonts w:cs="Tahoma"/>
                <w:bCs/>
                <w:color w:val="000000"/>
                <w:szCs w:val="18"/>
              </w:rPr>
            </w:pPr>
            <w:r w:rsidRPr="00E53811">
              <w:rPr>
                <w:rFonts w:cs="Tahoma"/>
                <w:bCs/>
                <w:color w:val="000000"/>
                <w:szCs w:val="18"/>
              </w:rPr>
              <w:t>Licença de Gerenciamento de Cliente</w:t>
            </w:r>
            <w:r w:rsidR="0030085F" w:rsidRPr="00E53811">
              <w:rPr>
                <w:rFonts w:cs="Tahoma"/>
                <w:bCs/>
                <w:color w:val="000000"/>
                <w:szCs w:val="18"/>
              </w:rPr>
              <w:t> </w:t>
            </w:r>
            <w:r w:rsidRPr="00E53811">
              <w:rPr>
                <w:rFonts w:cs="Tahoma"/>
                <w:bCs/>
                <w:color w:val="000000"/>
                <w:szCs w:val="18"/>
              </w:rPr>
              <w:t>do</w:t>
            </w:r>
            <w:r w:rsidR="00AE277F" w:rsidRPr="00E53811">
              <w:rPr>
                <w:rFonts w:cs="Tahoma"/>
                <w:bCs/>
                <w:color w:val="000000"/>
                <w:szCs w:val="18"/>
              </w:rPr>
              <w:t> </w:t>
            </w:r>
            <w:r w:rsidRPr="00E53811">
              <w:rPr>
                <w:rFonts w:cs="Tahoma"/>
                <w:bCs/>
                <w:color w:val="000000"/>
                <w:szCs w:val="18"/>
              </w:rPr>
              <w:t>System Center Essentials</w:t>
            </w:r>
            <w:r w:rsidR="0030085F" w:rsidRPr="00E53811">
              <w:rPr>
                <w:rFonts w:cs="Tahoma"/>
                <w:bCs/>
                <w:color w:val="000000"/>
                <w:szCs w:val="18"/>
              </w:rPr>
              <w:t> </w:t>
            </w:r>
            <w:r w:rsidRPr="00E53811">
              <w:rPr>
                <w:rFonts w:cs="Tahoma"/>
                <w:bCs/>
                <w:color w:val="000000"/>
                <w:szCs w:val="18"/>
              </w:rPr>
              <w:t>2010 Plus</w:t>
            </w:r>
          </w:p>
        </w:tc>
        <w:tc>
          <w:tcPr>
            <w:tcW w:w="5220" w:type="dxa"/>
            <w:hideMark/>
          </w:tcPr>
          <w:p w:rsidR="00A30254" w:rsidRPr="00E53811" w:rsidRDefault="00A30254" w:rsidP="00E53811">
            <w:pPr>
              <w:ind w:left="115"/>
              <w:rPr>
                <w:rFonts w:cs="Tahoma"/>
                <w:bCs/>
                <w:color w:val="000000"/>
                <w:szCs w:val="18"/>
              </w:rPr>
            </w:pPr>
            <w:r w:rsidRPr="00E53811">
              <w:rPr>
                <w:rFonts w:cs="Tahoma"/>
                <w:bCs/>
                <w:color w:val="000000"/>
                <w:szCs w:val="18"/>
              </w:rPr>
              <w:t>uma Licença de Gerenciamento de Clientes do Gerenciador de Configuração do System Center 2012 para cada uma licença qualificada</w:t>
            </w:r>
          </w:p>
        </w:tc>
      </w:tr>
      <w:tr w:rsidR="00A30254" w:rsidRPr="00E53811" w:rsidTr="00E53811">
        <w:tc>
          <w:tcPr>
            <w:tcW w:w="3424" w:type="dxa"/>
            <w:hideMark/>
          </w:tcPr>
          <w:p w:rsidR="00A30254" w:rsidRPr="00E53811" w:rsidRDefault="00A30254" w:rsidP="00E53811">
            <w:pPr>
              <w:rPr>
                <w:rFonts w:cs="Tahoma"/>
                <w:bCs/>
                <w:color w:val="000000"/>
                <w:szCs w:val="18"/>
              </w:rPr>
            </w:pPr>
            <w:r w:rsidRPr="00E53811">
              <w:rPr>
                <w:rFonts w:cs="Tahoma"/>
                <w:bCs/>
                <w:color w:val="000000"/>
                <w:szCs w:val="18"/>
              </w:rPr>
              <w:t>Licença do Virtual Machine Manager Workgroup Edition Server</w:t>
            </w:r>
          </w:p>
        </w:tc>
        <w:tc>
          <w:tcPr>
            <w:tcW w:w="5220" w:type="dxa"/>
            <w:hideMark/>
          </w:tcPr>
          <w:p w:rsidR="00A30254" w:rsidRPr="00E53811" w:rsidRDefault="00A30254" w:rsidP="00E53811">
            <w:pPr>
              <w:ind w:left="115"/>
              <w:rPr>
                <w:rFonts w:cs="Tahoma"/>
                <w:bCs/>
                <w:color w:val="000000"/>
                <w:szCs w:val="18"/>
              </w:rPr>
            </w:pPr>
            <w:r w:rsidRPr="00E53811">
              <w:rPr>
                <w:rFonts w:cs="Tahoma"/>
                <w:bCs/>
                <w:color w:val="000000"/>
                <w:szCs w:val="18"/>
              </w:rPr>
              <w:t>uma Licença de Gerenciamento de Servidores Padrão do</w:t>
            </w:r>
            <w:r w:rsidR="00E6187C" w:rsidRPr="00E53811">
              <w:rPr>
                <w:rFonts w:cs="Tahoma"/>
                <w:bCs/>
                <w:color w:val="000000"/>
                <w:szCs w:val="18"/>
              </w:rPr>
              <w:t> </w:t>
            </w:r>
            <w:r w:rsidRPr="00E53811">
              <w:rPr>
                <w:rFonts w:cs="Tahoma"/>
                <w:bCs/>
                <w:color w:val="000000"/>
                <w:szCs w:val="18"/>
              </w:rPr>
              <w:t>System Center 2012 para cada duas** licenças de</w:t>
            </w:r>
            <w:r w:rsidR="00E6187C" w:rsidRPr="00E53811">
              <w:rPr>
                <w:rFonts w:cs="Tahoma"/>
                <w:bCs/>
                <w:color w:val="000000"/>
                <w:szCs w:val="18"/>
              </w:rPr>
              <w:t> </w:t>
            </w:r>
            <w:r w:rsidRPr="00E53811">
              <w:rPr>
                <w:rFonts w:cs="Tahoma"/>
                <w:bCs/>
                <w:color w:val="000000"/>
                <w:szCs w:val="18"/>
              </w:rPr>
              <w:t>qualificação</w:t>
            </w:r>
          </w:p>
        </w:tc>
      </w:tr>
    </w:tbl>
    <w:p w:rsidR="00A30254" w:rsidRPr="00653421" w:rsidRDefault="00A30254" w:rsidP="00A30254">
      <w:pPr>
        <w:pStyle w:val="EndnoteText"/>
      </w:pPr>
      <w:r w:rsidRPr="00653421">
        <w:rPr>
          <w:rFonts w:ascii="Tahoma" w:hAnsi="Tahoma" w:cs="Tahoma"/>
          <w:i/>
          <w:sz w:val="16"/>
          <w:szCs w:val="16"/>
        </w:rPr>
        <w:t>*As contagens de licenças para clientes com menos de oito licenças de qualificação serão arredondados para oito para fins de determinar sua outorga de licença sob esta oferta.</w:t>
      </w:r>
      <w:r w:rsidR="005A52A2" w:rsidRPr="00653421">
        <w:rPr>
          <w:rFonts w:ascii="Tahoma" w:hAnsi="Tahoma" w:cs="Tahoma"/>
          <w:i/>
          <w:sz w:val="16"/>
          <w:szCs w:val="16"/>
        </w:rPr>
        <w:t xml:space="preserve"> </w:t>
      </w:r>
      <w:r w:rsidRPr="00653421">
        <w:rPr>
          <w:rFonts w:ascii="Tahoma" w:hAnsi="Tahoma" w:cs="Tahoma"/>
          <w:i/>
          <w:sz w:val="16"/>
          <w:szCs w:val="16"/>
        </w:rPr>
        <w:t>Da mesma forma, as contagens de licenças para clientes com licenças que ultrapassam oito serão arredondadas para o múltiplo mais próximo de oito para fins de determinar sua outorga de licença sob esta oferta.</w:t>
      </w:r>
    </w:p>
    <w:p w:rsidR="00A30254" w:rsidRPr="00E53811" w:rsidRDefault="00A30254" w:rsidP="00E53811">
      <w:pPr>
        <w:tabs>
          <w:tab w:val="left" w:pos="720"/>
        </w:tabs>
        <w:spacing w:line="160" w:lineRule="exact"/>
        <w:ind w:left="1080"/>
        <w:rPr>
          <w:sz w:val="16"/>
          <w:szCs w:val="16"/>
        </w:rPr>
      </w:pPr>
    </w:p>
    <w:p w:rsidR="00A30254" w:rsidRPr="00653421" w:rsidRDefault="00A30254" w:rsidP="00A30254">
      <w:pPr>
        <w:pStyle w:val="EndnoteText"/>
      </w:pPr>
      <w:r w:rsidRPr="00653421">
        <w:rPr>
          <w:rFonts w:ascii="Tahoma" w:hAnsi="Tahoma" w:cs="Tahoma"/>
          <w:i/>
          <w:sz w:val="16"/>
          <w:szCs w:val="16"/>
        </w:rPr>
        <w:t>**As contagens de licenças para clientes com menos de duas licenças de qualificação serão arredondados para dois para fins de determinar sua outorga de licença sob esta oferta.</w:t>
      </w:r>
      <w:r w:rsidR="005A52A2" w:rsidRPr="00653421">
        <w:rPr>
          <w:rFonts w:ascii="Tahoma" w:hAnsi="Tahoma" w:cs="Tahoma"/>
          <w:i/>
          <w:sz w:val="16"/>
          <w:szCs w:val="16"/>
        </w:rPr>
        <w:t xml:space="preserve"> </w:t>
      </w:r>
      <w:r w:rsidRPr="00653421">
        <w:rPr>
          <w:rFonts w:ascii="Tahoma" w:hAnsi="Tahoma" w:cs="Tahoma"/>
          <w:i/>
          <w:sz w:val="16"/>
          <w:szCs w:val="16"/>
        </w:rPr>
        <w:t>Da mesma forma, as contagens de licenças para clientes com licenças que ultrapassam duas serão arredondadas para o múltiplo mais próximo de dois para fins de determinar sua outorga de licença sob esta oferta.</w:t>
      </w:r>
    </w:p>
    <w:p w:rsidR="00A30254" w:rsidRPr="00653421" w:rsidRDefault="00A30254" w:rsidP="00CE334A">
      <w:pPr>
        <w:pStyle w:val="EndnoteText"/>
        <w:ind w:left="720"/>
      </w:pPr>
      <w:r w:rsidRPr="00653421">
        <w:rPr>
          <w:rFonts w:ascii="Tahoma" w:hAnsi="Tahoma" w:cs="Tahoma"/>
          <w:sz w:val="18"/>
          <w:szCs w:val="18"/>
        </w:rPr>
        <w:lastRenderedPageBreak/>
        <w:t>Todas as licenças concedidas sob esta oferta incluirão cobertura do Software Assurance. Essa cobertura se</w:t>
      </w:r>
      <w:r w:rsidR="00E30396" w:rsidRPr="00653421">
        <w:rPr>
          <w:rFonts w:ascii="Tahoma" w:hAnsi="Tahoma" w:cs="Tahoma"/>
          <w:sz w:val="18"/>
          <w:szCs w:val="18"/>
        </w:rPr>
        <w:t> </w:t>
      </w:r>
      <w:r w:rsidRPr="00653421">
        <w:rPr>
          <w:rFonts w:ascii="Tahoma" w:hAnsi="Tahoma" w:cs="Tahoma"/>
          <w:sz w:val="18"/>
          <w:szCs w:val="18"/>
        </w:rPr>
        <w:t xml:space="preserve">encerrará no término da cobertura nas licenças de SCE qualificadas. Ao término dessa cobertura, os clientes poderão renovar o Software Assurance sobre as licenças do System Center 2012. </w:t>
      </w:r>
    </w:p>
    <w:p w:rsidR="00A30254" w:rsidRPr="00653421" w:rsidRDefault="00A30254" w:rsidP="00CE334A">
      <w:pPr>
        <w:spacing w:line="276" w:lineRule="auto"/>
      </w:pPr>
    </w:p>
    <w:p w:rsidR="00A30254" w:rsidRPr="00653421" w:rsidRDefault="00A30254" w:rsidP="00CE334A">
      <w:pPr>
        <w:pStyle w:val="EndnoteText"/>
        <w:ind w:left="720"/>
      </w:pPr>
      <w:r w:rsidRPr="00653421">
        <w:rPr>
          <w:rFonts w:ascii="Tahoma" w:hAnsi="Tahoma" w:cs="Tahoma"/>
          <w:sz w:val="18"/>
          <w:szCs w:val="18"/>
        </w:rPr>
        <w:t>O uso que um cliente faz do software outorgado sob esta oferta está sujeito aos termos e condições de seu contrato de licença e aos direitos de uso de produto relacionados ao software. O direito de usar o software outorgado expira quando o direito de usar a licença SCE de qualificação expirar. Os clientes não poderão transferir as licenças outorgadas sob esta oferta separadamente das licenças SCE qualificadas correspondentes.</w:t>
      </w:r>
    </w:p>
    <w:p w:rsidR="00A30254" w:rsidRPr="00653421" w:rsidRDefault="00A30254" w:rsidP="00CE334A">
      <w:pPr>
        <w:pStyle w:val="EndnoteText"/>
        <w:ind w:left="720"/>
      </w:pPr>
    </w:p>
    <w:p w:rsidR="00A30254" w:rsidRPr="00653421" w:rsidRDefault="00A30254" w:rsidP="00CE334A">
      <w:pPr>
        <w:ind w:left="720"/>
      </w:pPr>
      <w:r w:rsidRPr="00653421">
        <w:rPr>
          <w:rFonts w:eastAsia="Calibri" w:cs="Tahoma"/>
          <w:color w:val="000000"/>
          <w:szCs w:val="18"/>
        </w:rPr>
        <w:t>As licenças SCE</w:t>
      </w:r>
      <w:r w:rsidRPr="00653421">
        <w:rPr>
          <w:rFonts w:cs="Tahoma"/>
          <w:bCs/>
          <w:szCs w:val="18"/>
        </w:rPr>
        <w:t xml:space="preserve"> adquiridas após 1° de março de 2013 como parte do processo anual de adequação (“true-up”) de um cliente para Registros Enterprise ou Enrollment for Education Solutions sob os quais as licenças para </w:t>
      </w:r>
      <w:r w:rsidRPr="00653421">
        <w:rPr>
          <w:rFonts w:eastAsia="Calibri" w:cs="Tahoma"/>
          <w:color w:val="000000"/>
          <w:szCs w:val="18"/>
        </w:rPr>
        <w:t>SCE</w:t>
      </w:r>
      <w:r w:rsidRPr="00653421">
        <w:rPr>
          <w:rFonts w:cs="Tahoma"/>
          <w:bCs/>
          <w:szCs w:val="18"/>
        </w:rPr>
        <w:t xml:space="preserve"> foram adquiridas pela primeira vez antes de 1° de março de 2013 também são licenças SCE de qualificação para fins desta concessão.</w:t>
      </w:r>
    </w:p>
    <w:p w:rsidR="001A7718" w:rsidRPr="00653421" w:rsidRDefault="001A7718" w:rsidP="00CE334A">
      <w:pPr>
        <w:ind w:left="720"/>
      </w:pPr>
    </w:p>
    <w:p w:rsidR="00A30254" w:rsidRPr="00653421" w:rsidRDefault="00A30254" w:rsidP="00CE334A">
      <w:pPr>
        <w:ind w:left="720"/>
      </w:pPr>
      <w:r w:rsidRPr="00653421">
        <w:rPr>
          <w:rFonts w:cs="Tahoma"/>
          <w:bCs/>
          <w:szCs w:val="18"/>
        </w:rPr>
        <w:t>No caso de clientes de Enrollment for Education Solutions, Contratos Enterprise Subscription, Campus e School e Open Value Subscription, os mesmos direitos serão outorgados temporariamente até o final do prazo do registro da licença, contanto que as Licenças e o Software Assurance sejam válidos durante o</w:t>
      </w:r>
      <w:r w:rsidR="00E30396" w:rsidRPr="00653421">
        <w:rPr>
          <w:rFonts w:cs="Tahoma"/>
          <w:bCs/>
          <w:szCs w:val="18"/>
        </w:rPr>
        <w:t> </w:t>
      </w:r>
      <w:r w:rsidRPr="00653421">
        <w:rPr>
          <w:rFonts w:cs="Tahoma"/>
          <w:bCs/>
          <w:szCs w:val="18"/>
        </w:rPr>
        <w:t>período da outorga e o cliente mantenha uma cobertura contínua da assinatura.</w:t>
      </w:r>
      <w:r w:rsidR="005A52A2" w:rsidRPr="00653421">
        <w:rPr>
          <w:rFonts w:cs="Tahoma"/>
          <w:bCs/>
          <w:szCs w:val="18"/>
        </w:rPr>
        <w:t xml:space="preserve"> </w:t>
      </w:r>
      <w:r w:rsidRPr="00653421">
        <w:rPr>
          <w:rFonts w:cs="Tahoma"/>
          <w:bCs/>
          <w:szCs w:val="18"/>
        </w:rPr>
        <w:t>Esses direitos só se tornarão permanentes se a opção de compra (“buy-out”) for exercida e continuarão sujeitos a todos os termos e condições do contrato de licença do cliente.</w:t>
      </w:r>
    </w:p>
    <w:p w:rsidR="00E30396" w:rsidRPr="00653421" w:rsidRDefault="00E30396" w:rsidP="00602EF4">
      <w:pPr>
        <w:spacing w:after="60"/>
        <w:ind w:left="720"/>
      </w:pPr>
    </w:p>
    <w:p w:rsidR="00CE2BD2" w:rsidRPr="00653421" w:rsidRDefault="00CE2BD2" w:rsidP="006D6A83">
      <w:pPr>
        <w:spacing w:after="60"/>
        <w:ind w:left="720"/>
      </w:pPr>
      <w:r w:rsidRPr="00653421">
        <w:rPr>
          <w:rFonts w:cs="Tahoma"/>
          <w:b/>
          <w:color w:val="000000"/>
          <w:szCs w:val="20"/>
        </w:rPr>
        <w:t>Caminho de Migração do System Center Essentials 2007 (SCE 2007) para o System Center Essentials 2010 (SCE 2010)</w:t>
      </w:r>
    </w:p>
    <w:p w:rsidR="00A30254" w:rsidRPr="00653421" w:rsidRDefault="00A30254" w:rsidP="00A30254">
      <w:pPr>
        <w:ind w:left="720"/>
      </w:pPr>
      <w:r w:rsidRPr="00653421">
        <w:rPr>
          <w:rFonts w:cs="Tahoma"/>
          <w:color w:val="000000"/>
          <w:szCs w:val="20"/>
        </w:rPr>
        <w:t>Para consultar os termos e as condições que regem o direito dos clientes de atualizar para SCE 2010 a</w:t>
      </w:r>
      <w:r w:rsidR="00E30396" w:rsidRPr="00653421">
        <w:rPr>
          <w:rFonts w:cs="Tahoma"/>
          <w:color w:val="000000"/>
          <w:szCs w:val="20"/>
        </w:rPr>
        <w:t> </w:t>
      </w:r>
      <w:r w:rsidRPr="00653421">
        <w:rPr>
          <w:rFonts w:cs="Tahoma"/>
          <w:color w:val="000000"/>
          <w:szCs w:val="20"/>
        </w:rPr>
        <w:t>partir</w:t>
      </w:r>
      <w:r w:rsidR="00E30396" w:rsidRPr="00653421">
        <w:rPr>
          <w:rFonts w:cs="Tahoma"/>
          <w:color w:val="000000"/>
          <w:szCs w:val="20"/>
        </w:rPr>
        <w:t> </w:t>
      </w:r>
      <w:r w:rsidRPr="00653421">
        <w:rPr>
          <w:rFonts w:cs="Tahoma"/>
          <w:color w:val="000000"/>
          <w:szCs w:val="20"/>
        </w:rPr>
        <w:t>do SCE 2007 sob Software Assurance, consulte a Lista de Produtos de fevereiro de 2013.</w:t>
      </w:r>
    </w:p>
    <w:p w:rsidR="00CE2BD2" w:rsidRPr="00653421" w:rsidRDefault="00CE2BD2" w:rsidP="0037081F">
      <w:pPr>
        <w:ind w:left="720"/>
      </w:pPr>
    </w:p>
    <w:p w:rsidR="00CE2BD2" w:rsidRPr="00653421" w:rsidRDefault="00CE2BD2" w:rsidP="00CE2BD2">
      <w:pPr>
        <w:ind w:left="720"/>
      </w:pPr>
    </w:p>
    <w:p w:rsidR="00ED5504" w:rsidRPr="00653421" w:rsidRDefault="00F66FB0" w:rsidP="00ED5504">
      <w:pPr>
        <w:pStyle w:val="Heading3"/>
      </w:pPr>
      <w:bookmarkStart w:id="1486" w:name="_80_System_Center"/>
      <w:bookmarkStart w:id="1487" w:name="_95_System_Center"/>
      <w:bookmarkStart w:id="1488" w:name="_81_System_Center"/>
      <w:bookmarkStart w:id="1489" w:name="_82_System_Center"/>
      <w:bookmarkStart w:id="1490" w:name="_83_System_Center"/>
      <w:bookmarkStart w:id="1491" w:name="_84__System"/>
      <w:bookmarkStart w:id="1492" w:name="_87_85_System"/>
      <w:bookmarkStart w:id="1493" w:name="_Toc336338353"/>
      <w:bookmarkStart w:id="1494" w:name="_Toc353470992"/>
      <w:bookmarkStart w:id="1495" w:name="Srv_88SystemCtrReportMgr2006"/>
      <w:bookmarkStart w:id="1496" w:name="Srv_89SysCtrSvrMgmtSuiteEnterprise"/>
      <w:bookmarkEnd w:id="1486"/>
      <w:bookmarkEnd w:id="1487"/>
      <w:bookmarkEnd w:id="1488"/>
      <w:bookmarkEnd w:id="1489"/>
      <w:bookmarkEnd w:id="1490"/>
      <w:bookmarkEnd w:id="1491"/>
      <w:bookmarkEnd w:id="1492"/>
      <w:r w:rsidRPr="00653421">
        <w:rPr>
          <w:rFonts w:ascii="Tahoma" w:hAnsi="Tahoma"/>
          <w:caps/>
          <w:color w:val="F66400"/>
          <w:sz w:val="22"/>
          <w:vertAlign w:val="superscript"/>
        </w:rPr>
        <w:t>86</w:t>
      </w:r>
      <w:r w:rsidRPr="00653421">
        <w:rPr>
          <w:rFonts w:ascii="Tahoma" w:hAnsi="Tahoma"/>
          <w:color w:val="F66400"/>
          <w:sz w:val="22"/>
        </w:rPr>
        <w:t xml:space="preserve"> System Center Reporting Manager 2006</w:t>
      </w:r>
      <w:bookmarkEnd w:id="1493"/>
      <w:bookmarkEnd w:id="1494"/>
    </w:p>
    <w:bookmarkEnd w:id="1495"/>
    <w:p w:rsidR="00ED5504" w:rsidRPr="00653421" w:rsidRDefault="00ED5504" w:rsidP="009C6A35">
      <w:pPr>
        <w:pStyle w:val="EndnoteText"/>
        <w:spacing w:line="180" w:lineRule="exact"/>
        <w:ind w:left="0"/>
        <w:rPr>
          <w:rFonts w:ascii="Tahoma" w:hAnsi="Tahoma" w:cs="Tahoma"/>
          <w:sz w:val="18"/>
          <w:szCs w:val="18"/>
        </w:rPr>
      </w:pPr>
    </w:p>
    <w:p w:rsidR="00ED5504" w:rsidRPr="00653421" w:rsidRDefault="00ED5504" w:rsidP="00D511CC">
      <w:pPr>
        <w:pStyle w:val="EndnoteText"/>
        <w:ind w:left="720"/>
      </w:pPr>
      <w:r w:rsidRPr="00653421">
        <w:rPr>
          <w:rFonts w:ascii="Tahoma" w:hAnsi="Tahoma" w:cs="Tahoma"/>
          <w:sz w:val="18"/>
        </w:rPr>
        <w:t>Este produto encontra-se no status EOL (Fim da Vida Útil) e não será mais oferecido.</w:t>
      </w:r>
    </w:p>
    <w:p w:rsidR="00ED5504" w:rsidRPr="00653421" w:rsidRDefault="00ED5504" w:rsidP="009C6A35">
      <w:pPr>
        <w:pStyle w:val="EndnoteText"/>
        <w:spacing w:line="180" w:lineRule="exact"/>
        <w:ind w:left="0"/>
        <w:rPr>
          <w:rFonts w:ascii="Tahoma" w:hAnsi="Tahoma" w:cs="Tahoma"/>
          <w:sz w:val="18"/>
          <w:szCs w:val="18"/>
        </w:rPr>
      </w:pPr>
    </w:p>
    <w:p w:rsidR="00ED5504" w:rsidRPr="00653421" w:rsidRDefault="00ED5504" w:rsidP="00D511CC">
      <w:pPr>
        <w:pStyle w:val="EndnoteText"/>
        <w:spacing w:after="60"/>
        <w:ind w:left="720"/>
      </w:pPr>
      <w:r w:rsidRPr="00653421">
        <w:rPr>
          <w:rFonts w:ascii="Tahoma" w:hAnsi="Tahoma" w:cs="Tahoma"/>
          <w:b/>
          <w:sz w:val="18"/>
        </w:rPr>
        <w:t>Outorga de Licença Única para Titulares de Licenças do System Center Reporting Manager</w:t>
      </w:r>
      <w:r w:rsidR="00E30396" w:rsidRPr="00653421">
        <w:rPr>
          <w:rFonts w:ascii="Tahoma" w:hAnsi="Tahoma" w:cs="Tahoma"/>
          <w:b/>
          <w:sz w:val="18"/>
        </w:rPr>
        <w:t> </w:t>
      </w:r>
      <w:r w:rsidRPr="00653421">
        <w:rPr>
          <w:rFonts w:ascii="Tahoma" w:hAnsi="Tahoma" w:cs="Tahoma"/>
          <w:b/>
          <w:sz w:val="18"/>
        </w:rPr>
        <w:t>2006</w:t>
      </w:r>
    </w:p>
    <w:p w:rsidR="00ED5504" w:rsidRPr="00653421" w:rsidRDefault="00ED5504" w:rsidP="00D511CC">
      <w:pPr>
        <w:pStyle w:val="EndnoteText"/>
        <w:ind w:left="720"/>
        <w:rPr>
          <w:spacing w:val="-2"/>
        </w:rPr>
      </w:pPr>
      <w:r w:rsidRPr="00653421">
        <w:rPr>
          <w:rFonts w:ascii="Tahoma" w:hAnsi="Tahoma" w:cs="Tahoma"/>
          <w:spacing w:val="-2"/>
          <w:sz w:val="18"/>
        </w:rPr>
        <w:t>Como exceção única relacionada à descontinuação do System Center Reporting Manager 2006, estamos</w:t>
      </w:r>
      <w:r w:rsidR="009C6A35" w:rsidRPr="00653421">
        <w:rPr>
          <w:rFonts w:ascii="Tahoma" w:hAnsi="Tahoma" w:cs="Tahoma"/>
          <w:spacing w:val="-2"/>
          <w:sz w:val="18"/>
        </w:rPr>
        <w:t xml:space="preserve"> </w:t>
      </w:r>
      <w:r w:rsidRPr="00653421">
        <w:rPr>
          <w:rFonts w:ascii="Tahoma" w:hAnsi="Tahoma" w:cs="Tahoma"/>
          <w:spacing w:val="-2"/>
          <w:sz w:val="18"/>
        </w:rPr>
        <w:t>outorgando aos clientes Select, Enterprise, Licença Open, Open Value e Campus e School com</w:t>
      </w:r>
      <w:r w:rsidR="009C6A35" w:rsidRPr="00653421">
        <w:rPr>
          <w:rFonts w:ascii="Tahoma" w:hAnsi="Tahoma" w:cs="Tahoma"/>
          <w:spacing w:val="-2"/>
          <w:sz w:val="18"/>
        </w:rPr>
        <w:t xml:space="preserve"> </w:t>
      </w:r>
      <w:r w:rsidRPr="00653421">
        <w:rPr>
          <w:rFonts w:ascii="Tahoma" w:hAnsi="Tahoma" w:cs="Tahoma"/>
          <w:spacing w:val="-2"/>
          <w:sz w:val="18"/>
        </w:rPr>
        <w:t>Software Assurance ativo, para cada licença do System Center Reporting Manager 2006 a partir de</w:t>
      </w:r>
      <w:r w:rsidR="009C6A35" w:rsidRPr="00653421">
        <w:rPr>
          <w:rFonts w:ascii="Tahoma" w:hAnsi="Tahoma" w:cs="Tahoma"/>
          <w:spacing w:val="-2"/>
          <w:sz w:val="18"/>
        </w:rPr>
        <w:t xml:space="preserve"> </w:t>
      </w:r>
      <w:r w:rsidRPr="00653421">
        <w:rPr>
          <w:rFonts w:ascii="Tahoma" w:hAnsi="Tahoma" w:cs="Tahoma"/>
          <w:spacing w:val="-2"/>
          <w:sz w:val="18"/>
        </w:rPr>
        <w:t>31</w:t>
      </w:r>
      <w:r w:rsidR="00E30396" w:rsidRPr="00653421">
        <w:rPr>
          <w:rFonts w:ascii="Tahoma" w:hAnsi="Tahoma" w:cs="Tahoma"/>
          <w:spacing w:val="-2"/>
          <w:sz w:val="18"/>
        </w:rPr>
        <w:t> </w:t>
      </w:r>
      <w:r w:rsidRPr="00653421">
        <w:rPr>
          <w:rFonts w:ascii="Tahoma" w:hAnsi="Tahoma" w:cs="Tahoma"/>
          <w:spacing w:val="-2"/>
          <w:sz w:val="18"/>
        </w:rPr>
        <w:t>de</w:t>
      </w:r>
      <w:r w:rsidR="00E30396" w:rsidRPr="00653421">
        <w:rPr>
          <w:rFonts w:ascii="Tahoma" w:hAnsi="Tahoma" w:cs="Tahoma"/>
          <w:spacing w:val="-2"/>
          <w:sz w:val="18"/>
        </w:rPr>
        <w:t> </w:t>
      </w:r>
      <w:r w:rsidRPr="00653421">
        <w:rPr>
          <w:rFonts w:ascii="Tahoma" w:hAnsi="Tahoma" w:cs="Tahoma"/>
          <w:spacing w:val="-2"/>
          <w:sz w:val="18"/>
        </w:rPr>
        <w:t>maio de 2010, as seguintes licenças sem custos adicionais, exceto pelos custos da mídia (se</w:t>
      </w:r>
      <w:r w:rsidR="00E30396" w:rsidRPr="00653421">
        <w:rPr>
          <w:rFonts w:ascii="Tahoma" w:hAnsi="Tahoma" w:cs="Tahoma"/>
          <w:spacing w:val="-2"/>
          <w:sz w:val="18"/>
        </w:rPr>
        <w:t> </w:t>
      </w:r>
      <w:r w:rsidRPr="00653421">
        <w:rPr>
          <w:rFonts w:ascii="Tahoma" w:hAnsi="Tahoma" w:cs="Tahoma"/>
          <w:spacing w:val="-2"/>
          <w:sz w:val="18"/>
        </w:rPr>
        <w:t>aplicável)</w:t>
      </w:r>
      <w:r w:rsidRPr="00653421">
        <w:rPr>
          <w:rFonts w:ascii="Tahoma" w:hAnsi="Tahoma" w:cs="Tahoma"/>
          <w:color w:val="000000"/>
          <w:spacing w:val="-2"/>
          <w:sz w:val="18"/>
          <w:szCs w:val="20"/>
        </w:rPr>
        <w:t>:</w:t>
      </w:r>
    </w:p>
    <w:p w:rsidR="00ED5504" w:rsidRPr="00653421" w:rsidRDefault="00ED5504" w:rsidP="009C6A35">
      <w:pPr>
        <w:pStyle w:val="EndnoteText"/>
        <w:spacing w:line="180" w:lineRule="exact"/>
        <w:ind w:left="720"/>
        <w:rPr>
          <w:rFonts w:ascii="Tahoma" w:hAnsi="Tahoma" w:cs="Tahoma"/>
          <w:sz w:val="18"/>
          <w:szCs w:val="18"/>
        </w:rPr>
      </w:pPr>
    </w:p>
    <w:p w:rsidR="00ED5504" w:rsidRPr="00653421" w:rsidRDefault="00ED5504" w:rsidP="00D511CC">
      <w:pPr>
        <w:pStyle w:val="EndnoteText"/>
        <w:numPr>
          <w:ilvl w:val="0"/>
          <w:numId w:val="7"/>
        </w:numPr>
        <w:tabs>
          <w:tab w:val="left" w:pos="1440"/>
        </w:tabs>
        <w:spacing w:after="60"/>
        <w:ind w:left="1440"/>
      </w:pPr>
      <w:r w:rsidRPr="00653421">
        <w:rPr>
          <w:rFonts w:ascii="Tahoma" w:hAnsi="Tahoma" w:cs="Tahoma"/>
          <w:sz w:val="18"/>
        </w:rPr>
        <w:t>Uma licença de Servidor de Gerenciamento do System Center Service Manager 2010 (sem</w:t>
      </w:r>
      <w:r w:rsidR="00E30396" w:rsidRPr="00653421">
        <w:rPr>
          <w:rFonts w:ascii="Tahoma" w:hAnsi="Tahoma" w:cs="Tahoma"/>
          <w:sz w:val="18"/>
        </w:rPr>
        <w:t> </w:t>
      </w:r>
      <w:r w:rsidRPr="00653421">
        <w:rPr>
          <w:rFonts w:ascii="Tahoma" w:hAnsi="Tahoma" w:cs="Tahoma"/>
          <w:sz w:val="18"/>
        </w:rPr>
        <w:t>Tecnologia SQL)</w:t>
      </w:r>
    </w:p>
    <w:p w:rsidR="00ED5504" w:rsidRPr="00653421" w:rsidRDefault="00ED5504" w:rsidP="00D511CC">
      <w:pPr>
        <w:pStyle w:val="EndnoteText"/>
        <w:numPr>
          <w:ilvl w:val="0"/>
          <w:numId w:val="7"/>
        </w:numPr>
        <w:spacing w:after="60"/>
        <w:ind w:left="1440"/>
      </w:pPr>
      <w:r w:rsidRPr="00653421">
        <w:rPr>
          <w:rFonts w:ascii="Tahoma" w:hAnsi="Tahoma" w:cs="Tahoma"/>
          <w:sz w:val="18"/>
        </w:rPr>
        <w:t>Cinco licenças de Gerenciamento de Servidor do System Center Service Manager 2010</w:t>
      </w:r>
    </w:p>
    <w:p w:rsidR="00ED5504" w:rsidRPr="00653421" w:rsidRDefault="00ED5504" w:rsidP="00D511CC">
      <w:pPr>
        <w:pStyle w:val="EndnoteText"/>
        <w:numPr>
          <w:ilvl w:val="0"/>
          <w:numId w:val="7"/>
        </w:numPr>
        <w:spacing w:after="60"/>
        <w:ind w:left="1440"/>
      </w:pPr>
      <w:r w:rsidRPr="00653421">
        <w:rPr>
          <w:rFonts w:ascii="Tahoma" w:hAnsi="Tahoma" w:cs="Tahoma"/>
          <w:sz w:val="18"/>
        </w:rPr>
        <w:t>Trinta licenças de Gerenciamento de Cliente do System Center Service Manager 2010</w:t>
      </w:r>
    </w:p>
    <w:p w:rsidR="00ED5504" w:rsidRPr="00653421" w:rsidRDefault="00ED5504" w:rsidP="009C6A35">
      <w:pPr>
        <w:pStyle w:val="EndnoteText"/>
        <w:spacing w:line="180" w:lineRule="exact"/>
        <w:ind w:left="720"/>
        <w:rPr>
          <w:rFonts w:ascii="Tahoma" w:hAnsi="Tahoma" w:cs="Tahoma"/>
          <w:sz w:val="18"/>
          <w:szCs w:val="18"/>
        </w:rPr>
      </w:pPr>
    </w:p>
    <w:p w:rsidR="00ED5504" w:rsidRPr="00653421" w:rsidRDefault="00ED5504" w:rsidP="00D511CC">
      <w:pPr>
        <w:pStyle w:val="EndnoteText"/>
        <w:ind w:left="720"/>
      </w:pPr>
      <w:r w:rsidRPr="00653421">
        <w:rPr>
          <w:rFonts w:ascii="Tahoma" w:hAnsi="Tahoma" w:cs="Tahoma"/>
          <w:sz w:val="18"/>
        </w:rPr>
        <w:t xml:space="preserve">Todas as licenças concedidas sob esta oferta incluirão cobertura do Software Assurance. Essa cobertura se encerrará no término da cobertura do System Center Reporting Manager 2006 correspondente. Ao término dessa cobertura, os clientes poderão renovar o Software Assurance sobre as licenças outorgadas. </w:t>
      </w:r>
    </w:p>
    <w:p w:rsidR="00ED5504" w:rsidRPr="00653421" w:rsidRDefault="00ED5504" w:rsidP="009C6A35">
      <w:pPr>
        <w:pStyle w:val="EndnoteText"/>
        <w:spacing w:line="180" w:lineRule="exact"/>
        <w:ind w:left="720"/>
        <w:rPr>
          <w:rFonts w:ascii="Tahoma" w:hAnsi="Tahoma" w:cs="Tahoma"/>
          <w:sz w:val="18"/>
          <w:szCs w:val="18"/>
        </w:rPr>
      </w:pPr>
    </w:p>
    <w:p w:rsidR="00ED5504" w:rsidRPr="00653421" w:rsidRDefault="00ED5504" w:rsidP="00D511CC">
      <w:pPr>
        <w:pStyle w:val="EndnoteText"/>
        <w:ind w:left="720"/>
      </w:pPr>
      <w:r w:rsidRPr="00653421">
        <w:rPr>
          <w:rFonts w:ascii="Tahoma" w:hAnsi="Tahoma" w:cs="Tahoma"/>
          <w:sz w:val="18"/>
        </w:rPr>
        <w:t>O uso que um cliente faz do software outorgado sob esta oferta está sujeito aos termos e condições de seu 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rsidR="00ED5504" w:rsidRPr="00653421" w:rsidRDefault="00ED5504" w:rsidP="00D511CC">
      <w:pPr>
        <w:ind w:left="720"/>
      </w:pPr>
      <w:r w:rsidRPr="00653421">
        <w:rPr>
          <w:rFonts w:eastAsia="Calibri" w:cs="Tahoma"/>
          <w:color w:val="000000"/>
          <w:szCs w:val="18"/>
        </w:rPr>
        <w:t>As licenças do System Center Reporting Manager 2006</w:t>
      </w:r>
      <w:r w:rsidRPr="00653421">
        <w:rPr>
          <w:rFonts w:cs="Tahoma"/>
          <w:bCs/>
          <w:szCs w:val="18"/>
        </w:rPr>
        <w:t xml:space="preserve"> adquiridas após 31 de maio de 2010 como parte do</w:t>
      </w:r>
      <w:r w:rsidR="00E30396" w:rsidRPr="00653421">
        <w:rPr>
          <w:rFonts w:cs="Tahoma"/>
          <w:bCs/>
          <w:szCs w:val="18"/>
        </w:rPr>
        <w:t> </w:t>
      </w:r>
      <w:r w:rsidRPr="00653421">
        <w:rPr>
          <w:rFonts w:cs="Tahoma"/>
          <w:bCs/>
          <w:szCs w:val="18"/>
        </w:rPr>
        <w:t xml:space="preserve">processo anual de adequação (“true-up”) de um cliente para Registros Enterprise sob os quais as licenças do </w:t>
      </w:r>
      <w:r w:rsidRPr="00653421">
        <w:rPr>
          <w:rFonts w:eastAsia="Calibri" w:cs="Tahoma"/>
          <w:color w:val="000000"/>
          <w:szCs w:val="18"/>
        </w:rPr>
        <w:t>System Center Reporting Manager 2006</w:t>
      </w:r>
      <w:r w:rsidRPr="00653421">
        <w:rPr>
          <w:rFonts w:cs="Tahoma"/>
          <w:bCs/>
          <w:szCs w:val="18"/>
        </w:rPr>
        <w:t xml:space="preserve"> foram adquiridas pela primeira vez antes de 31 de maio</w:t>
      </w:r>
      <w:r w:rsidR="00E30396" w:rsidRPr="00653421">
        <w:rPr>
          <w:rFonts w:cs="Tahoma"/>
          <w:bCs/>
          <w:szCs w:val="18"/>
        </w:rPr>
        <w:t> </w:t>
      </w:r>
      <w:r w:rsidRPr="00653421">
        <w:rPr>
          <w:rFonts w:cs="Tahoma"/>
          <w:bCs/>
          <w:szCs w:val="18"/>
        </w:rPr>
        <w:t>de 2010 também estarão qualificadas para licenças de Servidor de Gerenciamento do System Center Service Manager 2010 e licenças de Gerenciamento de Servidor/Cliente de acordo com esta oferta.</w:t>
      </w:r>
    </w:p>
    <w:p w:rsidR="00ED5504" w:rsidRDefault="00ED5504" w:rsidP="00D511CC">
      <w:pPr>
        <w:pStyle w:val="EndnoteText"/>
        <w:ind w:left="720"/>
        <w:rPr>
          <w:rFonts w:ascii="Tahoma" w:hAnsi="Tahoma" w:cs="Tahoma"/>
          <w:bCs/>
          <w:sz w:val="18"/>
          <w:szCs w:val="18"/>
        </w:rPr>
      </w:pPr>
      <w:r w:rsidRPr="00653421">
        <w:rPr>
          <w:rFonts w:ascii="Tahoma" w:hAnsi="Tahoma" w:cs="Tahoma"/>
          <w:bCs/>
          <w:sz w:val="18"/>
          <w:szCs w:val="18"/>
        </w:rPr>
        <w:lastRenderedPageBreak/>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5A52A2" w:rsidRPr="00653421">
        <w:rPr>
          <w:rFonts w:ascii="Tahoma" w:hAnsi="Tahoma" w:cs="Tahoma"/>
          <w:bCs/>
          <w:sz w:val="18"/>
          <w:szCs w:val="18"/>
        </w:rPr>
        <w:t xml:space="preserve"> </w:t>
      </w:r>
      <w:r w:rsidRPr="00653421">
        <w:rPr>
          <w:rFonts w:ascii="Tahoma" w:hAnsi="Tahoma" w:cs="Tahoma"/>
          <w:bCs/>
          <w:sz w:val="18"/>
          <w:szCs w:val="18"/>
        </w:rPr>
        <w:t>Esses direitos só se tornarão permanentes se a opção de compra (“buy-out”) for exercida e continuarão sujeitos a todos os termos e condições do contrato de licença do cliente.</w:t>
      </w:r>
    </w:p>
    <w:p w:rsidR="00E53811" w:rsidRPr="00653421" w:rsidRDefault="00E53811" w:rsidP="00D511CC">
      <w:pPr>
        <w:pStyle w:val="EndnoteText"/>
        <w:ind w:left="720"/>
      </w:pPr>
    </w:p>
    <w:p w:rsidR="00023FE7" w:rsidRPr="00653421" w:rsidRDefault="00023FE7" w:rsidP="009C6A35">
      <w:pPr>
        <w:pStyle w:val="EndnoteText"/>
        <w:spacing w:line="180" w:lineRule="exact"/>
        <w:ind w:left="720"/>
        <w:rPr>
          <w:rFonts w:ascii="Tahoma" w:hAnsi="Tahoma" w:cs="Tahoma"/>
          <w:sz w:val="18"/>
          <w:szCs w:val="18"/>
        </w:rPr>
      </w:pPr>
    </w:p>
    <w:p w:rsidR="00023FE7" w:rsidRPr="00653421" w:rsidRDefault="00F66FB0">
      <w:pPr>
        <w:pStyle w:val="Heading3"/>
      </w:pPr>
      <w:bookmarkStart w:id="1497" w:name="Srv_85SysCtrSvrMgmtSuiteEnterprise"/>
      <w:bookmarkStart w:id="1498" w:name="_85_System_Center"/>
      <w:bookmarkStart w:id="1499" w:name="_98_System_Center"/>
      <w:bookmarkStart w:id="1500" w:name="_Toc336338354"/>
      <w:bookmarkStart w:id="1501" w:name="_Toc353470993"/>
      <w:bookmarkEnd w:id="1497"/>
      <w:bookmarkEnd w:id="1498"/>
      <w:bookmarkEnd w:id="1499"/>
      <w:r w:rsidRPr="00653421">
        <w:rPr>
          <w:rFonts w:ascii="Tahoma" w:hAnsi="Tahoma"/>
          <w:caps/>
          <w:color w:val="F66400"/>
          <w:sz w:val="22"/>
          <w:vertAlign w:val="superscript"/>
        </w:rPr>
        <w:t>87</w:t>
      </w:r>
      <w:r w:rsidRPr="00653421">
        <w:rPr>
          <w:rFonts w:ascii="Tahoma" w:hAnsi="Tahoma"/>
          <w:caps/>
          <w:color w:val="F66400"/>
          <w:sz w:val="22"/>
        </w:rPr>
        <w:t xml:space="preserve"> </w:t>
      </w:r>
      <w:r w:rsidRPr="00653421">
        <w:rPr>
          <w:rFonts w:ascii="Tahoma" w:hAnsi="Tahoma"/>
          <w:color w:val="F66400"/>
          <w:sz w:val="22"/>
        </w:rPr>
        <w:t>System Center Server Management Suite Enterprise</w:t>
      </w:r>
      <w:bookmarkEnd w:id="1500"/>
      <w:bookmarkEnd w:id="1501"/>
    </w:p>
    <w:bookmarkEnd w:id="1496"/>
    <w:p w:rsidR="00023FE7" w:rsidRPr="00653421" w:rsidRDefault="00023FE7" w:rsidP="009C6A35">
      <w:pPr>
        <w:pStyle w:val="EndnoteText"/>
        <w:spacing w:line="180" w:lineRule="exact"/>
        <w:ind w:left="720"/>
        <w:rPr>
          <w:rFonts w:ascii="Tahoma" w:hAnsi="Tahoma" w:cs="Tahoma"/>
          <w:sz w:val="18"/>
          <w:szCs w:val="18"/>
        </w:rPr>
      </w:pPr>
    </w:p>
    <w:p w:rsidR="00FF4CAB" w:rsidRPr="00653421" w:rsidRDefault="00FF4CAB" w:rsidP="00D511CC">
      <w:pPr>
        <w:pStyle w:val="EndnoteText"/>
        <w:ind w:left="720"/>
      </w:pPr>
      <w:r w:rsidRPr="00653421">
        <w:rPr>
          <w:rFonts w:ascii="Tahoma" w:hAnsi="Tahoma" w:cs="Tahoma"/>
          <w:color w:val="000000"/>
          <w:sz w:val="18"/>
        </w:rPr>
        <w:t>Este produto encontra-se no status EOL (Fim da Vida Útil) e não será mais oferecido.</w:t>
      </w:r>
    </w:p>
    <w:p w:rsidR="00D511CC" w:rsidRPr="00653421" w:rsidRDefault="00D511CC" w:rsidP="009C6A35">
      <w:pPr>
        <w:pStyle w:val="EndnoteText"/>
        <w:spacing w:line="180" w:lineRule="exact"/>
        <w:ind w:left="720"/>
        <w:rPr>
          <w:rFonts w:ascii="Tahoma" w:hAnsi="Tahoma" w:cs="Tahoma"/>
          <w:sz w:val="18"/>
          <w:szCs w:val="18"/>
        </w:rPr>
      </w:pPr>
    </w:p>
    <w:p w:rsidR="00FF4CAB" w:rsidRPr="00653421" w:rsidRDefault="00FF4CAB" w:rsidP="00D511CC">
      <w:pPr>
        <w:pStyle w:val="FootnoteBulletLevel1"/>
        <w:tabs>
          <w:tab w:val="clear" w:pos="900"/>
        </w:tabs>
        <w:spacing w:before="0" w:after="60"/>
        <w:ind w:left="720" w:firstLine="0"/>
      </w:pPr>
      <w:r w:rsidRPr="00653421">
        <w:rPr>
          <w:rFonts w:ascii="Tahoma" w:hAnsi="Tahoma" w:cs="Tahoma"/>
          <w:b/>
          <w:sz w:val="18"/>
        </w:rPr>
        <w:t>Detalhes da Outorga de Licença Transicional Única do System Center 2012</w:t>
      </w:r>
    </w:p>
    <w:p w:rsidR="00FF4CAB" w:rsidRPr="00653421" w:rsidRDefault="00FF4CAB" w:rsidP="00D511CC">
      <w:pPr>
        <w:ind w:left="720"/>
      </w:pPr>
      <w:r w:rsidRPr="00653421">
        <w:t>Consulte a nota do produto nas ofertas do System Center 2012 para obter detalhes sobre as outorgas de</w:t>
      </w:r>
      <w:r w:rsidR="00E30396" w:rsidRPr="00653421">
        <w:t> </w:t>
      </w:r>
      <w:r w:rsidRPr="00653421">
        <w:t>licença transicionais.</w:t>
      </w:r>
    </w:p>
    <w:p w:rsidR="00E30396" w:rsidRPr="00653421" w:rsidRDefault="00E30396" w:rsidP="009C6A35">
      <w:pPr>
        <w:spacing w:line="180" w:lineRule="exact"/>
        <w:ind w:left="720"/>
        <w:rPr>
          <w:rFonts w:cs="Tahoma"/>
          <w:szCs w:val="18"/>
        </w:rPr>
      </w:pPr>
    </w:p>
    <w:p w:rsidR="00023FE7" w:rsidRPr="00653421" w:rsidRDefault="00023FE7" w:rsidP="00D511CC">
      <w:pPr>
        <w:ind w:left="720"/>
      </w:pPr>
      <w:r w:rsidRPr="00653421">
        <w:rPr>
          <w:rFonts w:cs="Tahoma"/>
          <w:szCs w:val="20"/>
        </w:rPr>
        <w:t xml:space="preserve">O System Center Server Management Suite Enterprise é </w:t>
      </w:r>
      <w:r w:rsidRPr="00653421">
        <w:rPr>
          <w:rFonts w:cs="Tahoma"/>
          <w:color w:val="000000"/>
          <w:szCs w:val="20"/>
        </w:rPr>
        <w:t>independente da versão e os direitos de uso de produto são determinados pelo status da cobertura do Software Assurance para o System Center Server Management Suite Enterprise.</w:t>
      </w:r>
      <w:r w:rsidR="005A52A2" w:rsidRPr="00653421">
        <w:rPr>
          <w:rFonts w:cs="Tahoma"/>
          <w:color w:val="000000"/>
          <w:szCs w:val="20"/>
        </w:rPr>
        <w:t xml:space="preserve"> </w:t>
      </w:r>
      <w:r w:rsidRPr="00653421">
        <w:rPr>
          <w:rFonts w:cs="Tahoma"/>
          <w:color w:val="000000"/>
          <w:szCs w:val="20"/>
        </w:rPr>
        <w:t>Se a cobertura for interrompida, os direitos de acesso sob as licenças perpétuas serão determinados com base nos direitos de uso de produto em vigor antes da interrupção.</w:t>
      </w:r>
      <w:r w:rsidR="005A52A2" w:rsidRPr="00653421">
        <w:rPr>
          <w:rFonts w:cs="Tahoma"/>
          <w:color w:val="000000"/>
          <w:szCs w:val="20"/>
        </w:rPr>
        <w:t xml:space="preserve"> </w:t>
      </w:r>
    </w:p>
    <w:p w:rsidR="00E72B93" w:rsidRPr="00653421" w:rsidRDefault="00E72B93" w:rsidP="009C6A35">
      <w:pPr>
        <w:spacing w:line="180" w:lineRule="exact"/>
        <w:ind w:left="720"/>
        <w:rPr>
          <w:rFonts w:cs="Tahoma"/>
          <w:szCs w:val="18"/>
        </w:rPr>
      </w:pPr>
    </w:p>
    <w:p w:rsidR="005C164D" w:rsidRPr="00653421" w:rsidRDefault="005C164D" w:rsidP="00D511CC">
      <w:pPr>
        <w:ind w:left="720"/>
        <w:jc w:val="both"/>
        <w:rPr>
          <w:spacing w:val="-2"/>
        </w:rPr>
      </w:pPr>
      <w:r w:rsidRPr="00653421">
        <w:rPr>
          <w:rFonts w:cs="Tahoma"/>
          <w:color w:val="000000"/>
          <w:spacing w:val="-2"/>
          <w:szCs w:val="18"/>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w:t>
      </w:r>
      <w:r w:rsidR="009C6A35" w:rsidRPr="00653421">
        <w:rPr>
          <w:rFonts w:cs="Tahoma"/>
          <w:color w:val="000000"/>
          <w:spacing w:val="-2"/>
          <w:szCs w:val="18"/>
        </w:rPr>
        <w:t xml:space="preserve"> </w:t>
      </w:r>
      <w:r w:rsidRPr="00653421">
        <w:rPr>
          <w:rFonts w:cs="Tahoma"/>
          <w:color w:val="000000"/>
          <w:spacing w:val="-2"/>
          <w:szCs w:val="18"/>
        </w:rPr>
        <w:t>uso.</w:t>
      </w:r>
    </w:p>
    <w:p w:rsidR="00071601" w:rsidRPr="00071601" w:rsidRDefault="00071601" w:rsidP="00D511CC">
      <w:pPr>
        <w:spacing w:after="60"/>
        <w:ind w:left="720"/>
        <w:rPr>
          <w:rFonts w:cs="Tahoma"/>
          <w:szCs w:val="20"/>
        </w:rPr>
      </w:pPr>
    </w:p>
    <w:p w:rsidR="004323B9" w:rsidRPr="00653421" w:rsidRDefault="00D511CC" w:rsidP="00D511CC">
      <w:pPr>
        <w:spacing w:after="60"/>
        <w:ind w:left="720"/>
      </w:pPr>
      <w:r w:rsidRPr="00653421">
        <w:rPr>
          <w:rFonts w:cs="Tahoma"/>
          <w:b/>
          <w:szCs w:val="20"/>
        </w:rPr>
        <w:t>Outorga de Licença</w:t>
      </w:r>
    </w:p>
    <w:p w:rsidR="004323B9" w:rsidRPr="00653421" w:rsidRDefault="004323B9" w:rsidP="00D511CC">
      <w:pPr>
        <w:pStyle w:val="FootnoteBulletLevel1"/>
        <w:tabs>
          <w:tab w:val="left" w:pos="900"/>
        </w:tabs>
        <w:spacing w:before="0" w:after="0"/>
        <w:ind w:left="720" w:firstLine="0"/>
      </w:pPr>
      <w:r w:rsidRPr="00653421">
        <w:rPr>
          <w:rFonts w:ascii="Tahoma" w:hAnsi="Tahoma" w:cs="Tahoma"/>
          <w:sz w:val="18"/>
        </w:rPr>
        <w:t>Outorga de Licença Única do System Center Server Management Suite Datacenter (SMSD) para Titulares de</w:t>
      </w:r>
      <w:r w:rsidR="009C6A35" w:rsidRPr="00653421">
        <w:rPr>
          <w:rFonts w:ascii="Tahoma" w:hAnsi="Tahoma" w:cs="Tahoma"/>
          <w:sz w:val="18"/>
        </w:rPr>
        <w:t> </w:t>
      </w:r>
      <w:r w:rsidRPr="00653421">
        <w:rPr>
          <w:rFonts w:ascii="Tahoma" w:hAnsi="Tahoma" w:cs="Tahoma"/>
          <w:sz w:val="18"/>
        </w:rPr>
        <w:t>Licenças do System Center Server Management Suite Enterprise (SMSE).</w:t>
      </w:r>
    </w:p>
    <w:p w:rsidR="000A18AA" w:rsidRPr="00653421" w:rsidRDefault="000A18AA" w:rsidP="00D511CC">
      <w:pPr>
        <w:pStyle w:val="FootnoteBulletLevel1"/>
        <w:tabs>
          <w:tab w:val="left" w:pos="900"/>
        </w:tabs>
        <w:spacing w:before="0" w:after="0"/>
        <w:ind w:left="720" w:firstLine="0"/>
      </w:pPr>
    </w:p>
    <w:p w:rsidR="004323B9" w:rsidRPr="00653421" w:rsidRDefault="004323B9" w:rsidP="00D511CC">
      <w:pPr>
        <w:pStyle w:val="FootnoteBulletLevel1"/>
        <w:tabs>
          <w:tab w:val="clear" w:pos="900"/>
          <w:tab w:val="left" w:pos="720"/>
        </w:tabs>
        <w:spacing w:before="0" w:after="0"/>
        <w:ind w:left="720" w:firstLine="0"/>
      </w:pPr>
      <w:r w:rsidRPr="00653421">
        <w:rPr>
          <w:rFonts w:ascii="Tahoma" w:hAnsi="Tahoma" w:cs="Tahoma"/>
          <w:sz w:val="18"/>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w:t>
      </w:r>
      <w:r w:rsidR="00E30396" w:rsidRPr="00653421">
        <w:rPr>
          <w:rFonts w:ascii="Tahoma" w:hAnsi="Tahoma" w:cs="Tahoma"/>
          <w:sz w:val="18"/>
        </w:rPr>
        <w:t> </w:t>
      </w:r>
      <w:r w:rsidRPr="00653421">
        <w:rPr>
          <w:rFonts w:ascii="Tahoma" w:hAnsi="Tahoma" w:cs="Tahoma"/>
          <w:sz w:val="18"/>
        </w:rPr>
        <w:t>de</w:t>
      </w:r>
      <w:r w:rsidR="00E30396" w:rsidRPr="00653421">
        <w:rPr>
          <w:rFonts w:ascii="Tahoma" w:hAnsi="Tahoma" w:cs="Tahoma"/>
          <w:sz w:val="18"/>
        </w:rPr>
        <w:t> </w:t>
      </w:r>
      <w:r w:rsidRPr="00653421">
        <w:rPr>
          <w:rFonts w:ascii="Tahoma" w:hAnsi="Tahoma" w:cs="Tahoma"/>
          <w:sz w:val="18"/>
        </w:rPr>
        <w:t>julho de 2009 os seguintes itens</w:t>
      </w:r>
      <w:r w:rsidRPr="00653421">
        <w:rPr>
          <w:rFonts w:ascii="Tahoma" w:hAnsi="Tahoma" w:cs="Tahoma"/>
          <w:color w:val="000000"/>
          <w:sz w:val="18"/>
        </w:rPr>
        <w:t>:</w:t>
      </w:r>
    </w:p>
    <w:p w:rsidR="000A18AA" w:rsidRPr="00653421" w:rsidRDefault="000A18AA" w:rsidP="00D511CC">
      <w:pPr>
        <w:pStyle w:val="FootnoteBulletLevel1"/>
        <w:tabs>
          <w:tab w:val="clear" w:pos="900"/>
          <w:tab w:val="left" w:pos="720"/>
        </w:tabs>
        <w:spacing w:before="0" w:after="0"/>
        <w:ind w:left="720" w:firstLine="0"/>
      </w:pPr>
    </w:p>
    <w:p w:rsidR="004323B9" w:rsidRPr="00653421" w:rsidRDefault="004323B9" w:rsidP="00D511CC">
      <w:pPr>
        <w:numPr>
          <w:ilvl w:val="0"/>
          <w:numId w:val="3"/>
        </w:numPr>
        <w:ind w:left="1440"/>
      </w:pPr>
      <w:r w:rsidRPr="00653421">
        <w:rPr>
          <w:rFonts w:cs="Tahoma"/>
          <w:color w:val="000000"/>
          <w:szCs w:val="20"/>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rsidR="000A18AA" w:rsidRPr="00653421" w:rsidRDefault="000A18AA" w:rsidP="000A18AA"/>
    <w:p w:rsidR="004323B9" w:rsidRPr="00653421" w:rsidRDefault="004323B9" w:rsidP="00D511CC">
      <w:pPr>
        <w:pStyle w:val="FootnoteBulletLevel1"/>
        <w:tabs>
          <w:tab w:val="clear" w:pos="900"/>
        </w:tabs>
        <w:spacing w:before="0" w:after="0"/>
        <w:ind w:left="720" w:firstLine="0"/>
      </w:pPr>
      <w:r w:rsidRPr="00653421">
        <w:rPr>
          <w:rFonts w:ascii="Tahoma" w:hAnsi="Tahoma" w:cs="Tahoma"/>
          <w:sz w:val="18"/>
        </w:rPr>
        <w:t>Os direitos de gerenciamento associados às licenças gratuitas do SMSD serão outorgados no lugar dos direitos de gerenciamento associados às licenças do SMSE qualificadas.</w:t>
      </w:r>
      <w:r w:rsidR="005A52A2" w:rsidRPr="00653421">
        <w:rPr>
          <w:rFonts w:ascii="Tahoma" w:hAnsi="Tahoma" w:cs="Tahoma"/>
          <w:sz w:val="18"/>
        </w:rPr>
        <w:t xml:space="preserve"> </w:t>
      </w:r>
      <w:r w:rsidRPr="00653421">
        <w:rPr>
          <w:rFonts w:ascii="Tahoma" w:hAnsi="Tahoma" w:cs="Tahoma"/>
          <w:sz w:val="18"/>
        </w:rPr>
        <w:t>Com a cessão das licenças do SMSD</w:t>
      </w:r>
      <w:r w:rsidR="00E30396" w:rsidRPr="00653421">
        <w:rPr>
          <w:rFonts w:ascii="Tahoma" w:hAnsi="Tahoma" w:cs="Tahoma"/>
          <w:sz w:val="18"/>
        </w:rPr>
        <w:t> </w:t>
      </w:r>
      <w:r w:rsidRPr="00653421">
        <w:rPr>
          <w:rFonts w:ascii="Tahoma" w:hAnsi="Tahoma" w:cs="Tahoma"/>
          <w:sz w:val="18"/>
        </w:rPr>
        <w:t>outorgadas, o cliente perderá os direitos de gerenciamento sob a licença do SMSE correspondente.</w:t>
      </w:r>
    </w:p>
    <w:p w:rsidR="004323B9" w:rsidRPr="00653421" w:rsidRDefault="004323B9" w:rsidP="00D511CC">
      <w:pPr>
        <w:pStyle w:val="FootnoteBulletLevel1"/>
        <w:tabs>
          <w:tab w:val="clear" w:pos="900"/>
        </w:tabs>
        <w:spacing w:before="0" w:after="0"/>
        <w:ind w:left="720" w:firstLine="0"/>
      </w:pPr>
      <w:r w:rsidRPr="00653421">
        <w:rPr>
          <w:rFonts w:ascii="Tahoma" w:hAnsi="Tahoma" w:cs="Tahoma"/>
          <w:sz w:val="18"/>
        </w:rPr>
        <w:t>Quaisquer licenças outorgadas sob esta oferta estarão sujeitas à seguinte limitação:</w:t>
      </w:r>
      <w:r w:rsidRPr="00653421">
        <w:rPr>
          <w:rFonts w:ascii="Tahoma" w:hAnsi="Tahoma" w:cs="Tahoma"/>
          <w:color w:val="000000"/>
          <w:sz w:val="18"/>
        </w:rPr>
        <w:t xml:space="preserve"> cada conjunto de licenças do SMSD outorgadas deverá ser cedido a um único dispositivo</w:t>
      </w:r>
      <w:r w:rsidRPr="00653421">
        <w:rPr>
          <w:rFonts w:ascii="Tahoma" w:hAnsi="Tahoma" w:cs="Tahoma"/>
          <w:sz w:val="18"/>
        </w:rPr>
        <w:t>.</w:t>
      </w:r>
    </w:p>
    <w:p w:rsidR="000A18AA" w:rsidRPr="00653421" w:rsidRDefault="000A18AA" w:rsidP="00D511CC">
      <w:pPr>
        <w:pStyle w:val="FootnoteBulletLevel1"/>
        <w:tabs>
          <w:tab w:val="clear" w:pos="900"/>
        </w:tabs>
        <w:spacing w:before="0" w:after="0"/>
        <w:ind w:left="720" w:firstLine="0"/>
      </w:pPr>
    </w:p>
    <w:p w:rsidR="00CF7343" w:rsidRPr="00653421" w:rsidRDefault="004323B9" w:rsidP="000A18AA">
      <w:pPr>
        <w:pStyle w:val="FootnoteBulletLevel1"/>
        <w:tabs>
          <w:tab w:val="clear" w:pos="900"/>
        </w:tabs>
        <w:spacing w:before="0" w:after="60"/>
        <w:ind w:left="720" w:firstLine="0"/>
      </w:pPr>
      <w:r w:rsidRPr="00653421">
        <w:rPr>
          <w:rFonts w:ascii="Tahoma" w:hAnsi="Tahoma" w:cs="Tahoma"/>
          <w:b/>
          <w:color w:val="000000"/>
          <w:sz w:val="18"/>
        </w:rPr>
        <w:t>Opções na renovação do Software Assurance</w:t>
      </w:r>
      <w:r w:rsidR="005A52A2" w:rsidRPr="00653421">
        <w:rPr>
          <w:rFonts w:ascii="Tahoma" w:hAnsi="Tahoma" w:cs="Tahoma"/>
          <w:b/>
          <w:color w:val="000000"/>
          <w:sz w:val="18"/>
        </w:rPr>
        <w:t xml:space="preserve"> </w:t>
      </w:r>
    </w:p>
    <w:p w:rsidR="004323B9" w:rsidRPr="00653421" w:rsidRDefault="004323B9" w:rsidP="00D511CC">
      <w:pPr>
        <w:pStyle w:val="FootnoteBulletLevel1"/>
        <w:tabs>
          <w:tab w:val="clear" w:pos="900"/>
        </w:tabs>
        <w:spacing w:before="0" w:after="0"/>
        <w:ind w:left="720" w:firstLine="0"/>
      </w:pPr>
      <w:r w:rsidRPr="00653421">
        <w:rPr>
          <w:rFonts w:ascii="Tahoma" w:hAnsi="Tahoma" w:cs="Tahoma"/>
          <w:color w:val="000000"/>
          <w:sz w:val="18"/>
        </w:rPr>
        <w:t xml:space="preserve">Quaisquer licenças outorgadas sob esta oferta incluirão uma cobertura do Software Assurance que se encerrará quando a cobertura sobre as licenças qualificadas correspondentes se encerrar. </w:t>
      </w:r>
      <w:r w:rsidRPr="00653421">
        <w:rPr>
          <w:rFonts w:ascii="Tahoma" w:hAnsi="Tahoma" w:cs="Tahoma"/>
          <w:sz w:val="18"/>
        </w:rPr>
        <w:t>Ao término da</w:t>
      </w:r>
      <w:r w:rsidR="009C6A35" w:rsidRPr="00653421">
        <w:rPr>
          <w:rFonts w:ascii="Tahoma" w:hAnsi="Tahoma" w:cs="Tahoma"/>
          <w:sz w:val="18"/>
        </w:rPr>
        <w:t> </w:t>
      </w:r>
      <w:r w:rsidRPr="00653421">
        <w:rPr>
          <w:rFonts w:ascii="Tahoma" w:hAnsi="Tahoma" w:cs="Tahoma"/>
          <w:sz w:val="18"/>
        </w:rPr>
        <w:t>cobertura do Software Assurance, os clientes poderão renovar o Software Assurance de acordo com uma</w:t>
      </w:r>
      <w:r w:rsidR="009C6A35" w:rsidRPr="00653421">
        <w:rPr>
          <w:rFonts w:ascii="Tahoma" w:hAnsi="Tahoma" w:cs="Tahoma"/>
          <w:sz w:val="18"/>
        </w:rPr>
        <w:t> </w:t>
      </w:r>
      <w:r w:rsidRPr="00653421">
        <w:rPr>
          <w:rFonts w:ascii="Tahoma" w:hAnsi="Tahoma" w:cs="Tahoma"/>
          <w:sz w:val="18"/>
        </w:rPr>
        <w:t>das seguintes opções:</w:t>
      </w:r>
    </w:p>
    <w:p w:rsidR="000A18AA" w:rsidRPr="00653421" w:rsidRDefault="000A18AA" w:rsidP="00D511CC">
      <w:pPr>
        <w:pStyle w:val="FootnoteBulletLevel1"/>
        <w:tabs>
          <w:tab w:val="clear" w:pos="900"/>
        </w:tabs>
        <w:spacing w:before="0" w:after="0"/>
        <w:ind w:left="720" w:firstLine="0"/>
      </w:pPr>
    </w:p>
    <w:p w:rsidR="004323B9" w:rsidRPr="00653421" w:rsidRDefault="004323B9" w:rsidP="000A18AA">
      <w:pPr>
        <w:pStyle w:val="FootnoteBulletLevel1"/>
        <w:numPr>
          <w:ilvl w:val="0"/>
          <w:numId w:val="13"/>
        </w:numPr>
        <w:tabs>
          <w:tab w:val="left" w:pos="720"/>
        </w:tabs>
        <w:spacing w:before="0" w:after="60"/>
        <w:ind w:left="1440"/>
      </w:pPr>
      <w:r w:rsidRPr="00653421">
        <w:rPr>
          <w:rFonts w:ascii="Tahoma" w:hAnsi="Tahoma" w:cs="Tahoma"/>
          <w:sz w:val="18"/>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E30396" w:rsidRPr="00653421">
        <w:rPr>
          <w:rFonts w:ascii="Tahoma" w:hAnsi="Tahoma" w:cs="Tahoma"/>
          <w:sz w:val="18"/>
        </w:rPr>
        <w:t> </w:t>
      </w:r>
      <w:r w:rsidRPr="00653421">
        <w:rPr>
          <w:rFonts w:ascii="Tahoma" w:hAnsi="Tahoma" w:cs="Tahoma"/>
          <w:sz w:val="18"/>
        </w:rPr>
        <w:t>cliente perderá os direitos às quatro licenças gratuitas do SMSD.</w:t>
      </w:r>
    </w:p>
    <w:p w:rsidR="004323B9" w:rsidRPr="00653421" w:rsidRDefault="004323B9" w:rsidP="000A18AA">
      <w:pPr>
        <w:pStyle w:val="FootnoteBulletLevel1"/>
        <w:numPr>
          <w:ilvl w:val="0"/>
          <w:numId w:val="14"/>
        </w:numPr>
        <w:tabs>
          <w:tab w:val="left" w:pos="720"/>
        </w:tabs>
        <w:spacing w:before="0" w:after="60"/>
        <w:ind w:left="1440"/>
      </w:pPr>
      <w:r w:rsidRPr="00653421">
        <w:rPr>
          <w:rFonts w:ascii="Tahoma" w:hAnsi="Tahoma" w:cs="Tahoma"/>
          <w:sz w:val="18"/>
        </w:rPr>
        <w:lastRenderedPageBreak/>
        <w:t>Os clientes poderão renovar a cobertura para as licenças gratuitas do SMSD:</w:t>
      </w:r>
    </w:p>
    <w:p w:rsidR="004323B9" w:rsidRPr="00653421" w:rsidRDefault="004323B9" w:rsidP="000A18AA">
      <w:pPr>
        <w:pStyle w:val="FootnoteBulletLevel1"/>
        <w:numPr>
          <w:ilvl w:val="2"/>
          <w:numId w:val="15"/>
        </w:numPr>
        <w:tabs>
          <w:tab w:val="left" w:pos="720"/>
        </w:tabs>
        <w:spacing w:before="0" w:after="60"/>
        <w:ind w:left="1980"/>
      </w:pPr>
      <w:r w:rsidRPr="00653421">
        <w:rPr>
          <w:rFonts w:ascii="Tahoma" w:hAnsi="Tahoma" w:cs="Tahoma"/>
          <w:sz w:val="18"/>
        </w:rPr>
        <w:t>Os clientes poderão renovar a cobertura para todas as licenças do SMSD do conjunto de</w:t>
      </w:r>
      <w:r w:rsidR="00E30396" w:rsidRPr="00653421">
        <w:rPr>
          <w:rFonts w:ascii="Tahoma" w:hAnsi="Tahoma" w:cs="Tahoma"/>
          <w:sz w:val="18"/>
        </w:rPr>
        <w:t> </w:t>
      </w:r>
      <w:r w:rsidRPr="00653421">
        <w:rPr>
          <w:rFonts w:ascii="Tahoma" w:hAnsi="Tahoma" w:cs="Tahoma"/>
          <w:sz w:val="18"/>
        </w:rPr>
        <w:t>quatro licenças gratuitas do SMSD outorgadas sob esta oferta. Nesta opção, o requisito para alocar o conjunto de quatro licenças a um único dispositivo será dispensado.</w:t>
      </w:r>
    </w:p>
    <w:p w:rsidR="004323B9" w:rsidRPr="00653421" w:rsidRDefault="004323B9" w:rsidP="000A18AA">
      <w:pPr>
        <w:pStyle w:val="FootnoteBulletLevel1"/>
        <w:numPr>
          <w:ilvl w:val="2"/>
          <w:numId w:val="15"/>
        </w:numPr>
        <w:tabs>
          <w:tab w:val="left" w:pos="720"/>
        </w:tabs>
        <w:spacing w:before="0" w:after="60"/>
        <w:ind w:left="1980"/>
      </w:pPr>
      <w:r w:rsidRPr="00653421">
        <w:rPr>
          <w:rFonts w:ascii="Tahoma" w:hAnsi="Tahoma" w:cs="Tahoma"/>
          <w:sz w:val="18"/>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5A52A2" w:rsidRPr="00653421">
        <w:rPr>
          <w:rFonts w:ascii="Tahoma" w:hAnsi="Tahoma" w:cs="Tahoma"/>
          <w:sz w:val="18"/>
        </w:rPr>
        <w:t xml:space="preserve"> </w:t>
      </w:r>
      <w:r w:rsidRPr="00653421">
        <w:rPr>
          <w:rFonts w:ascii="Tahoma" w:hAnsi="Tahoma" w:cs="Tahoma"/>
          <w:sz w:val="18"/>
        </w:rPr>
        <w:t>Nesta opção, o requisito para alocar o</w:t>
      </w:r>
      <w:r w:rsidR="009C6A35" w:rsidRPr="00653421">
        <w:rPr>
          <w:rFonts w:ascii="Tahoma" w:hAnsi="Tahoma" w:cs="Tahoma"/>
          <w:sz w:val="18"/>
        </w:rPr>
        <w:t> </w:t>
      </w:r>
      <w:r w:rsidRPr="00653421">
        <w:rPr>
          <w:rFonts w:ascii="Tahoma" w:hAnsi="Tahoma" w:cs="Tahoma"/>
          <w:sz w:val="18"/>
        </w:rPr>
        <w:t>conjunto de quatro licenças a um único dispositivo continuará a ser aplicável na ocasião da renovação.</w:t>
      </w:r>
      <w:r w:rsidR="005A52A2" w:rsidRPr="00653421">
        <w:rPr>
          <w:rFonts w:ascii="Tahoma" w:hAnsi="Tahoma" w:cs="Tahoma"/>
          <w:sz w:val="18"/>
        </w:rPr>
        <w:t xml:space="preserve"> </w:t>
      </w:r>
      <w:r w:rsidRPr="00653421">
        <w:rPr>
          <w:rFonts w:ascii="Tahoma" w:hAnsi="Tahoma" w:cs="Tahoma"/>
          <w:sz w:val="18"/>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w:t>
      </w:r>
      <w:r w:rsidR="009C6A35" w:rsidRPr="00653421">
        <w:rPr>
          <w:rFonts w:ascii="Tahoma" w:hAnsi="Tahoma" w:cs="Tahoma"/>
          <w:sz w:val="18"/>
        </w:rPr>
        <w:t> </w:t>
      </w:r>
      <w:r w:rsidRPr="00653421">
        <w:rPr>
          <w:rFonts w:ascii="Tahoma" w:hAnsi="Tahoma" w:cs="Tahoma"/>
          <w:sz w:val="18"/>
        </w:rPr>
        <w:t>cobertura do Software Assurance. O requisito para alocar um conjunto de quatro licenças gratuitas do</w:t>
      </w:r>
      <w:r w:rsidR="00E30396" w:rsidRPr="00653421">
        <w:rPr>
          <w:rFonts w:ascii="Tahoma" w:hAnsi="Tahoma" w:cs="Tahoma"/>
          <w:sz w:val="18"/>
        </w:rPr>
        <w:t> </w:t>
      </w:r>
      <w:r w:rsidRPr="00653421">
        <w:rPr>
          <w:rFonts w:ascii="Tahoma" w:hAnsi="Tahoma" w:cs="Tahoma"/>
          <w:sz w:val="18"/>
        </w:rPr>
        <w:t>SMSD a um único dispositivo só será dispensado nessa renovação subsequente se a</w:t>
      </w:r>
      <w:r w:rsidR="00E30396" w:rsidRPr="00653421">
        <w:rPr>
          <w:rFonts w:ascii="Tahoma" w:hAnsi="Tahoma" w:cs="Tahoma"/>
          <w:sz w:val="18"/>
        </w:rPr>
        <w:t> </w:t>
      </w:r>
      <w:r w:rsidRPr="00653421">
        <w:rPr>
          <w:rFonts w:ascii="Tahoma" w:hAnsi="Tahoma" w:cs="Tahoma"/>
          <w:sz w:val="18"/>
        </w:rPr>
        <w:t>cobertura para todas as quatro licenças do SMSD for renovada.</w:t>
      </w:r>
    </w:p>
    <w:p w:rsidR="00D63733" w:rsidRPr="00653421" w:rsidRDefault="00D63733" w:rsidP="00D511CC">
      <w:pPr>
        <w:pStyle w:val="FootnoteBulletLevel1"/>
        <w:tabs>
          <w:tab w:val="clear" w:pos="900"/>
          <w:tab w:val="left" w:pos="720"/>
        </w:tabs>
        <w:spacing w:before="0" w:after="0"/>
        <w:ind w:firstLine="0"/>
      </w:pPr>
    </w:p>
    <w:p w:rsidR="00CF7343" w:rsidRPr="00653421" w:rsidRDefault="004323B9" w:rsidP="000A18AA">
      <w:pPr>
        <w:pStyle w:val="FootnoteBulletLevel1"/>
        <w:tabs>
          <w:tab w:val="clear" w:pos="900"/>
          <w:tab w:val="left" w:pos="720"/>
        </w:tabs>
        <w:spacing w:before="0" w:after="60"/>
        <w:ind w:left="720" w:firstLine="0"/>
      </w:pPr>
      <w:r w:rsidRPr="00653421">
        <w:rPr>
          <w:rFonts w:ascii="Tahoma" w:hAnsi="Tahoma" w:cs="Tahoma"/>
          <w:b/>
          <w:sz w:val="18"/>
        </w:rPr>
        <w:t>Remoção da limitação de que c</w:t>
      </w:r>
      <w:r w:rsidRPr="00653421">
        <w:rPr>
          <w:rFonts w:ascii="Tahoma" w:hAnsi="Tahoma" w:cs="Tahoma"/>
          <w:b/>
          <w:color w:val="000000"/>
          <w:sz w:val="18"/>
        </w:rPr>
        <w:t>ada conjunto de licenças do SMSD outorgadas deverá ser alocado a um único dispositivo</w:t>
      </w:r>
    </w:p>
    <w:p w:rsidR="004323B9" w:rsidRPr="00653421" w:rsidRDefault="004323B9" w:rsidP="00D511CC">
      <w:pPr>
        <w:pStyle w:val="FootnoteBulletLevel1"/>
        <w:tabs>
          <w:tab w:val="clear" w:pos="900"/>
          <w:tab w:val="left" w:pos="720"/>
        </w:tabs>
        <w:spacing w:before="0" w:after="0"/>
        <w:ind w:left="720" w:firstLine="0"/>
      </w:pPr>
      <w:r w:rsidRPr="00653421">
        <w:rPr>
          <w:rFonts w:ascii="Tahoma" w:hAnsi="Tahoma" w:cs="Tahoma"/>
          <w:sz w:val="18"/>
        </w:rPr>
        <w:t xml:space="preserve">A qualquer momento antes da primeira renovação do Software Assurance após esta outorga, os clientes poderão remover o requisito de que </w:t>
      </w:r>
      <w:r w:rsidRPr="00653421">
        <w:rPr>
          <w:rFonts w:ascii="Tahoma" w:hAnsi="Tahoma" w:cs="Tahoma"/>
          <w:color w:val="000000"/>
          <w:sz w:val="18"/>
        </w:rPr>
        <w:t>cada conjunto de licenças do SMSD outorgadas deverá ser alocado a</w:t>
      </w:r>
      <w:r w:rsidR="00E30396" w:rsidRPr="00653421">
        <w:rPr>
          <w:rFonts w:ascii="Tahoma" w:hAnsi="Tahoma" w:cs="Tahoma"/>
          <w:color w:val="000000"/>
          <w:sz w:val="18"/>
        </w:rPr>
        <w:t> </w:t>
      </w:r>
      <w:r w:rsidRPr="00653421">
        <w:rPr>
          <w:rFonts w:ascii="Tahoma" w:hAnsi="Tahoma" w:cs="Tahoma"/>
          <w:color w:val="000000"/>
          <w:sz w:val="18"/>
        </w:rPr>
        <w:t>um único dispositivo. Para isso, deverão</w:t>
      </w:r>
      <w:r w:rsidRPr="00653421">
        <w:rPr>
          <w:rFonts w:ascii="Tahoma" w:hAnsi="Tahoma" w:cs="Tahoma"/>
          <w:sz w:val="18"/>
        </w:rPr>
        <w:t xml:space="preserve"> comprar a cobertura do Software Assurance para duas licenças do SMSD de um dado conjunto de quatro licenças gratuitas do SMSD.</w:t>
      </w:r>
      <w:r w:rsidR="005A52A2" w:rsidRPr="00653421">
        <w:rPr>
          <w:rFonts w:ascii="Tahoma" w:hAnsi="Tahoma" w:cs="Tahoma"/>
          <w:sz w:val="18"/>
        </w:rPr>
        <w:t xml:space="preserve"> </w:t>
      </w:r>
    </w:p>
    <w:p w:rsidR="000A18AA" w:rsidRPr="00653421" w:rsidRDefault="000A18AA" w:rsidP="00D511CC">
      <w:pPr>
        <w:pStyle w:val="FootnoteBulletLevel1"/>
        <w:tabs>
          <w:tab w:val="clear" w:pos="900"/>
          <w:tab w:val="left" w:pos="720"/>
        </w:tabs>
        <w:spacing w:before="0" w:after="0"/>
        <w:ind w:left="720" w:firstLine="0"/>
      </w:pPr>
    </w:p>
    <w:p w:rsidR="004323B9" w:rsidRPr="00653421" w:rsidRDefault="004323B9" w:rsidP="00D511CC">
      <w:pPr>
        <w:pStyle w:val="FootnoteBulletLevel1"/>
        <w:tabs>
          <w:tab w:val="clear" w:pos="900"/>
          <w:tab w:val="left" w:pos="720"/>
        </w:tabs>
        <w:spacing w:before="0" w:after="0"/>
        <w:ind w:left="720" w:firstLine="0"/>
      </w:pPr>
      <w:r w:rsidRPr="00653421">
        <w:rPr>
          <w:rFonts w:ascii="Tahoma" w:hAnsi="Tahoma" w:cs="Tahoma"/>
          <w:sz w:val="18"/>
        </w:rPr>
        <w:t>O direito de uso do software pelos clientes sob as licenças gratuitas do SMSD é comprovado por esta nota de condição do produto e por evidências das licenças qualificadas correspondentes.</w:t>
      </w:r>
      <w:r w:rsidR="005A52A2" w:rsidRPr="00653421">
        <w:rPr>
          <w:rFonts w:ascii="Tahoma" w:hAnsi="Tahoma" w:cs="Tahoma"/>
          <w:sz w:val="18"/>
        </w:rPr>
        <w:t xml:space="preserve"> </w:t>
      </w:r>
      <w:r w:rsidRPr="00653421">
        <w:rPr>
          <w:rFonts w:ascii="Tahoma" w:hAnsi="Tahoma" w:cs="Tahoma"/>
          <w:sz w:val="18"/>
        </w:rPr>
        <w:t>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Os clientes não poderão transferir as licenças outorgadas sob esta oferta separadamente das licenças qualificadas correspondentes.</w:t>
      </w:r>
    </w:p>
    <w:p w:rsidR="000A18AA" w:rsidRPr="00653421" w:rsidRDefault="000A18AA" w:rsidP="00D511CC">
      <w:pPr>
        <w:pStyle w:val="FootnoteBulletLevel1"/>
        <w:tabs>
          <w:tab w:val="clear" w:pos="900"/>
          <w:tab w:val="left" w:pos="720"/>
        </w:tabs>
        <w:spacing w:before="0" w:after="0"/>
        <w:ind w:left="720" w:firstLine="0"/>
      </w:pPr>
    </w:p>
    <w:p w:rsidR="00F23A1B" w:rsidRPr="00653421" w:rsidRDefault="004323B9" w:rsidP="000A18AA">
      <w:pPr>
        <w:pStyle w:val="FootnoteBulletLevel1"/>
        <w:tabs>
          <w:tab w:val="clear" w:pos="900"/>
          <w:tab w:val="left" w:pos="720"/>
        </w:tabs>
        <w:spacing w:before="0" w:after="0"/>
        <w:ind w:left="720" w:firstLine="0"/>
      </w:pPr>
      <w:r w:rsidRPr="00653421">
        <w:rPr>
          <w:rFonts w:ascii="Tahoma" w:hAnsi="Tahoma" w:cs="Tahoma"/>
          <w:sz w:val="18"/>
        </w:rPr>
        <w:t>*As alterações no licenciamento do SMSE são efetivas para o System Center Operations Manager 2007 R2 e</w:t>
      </w:r>
      <w:r w:rsidR="00E30396" w:rsidRPr="00653421">
        <w:rPr>
          <w:rFonts w:ascii="Tahoma" w:hAnsi="Tahoma" w:cs="Tahoma"/>
          <w:sz w:val="18"/>
        </w:rPr>
        <w:t> </w:t>
      </w:r>
      <w:r w:rsidRPr="00653421">
        <w:rPr>
          <w:rFonts w:ascii="Tahoma" w:hAnsi="Tahoma" w:cs="Tahoma"/>
          <w:sz w:val="18"/>
        </w:rPr>
        <w:t>para novos lançamentos dos outros produtos incluídos no System Center Server Management Suite Enterprise (por exemplo, o System Center Virtual Machine Manager 2008 R2).</w:t>
      </w:r>
    </w:p>
    <w:p w:rsidR="000A18AA" w:rsidRPr="00653421" w:rsidRDefault="000A18AA" w:rsidP="000A18AA">
      <w:pPr>
        <w:pStyle w:val="FootnoteBulletLevel1"/>
        <w:tabs>
          <w:tab w:val="clear" w:pos="900"/>
          <w:tab w:val="left" w:pos="720"/>
        </w:tabs>
        <w:spacing w:before="0" w:after="0"/>
      </w:pPr>
    </w:p>
    <w:p w:rsidR="000A18AA" w:rsidRPr="00653421" w:rsidRDefault="000A18AA" w:rsidP="000A18AA">
      <w:pPr>
        <w:pStyle w:val="FootnoteBulletLevel1"/>
        <w:tabs>
          <w:tab w:val="clear" w:pos="900"/>
          <w:tab w:val="left" w:pos="720"/>
        </w:tabs>
        <w:spacing w:before="0" w:after="0"/>
      </w:pPr>
    </w:p>
    <w:p w:rsidR="00F411FE" w:rsidRPr="00653421" w:rsidRDefault="00F66FB0" w:rsidP="0097015A">
      <w:pPr>
        <w:pStyle w:val="Heading3"/>
      </w:pPr>
      <w:bookmarkStart w:id="1502" w:name="_86_System_Center"/>
      <w:bookmarkStart w:id="1503" w:name="_88_System_Center"/>
      <w:bookmarkStart w:id="1504" w:name="_Toc336338355"/>
      <w:bookmarkStart w:id="1505" w:name="_Toc353470994"/>
      <w:bookmarkStart w:id="1506" w:name="Srv_90SysCtrSvrMgmtSuiteDatacenter"/>
      <w:bookmarkEnd w:id="1502"/>
      <w:bookmarkEnd w:id="1503"/>
      <w:r w:rsidRPr="00653421">
        <w:rPr>
          <w:rFonts w:ascii="Tahoma" w:hAnsi="Tahoma" w:cs="Tahoma"/>
          <w:caps/>
          <w:color w:val="FF7415"/>
          <w:sz w:val="22"/>
          <w:szCs w:val="22"/>
          <w:vertAlign w:val="superscript"/>
        </w:rPr>
        <w:t>88</w:t>
      </w:r>
      <w:r w:rsidRPr="00653421">
        <w:rPr>
          <w:rFonts w:ascii="Tahoma" w:hAnsi="Tahoma" w:cs="Tahoma"/>
          <w:caps/>
          <w:color w:val="FF7415"/>
          <w:sz w:val="22"/>
          <w:szCs w:val="22"/>
        </w:rPr>
        <w:t xml:space="preserve"> </w:t>
      </w:r>
      <w:r w:rsidRPr="00653421">
        <w:rPr>
          <w:rFonts w:ascii="Tahoma" w:hAnsi="Tahoma" w:cs="Tahoma"/>
          <w:color w:val="FF7415"/>
          <w:sz w:val="22"/>
          <w:szCs w:val="22"/>
        </w:rPr>
        <w:t>System Center Server Management Suite Datacenter</w:t>
      </w:r>
      <w:bookmarkEnd w:id="1504"/>
      <w:bookmarkEnd w:id="1505"/>
    </w:p>
    <w:bookmarkEnd w:id="1506"/>
    <w:p w:rsidR="00F411FE" w:rsidRPr="00653421" w:rsidRDefault="00F411FE" w:rsidP="00F411FE">
      <w:pPr>
        <w:ind w:left="360"/>
      </w:pPr>
    </w:p>
    <w:p w:rsidR="00FF4CAB" w:rsidRPr="00653421" w:rsidRDefault="00FF4CAB" w:rsidP="000A18AA">
      <w:pPr>
        <w:pStyle w:val="EndnoteText"/>
        <w:ind w:left="720"/>
      </w:pPr>
      <w:r w:rsidRPr="00653421">
        <w:rPr>
          <w:rFonts w:ascii="Tahoma" w:hAnsi="Tahoma" w:cs="Tahoma"/>
          <w:color w:val="000000"/>
          <w:sz w:val="18"/>
        </w:rPr>
        <w:t xml:space="preserve">Este produto encontra-se no status EOL (Fim da Vida Útil) e não será mais oferecido. </w:t>
      </w:r>
    </w:p>
    <w:p w:rsidR="004F0CAE" w:rsidRPr="00653421" w:rsidRDefault="004F0CAE" w:rsidP="000A18AA">
      <w:pPr>
        <w:pStyle w:val="EndnoteText"/>
        <w:ind w:left="720"/>
      </w:pPr>
    </w:p>
    <w:p w:rsidR="00FF4CAB" w:rsidRPr="00653421" w:rsidRDefault="00FF4CAB" w:rsidP="004F0CAE">
      <w:pPr>
        <w:pStyle w:val="FootnoteBulletLevel1"/>
        <w:tabs>
          <w:tab w:val="clear" w:pos="900"/>
        </w:tabs>
        <w:spacing w:before="0" w:after="60"/>
        <w:ind w:left="720" w:firstLine="0"/>
      </w:pPr>
      <w:r w:rsidRPr="00653421">
        <w:rPr>
          <w:rFonts w:ascii="Tahoma" w:hAnsi="Tahoma" w:cs="Tahoma"/>
          <w:b/>
          <w:sz w:val="18"/>
        </w:rPr>
        <w:t>Detalhes da Outorga de Licença Transicional Única do System Center 2012</w:t>
      </w:r>
    </w:p>
    <w:p w:rsidR="00FF4CAB" w:rsidRPr="00653421" w:rsidRDefault="00FF4CAB" w:rsidP="000A18AA">
      <w:pPr>
        <w:ind w:left="720"/>
      </w:pPr>
      <w:r w:rsidRPr="00653421">
        <w:t>Consulte a nota do produto nas ofertas do System Center 2012 para obter detalhes sobre as outorgas de</w:t>
      </w:r>
      <w:r w:rsidR="00071601">
        <w:t> </w:t>
      </w:r>
      <w:r w:rsidRPr="00653421">
        <w:t>licença transicionais.</w:t>
      </w:r>
    </w:p>
    <w:p w:rsidR="00FF4CAB" w:rsidRPr="00653421" w:rsidRDefault="00FF4CAB" w:rsidP="000A18AA">
      <w:pPr>
        <w:ind w:left="720"/>
      </w:pPr>
    </w:p>
    <w:p w:rsidR="00F411FE" w:rsidRPr="00653421" w:rsidRDefault="00F411FE" w:rsidP="000A18AA">
      <w:pPr>
        <w:ind w:left="720"/>
      </w:pPr>
      <w:r w:rsidRPr="00653421">
        <w:rPr>
          <w:rFonts w:cs="Tahoma"/>
          <w:szCs w:val="20"/>
        </w:rPr>
        <w:t>O System Center Server Management Suite Datacenter é independente da versão e os direitos de uso de produto são determinados pelo status da cobertura do Software Assurance para o System Center Server Management Suite Datacenter.</w:t>
      </w:r>
      <w:r w:rsidR="005A52A2" w:rsidRPr="00653421">
        <w:rPr>
          <w:rFonts w:cs="Tahoma"/>
          <w:szCs w:val="20"/>
        </w:rPr>
        <w:t xml:space="preserve"> </w:t>
      </w:r>
      <w:r w:rsidRPr="00653421">
        <w:rPr>
          <w:rFonts w:cs="Tahoma"/>
          <w:szCs w:val="20"/>
        </w:rPr>
        <w:t>Se a cobertura for interrompida, os direitos de acesso sob as licenças perpétuas serão determinados com base nos direitos de uso de produto em vigor antes da interrupção.</w:t>
      </w:r>
      <w:r w:rsidR="005A52A2" w:rsidRPr="00653421">
        <w:rPr>
          <w:rFonts w:cs="Tahoma"/>
          <w:szCs w:val="20"/>
        </w:rPr>
        <w:t xml:space="preserve"> </w:t>
      </w:r>
    </w:p>
    <w:p w:rsidR="00E72B93" w:rsidRPr="00653421" w:rsidRDefault="00E72B93" w:rsidP="000A18AA">
      <w:pPr>
        <w:ind w:left="720"/>
      </w:pPr>
    </w:p>
    <w:p w:rsidR="001A0F51" w:rsidRPr="00653421" w:rsidRDefault="005C164D" w:rsidP="00E53811">
      <w:pPr>
        <w:ind w:left="720"/>
      </w:pPr>
      <w:r w:rsidRPr="00653421">
        <w:rPr>
          <w:rFonts w:cs="Tahoma"/>
          <w:color w:val="000000"/>
          <w:szCs w:val="18"/>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w:t>
      </w:r>
      <w:r w:rsidR="00B90E41" w:rsidRPr="00653421">
        <w:rPr>
          <w:rFonts w:cs="Tahoma"/>
          <w:color w:val="000000"/>
          <w:szCs w:val="18"/>
        </w:rPr>
        <w:t> </w:t>
      </w:r>
      <w:r w:rsidRPr="00653421">
        <w:rPr>
          <w:rFonts w:cs="Tahoma"/>
          <w:color w:val="000000"/>
          <w:szCs w:val="18"/>
        </w:rPr>
        <w:t>Virtual</w:t>
      </w:r>
      <w:r w:rsidR="00E30396" w:rsidRPr="00653421">
        <w:rPr>
          <w:rFonts w:cs="Tahoma"/>
          <w:color w:val="000000"/>
          <w:szCs w:val="18"/>
        </w:rPr>
        <w:t> </w:t>
      </w:r>
      <w:r w:rsidRPr="00653421">
        <w:rPr>
          <w:rFonts w:cs="Tahoma"/>
          <w:color w:val="000000"/>
          <w:szCs w:val="18"/>
        </w:rPr>
        <w:t>Machine Manager 2008 R2. Além disso, estará incluída a licença de servidor do Virtual Machine Manager 2008 R2 e do Data Protection Manager 2010. Consulte o PUR para obter informações sobre os direitos de uso.</w:t>
      </w:r>
      <w:bookmarkStart w:id="1507" w:name="_90_System_Center"/>
      <w:bookmarkStart w:id="1508" w:name="Srv_92TechNetPlusSingleUser"/>
      <w:bookmarkEnd w:id="1507"/>
    </w:p>
    <w:p w:rsidR="001A0F51" w:rsidRPr="00653421" w:rsidRDefault="001A0F51" w:rsidP="004F0CAE"/>
    <w:p w:rsidR="00FF4CAB" w:rsidRPr="00653421" w:rsidRDefault="00F66FB0" w:rsidP="00071601">
      <w:pPr>
        <w:pStyle w:val="Heading3"/>
        <w:ind w:left="245" w:hanging="245"/>
      </w:pPr>
      <w:bookmarkStart w:id="1509" w:name="_87_System_Center"/>
      <w:bookmarkStart w:id="1510" w:name="_89_System_Center"/>
      <w:bookmarkStart w:id="1511" w:name="_Toc336338357"/>
      <w:bookmarkStart w:id="1512" w:name="_Toc353470995"/>
      <w:bookmarkStart w:id="1513" w:name="Srv_100SysCenterVMM2008R2"/>
      <w:bookmarkEnd w:id="1509"/>
      <w:bookmarkEnd w:id="1510"/>
      <w:r w:rsidRPr="00653421">
        <w:rPr>
          <w:rFonts w:ascii="Tahoma" w:hAnsi="Tahoma" w:cs="Tahoma"/>
          <w:caps/>
          <w:color w:val="FF6F0D"/>
          <w:sz w:val="22"/>
          <w:szCs w:val="22"/>
          <w:vertAlign w:val="superscript"/>
        </w:rPr>
        <w:lastRenderedPageBreak/>
        <w:t>89</w:t>
      </w:r>
      <w:r w:rsidRPr="00653421">
        <w:rPr>
          <w:rFonts w:ascii="Tahoma" w:hAnsi="Tahoma" w:cs="Tahoma"/>
          <w:color w:val="FF6F0D"/>
          <w:sz w:val="22"/>
          <w:szCs w:val="22"/>
        </w:rPr>
        <w:t xml:space="preserve"> System Center Virtual Machine Manager 2008 R2 – Licenças de Gerenciamento de</w:t>
      </w:r>
      <w:r w:rsidR="00E30396" w:rsidRPr="00653421">
        <w:rPr>
          <w:rFonts w:ascii="Tahoma" w:hAnsi="Tahoma" w:cs="Tahoma"/>
          <w:color w:val="FF6F0D"/>
          <w:sz w:val="22"/>
          <w:szCs w:val="22"/>
        </w:rPr>
        <w:t> </w:t>
      </w:r>
      <w:r w:rsidRPr="00653421">
        <w:rPr>
          <w:rFonts w:ascii="Tahoma" w:hAnsi="Tahoma" w:cs="Tahoma"/>
          <w:color w:val="FF6F0D"/>
          <w:sz w:val="22"/>
          <w:szCs w:val="22"/>
        </w:rPr>
        <w:t>Cliente e Servidor</w:t>
      </w:r>
      <w:bookmarkEnd w:id="1511"/>
      <w:bookmarkEnd w:id="1512"/>
    </w:p>
    <w:bookmarkEnd w:id="1513"/>
    <w:p w:rsidR="00FF4CAB" w:rsidRPr="00653421" w:rsidRDefault="00FF4CAB" w:rsidP="004F0CAE"/>
    <w:p w:rsidR="00FF4CAB" w:rsidRPr="00653421" w:rsidRDefault="00FF4CAB" w:rsidP="004F0CAE">
      <w:pPr>
        <w:ind w:left="720"/>
      </w:pPr>
      <w:r w:rsidRPr="00653421">
        <w:t>Estes produtos encontram-se no status EOL (Fim da Vida Útil) e não serão mais oferecidos.</w:t>
      </w:r>
    </w:p>
    <w:p w:rsidR="004F0CAE" w:rsidRPr="00653421" w:rsidRDefault="004F0CAE" w:rsidP="004F0CAE">
      <w:pPr>
        <w:ind w:left="720"/>
      </w:pPr>
    </w:p>
    <w:p w:rsidR="00FF4CAB" w:rsidRPr="00653421" w:rsidRDefault="00FF4CAB" w:rsidP="004F0CAE">
      <w:pPr>
        <w:adjustRightInd w:val="0"/>
        <w:spacing w:after="60"/>
        <w:ind w:left="720"/>
        <w:textAlignment w:val="baseline"/>
      </w:pPr>
      <w:r w:rsidRPr="00653421">
        <w:rPr>
          <w:rFonts w:cs="Tahoma"/>
          <w:b/>
          <w:szCs w:val="20"/>
        </w:rPr>
        <w:t>Detalhes da Outorga de Licença Transicional Única do System Center 2012</w:t>
      </w:r>
    </w:p>
    <w:p w:rsidR="00586FCE" w:rsidRPr="00653421" w:rsidRDefault="00FF4CAB" w:rsidP="004F0CAE">
      <w:pPr>
        <w:ind w:left="720"/>
      </w:pPr>
      <w:r w:rsidRPr="00653421">
        <w:t>Consulte a nota do produto nas ofertas do System Center 2012 para obter detalhes sobre as outorgas de</w:t>
      </w:r>
      <w:r w:rsidR="00E30396" w:rsidRPr="00653421">
        <w:t> </w:t>
      </w:r>
      <w:r w:rsidRPr="00653421">
        <w:t>licença</w:t>
      </w:r>
      <w:bookmarkStart w:id="1514" w:name="_Toc336338358"/>
      <w:bookmarkStart w:id="1515" w:name="Srv_101SystemCenter2012"/>
      <w:r w:rsidRPr="00653421">
        <w:t xml:space="preserve"> transicionais.</w:t>
      </w:r>
    </w:p>
    <w:p w:rsidR="00E30396" w:rsidRPr="00653421" w:rsidRDefault="00E30396" w:rsidP="004F0CAE"/>
    <w:p w:rsidR="004F0CAE" w:rsidRPr="00653421" w:rsidRDefault="004F0CAE" w:rsidP="004F0CAE"/>
    <w:p w:rsidR="00FF4CAB" w:rsidRPr="00653421" w:rsidRDefault="00F66FB0" w:rsidP="00FF4CAB">
      <w:pPr>
        <w:pStyle w:val="Heading3"/>
      </w:pPr>
      <w:bookmarkStart w:id="1516" w:name="_91_89_System"/>
      <w:bookmarkStart w:id="1517" w:name="_Toc353470996"/>
      <w:bookmarkEnd w:id="1516"/>
      <w:r w:rsidRPr="00653421">
        <w:rPr>
          <w:rFonts w:ascii="Tahoma" w:hAnsi="Tahoma" w:cs="Tahoma"/>
          <w:caps/>
          <w:color w:val="FF6F0D"/>
          <w:sz w:val="22"/>
          <w:szCs w:val="22"/>
          <w:vertAlign w:val="superscript"/>
        </w:rPr>
        <w:t>90</w:t>
      </w:r>
      <w:r w:rsidRPr="00653421">
        <w:rPr>
          <w:rFonts w:ascii="Tahoma" w:hAnsi="Tahoma" w:cs="Tahoma"/>
          <w:color w:val="FF6F0D"/>
          <w:sz w:val="22"/>
          <w:szCs w:val="22"/>
        </w:rPr>
        <w:t xml:space="preserve"> System Center 2012</w:t>
      </w:r>
      <w:bookmarkEnd w:id="1514"/>
      <w:bookmarkEnd w:id="1517"/>
    </w:p>
    <w:bookmarkEnd w:id="1515"/>
    <w:p w:rsidR="00FF4CAB" w:rsidRPr="00653421" w:rsidRDefault="00FF4CAB" w:rsidP="004F0CAE"/>
    <w:p w:rsidR="00FF4CAB" w:rsidRPr="00653421" w:rsidRDefault="00FF4CAB" w:rsidP="004F0CAE">
      <w:pPr>
        <w:ind w:left="720"/>
      </w:pPr>
      <w:r w:rsidRPr="00653421">
        <w:rPr>
          <w:rFonts w:cs="Tahoma"/>
          <w:color w:val="000000"/>
          <w:szCs w:val="24"/>
        </w:rPr>
        <w:t>As versões posteriores do System Center Data Protection Manager 2010, System Center Operations Manager 2008 R2, System Center Service Manager 2010 e System Center Virtual Machine Manager 2008 R2 não serão disponíveis.</w:t>
      </w:r>
      <w:r w:rsidR="005A52A2" w:rsidRPr="00653421">
        <w:rPr>
          <w:rFonts w:cs="Tahoma"/>
          <w:color w:val="000000"/>
          <w:szCs w:val="24"/>
        </w:rPr>
        <w:t xml:space="preserve"> </w:t>
      </w:r>
      <w:r w:rsidRPr="00653421">
        <w:rPr>
          <w:rFonts w:cs="Tahoma"/>
          <w:color w:val="000000"/>
          <w:szCs w:val="24"/>
        </w:rPr>
        <w:t>Da mesma forma, versões posteriores do System Center Configuration Manager 2007 R3 não estarão disponíveis sob licenças de software separadas ou licenças de gerenciamento de servidores. Como uma exceção, mediante a disponibilidade do System Center 2012, aos clientes do Software Assurance ativo que tiveram cobertura nas licenças de gerenciamento e de software correspondendo a esses produtos em 1º de abril de 2012 serão fornecidas licenças para atualizar e usar o software Systems Center 2012 em vez desses produtos como pode ser visto a seguir.</w:t>
      </w:r>
    </w:p>
    <w:p w:rsidR="00FF4CAB" w:rsidRPr="00653421" w:rsidRDefault="00FF4CAB" w:rsidP="004F0CAE">
      <w:pPr>
        <w:ind w:left="90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653421" w:rsidTr="00CA14C9">
        <w:tc>
          <w:tcPr>
            <w:tcW w:w="3960" w:type="dxa"/>
            <w:tcBorders>
              <w:top w:val="single" w:sz="4" w:space="0" w:color="000000"/>
              <w:bottom w:val="single" w:sz="6" w:space="0" w:color="000000"/>
            </w:tcBorders>
            <w:shd w:val="clear" w:color="auto" w:fill="FABF8F"/>
          </w:tcPr>
          <w:p w:rsidR="00FF4CAB" w:rsidRPr="00653421" w:rsidRDefault="00FF4CAB" w:rsidP="00FF4CAB">
            <w:pPr>
              <w:jc w:val="center"/>
              <w:rPr>
                <w:rFonts w:cs="Tahoma"/>
                <w:b/>
                <w:color w:val="000000"/>
                <w:szCs w:val="20"/>
              </w:rPr>
            </w:pPr>
            <w:r w:rsidRPr="00653421">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FF4CAB" w:rsidRPr="00653421" w:rsidRDefault="00FF4CAB" w:rsidP="00FF4CAB">
            <w:pPr>
              <w:jc w:val="center"/>
              <w:rPr>
                <w:rFonts w:cs="Tahoma"/>
                <w:b/>
                <w:color w:val="000000"/>
                <w:szCs w:val="20"/>
              </w:rPr>
            </w:pPr>
            <w:r w:rsidRPr="00653421">
              <w:rPr>
                <w:rFonts w:cs="Tahoma"/>
                <w:b/>
                <w:color w:val="000000"/>
                <w:szCs w:val="20"/>
              </w:rPr>
              <w:t>Licenças do System Center 2012:</w:t>
            </w:r>
          </w:p>
        </w:tc>
      </w:tr>
      <w:tr w:rsidR="00FF4CAB" w:rsidRPr="00653421" w:rsidTr="00CA14C9">
        <w:tc>
          <w:tcPr>
            <w:tcW w:w="3960" w:type="dxa"/>
            <w:tcBorders>
              <w:top w:val="single" w:sz="6" w:space="0" w:color="000000"/>
            </w:tcBorders>
            <w:shd w:val="clear" w:color="auto" w:fill="FFFFFF"/>
          </w:tcPr>
          <w:p w:rsidR="00FF4CAB" w:rsidRPr="00653421" w:rsidRDefault="00FF4CAB" w:rsidP="00E30396">
            <w:pPr>
              <w:rPr>
                <w:rFonts w:cs="Tahoma"/>
                <w:color w:val="000000"/>
                <w:szCs w:val="20"/>
              </w:rPr>
            </w:pPr>
            <w:r w:rsidRPr="00653421">
              <w:rPr>
                <w:rFonts w:cs="Tahoma"/>
                <w:color w:val="000000"/>
                <w:szCs w:val="20"/>
              </w:rPr>
              <w:t>System Center Client Management Suite (ML</w:t>
            </w:r>
            <w:r w:rsidR="00E30396" w:rsidRPr="00653421">
              <w:rPr>
                <w:rFonts w:cs="Tahoma"/>
                <w:color w:val="000000"/>
                <w:szCs w:val="20"/>
              </w:rPr>
              <w:t> </w:t>
            </w:r>
            <w:r w:rsidRPr="00653421">
              <w:rPr>
                <w:rFonts w:cs="Tahoma"/>
                <w:color w:val="000000"/>
                <w:szCs w:val="20"/>
              </w:rPr>
              <w:t>de Cliente) por OSE</w:t>
            </w:r>
          </w:p>
        </w:tc>
        <w:tc>
          <w:tcPr>
            <w:tcW w:w="4050" w:type="dxa"/>
            <w:tcBorders>
              <w:top w:val="single" w:sz="6" w:space="0" w:color="000000"/>
            </w:tcBorders>
            <w:shd w:val="clear" w:color="auto" w:fill="FFFFFF"/>
          </w:tcPr>
          <w:p w:rsidR="00FF4CAB" w:rsidRPr="00653421" w:rsidRDefault="00FF4CAB" w:rsidP="00FF4CAB">
            <w:pPr>
              <w:rPr>
                <w:rFonts w:cs="Tahoma"/>
                <w:color w:val="000000"/>
                <w:szCs w:val="20"/>
              </w:rPr>
            </w:pPr>
            <w:r w:rsidRPr="00653421">
              <w:rPr>
                <w:rFonts w:cs="Tahoma"/>
                <w:color w:val="000000"/>
                <w:szCs w:val="20"/>
              </w:rPr>
              <w:t>1 System Center 2012 Client Management Suite (ML de Cliente) por OSE</w:t>
            </w:r>
          </w:p>
        </w:tc>
      </w:tr>
      <w:tr w:rsidR="00FF4CAB" w:rsidRPr="00653421" w:rsidTr="00CA14C9">
        <w:tc>
          <w:tcPr>
            <w:tcW w:w="3960" w:type="dxa"/>
            <w:shd w:val="clear" w:color="auto" w:fill="FFFFFF"/>
          </w:tcPr>
          <w:p w:rsidR="00FF4CAB" w:rsidRPr="00653421" w:rsidRDefault="00FF4CAB" w:rsidP="00E30396">
            <w:pPr>
              <w:rPr>
                <w:rFonts w:cs="Tahoma"/>
                <w:color w:val="000000"/>
                <w:szCs w:val="20"/>
              </w:rPr>
            </w:pPr>
            <w:r w:rsidRPr="00653421">
              <w:rPr>
                <w:rFonts w:cs="Tahoma"/>
                <w:color w:val="000000"/>
                <w:szCs w:val="20"/>
              </w:rPr>
              <w:t>System Center Client Management Suite (ML</w:t>
            </w:r>
            <w:r w:rsidR="00E30396" w:rsidRPr="00653421">
              <w:rPr>
                <w:rFonts w:cs="Tahoma"/>
                <w:color w:val="000000"/>
                <w:szCs w:val="20"/>
              </w:rPr>
              <w:t> </w:t>
            </w:r>
            <w:r w:rsidRPr="00653421">
              <w:rPr>
                <w:rFonts w:cs="Tahoma"/>
                <w:color w:val="000000"/>
                <w:szCs w:val="20"/>
              </w:rPr>
              <w:t>de Cliente) por Usuário</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System Center 2012 Client Management Suite (ML de Cliente) por Usuário</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System Center Configuration Manager 2007 R3</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do System Center Configuration Manager 2007 R3 (ML do Cliente) por OSE</w:t>
            </w:r>
          </w:p>
        </w:tc>
        <w:tc>
          <w:tcPr>
            <w:tcW w:w="4050" w:type="dxa"/>
            <w:shd w:val="clear" w:color="auto" w:fill="FFFFFF"/>
          </w:tcPr>
          <w:p w:rsidR="00FF4CAB" w:rsidRPr="00653421" w:rsidRDefault="00FF4CAB" w:rsidP="00E30396">
            <w:pPr>
              <w:rPr>
                <w:rFonts w:cs="Tahoma"/>
                <w:color w:val="000000"/>
                <w:szCs w:val="20"/>
              </w:rPr>
            </w:pPr>
            <w:r w:rsidRPr="00653421">
              <w:rPr>
                <w:rFonts w:cs="Tahoma"/>
                <w:szCs w:val="20"/>
              </w:rPr>
              <w:t>1 Licença de Gerenciamento de Cliente do System Center 2012 Configuration Manager (ML</w:t>
            </w:r>
            <w:r w:rsidR="00E30396" w:rsidRPr="00653421">
              <w:rPr>
                <w:rFonts w:cs="Tahoma"/>
                <w:szCs w:val="20"/>
              </w:rPr>
              <w:t> </w:t>
            </w:r>
            <w:r w:rsidRPr="00653421">
              <w:rPr>
                <w:rFonts w:cs="Tahoma"/>
                <w:szCs w:val="20"/>
              </w:rPr>
              <w:t>do Cliente) por OSE</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do System Center Configuration Manager 2007 R3 (ML de Cliente) por Usuário</w:t>
            </w:r>
          </w:p>
        </w:tc>
        <w:tc>
          <w:tcPr>
            <w:tcW w:w="4050" w:type="dxa"/>
            <w:shd w:val="clear" w:color="auto" w:fill="FFFFFF"/>
          </w:tcPr>
          <w:p w:rsidR="00FF4CAB" w:rsidRPr="00653421" w:rsidRDefault="00FF4CAB" w:rsidP="00E30396">
            <w:pPr>
              <w:rPr>
                <w:rFonts w:cs="Tahoma"/>
                <w:color w:val="000000"/>
                <w:szCs w:val="20"/>
              </w:rPr>
            </w:pPr>
            <w:r w:rsidRPr="00653421">
              <w:rPr>
                <w:rFonts w:cs="Tahoma"/>
                <w:szCs w:val="20"/>
              </w:rPr>
              <w:t>1 Licença de Gerenciamento de Cliente do System Center 2012 Configuration Manager (ML</w:t>
            </w:r>
            <w:r w:rsidR="00E30396" w:rsidRPr="00653421">
              <w:rPr>
                <w:rFonts w:cs="Tahoma"/>
                <w:szCs w:val="20"/>
              </w:rPr>
              <w:t> </w:t>
            </w:r>
            <w:r w:rsidRPr="00653421">
              <w:rPr>
                <w:rFonts w:cs="Tahoma"/>
                <w:szCs w:val="20"/>
              </w:rPr>
              <w:t>de Cliente) por Usuário</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(ML de Cliente) do System Center Configuration Manager 2007 R3 (Somente para Aluno)</w:t>
            </w:r>
            <w:r w:rsidRPr="00653421">
              <w:rPr>
                <w:rFonts w:cs="Tahoma"/>
                <w:color w:val="000000"/>
                <w:szCs w:val="20"/>
                <w:vertAlign w:val="superscript"/>
              </w:rPr>
              <w:t>*</w:t>
            </w:r>
          </w:p>
        </w:tc>
        <w:tc>
          <w:tcPr>
            <w:tcW w:w="4050" w:type="dxa"/>
            <w:shd w:val="clear" w:color="auto" w:fill="FFFFFF"/>
          </w:tcPr>
          <w:p w:rsidR="00FF4CAB" w:rsidRPr="00653421" w:rsidRDefault="00FF4CAB" w:rsidP="00FF4CAB">
            <w:pPr>
              <w:rPr>
                <w:rFonts w:cs="Tahoma"/>
                <w:color w:val="000000"/>
                <w:szCs w:val="20"/>
              </w:rPr>
            </w:pPr>
            <w:r w:rsidRPr="00653421">
              <w:rPr>
                <w:rFonts w:cs="Tahoma"/>
                <w:szCs w:val="20"/>
              </w:rPr>
              <w:t>1 Licença de Gerenciamento de Cliente (ML de Cliente) do System Center 2012 Configuration Manager (Somente para Aluno)</w:t>
            </w:r>
            <w:r w:rsidRPr="00653421">
              <w:rPr>
                <w:rFonts w:cs="Tahoma"/>
                <w:szCs w:val="20"/>
                <w:vertAlign w:val="superscript"/>
              </w:rPr>
              <w:t>*</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Servidor Enterprise do System Center Configuration Manager 2007 R3</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CC6362">
            <w:pPr>
              <w:rPr>
                <w:rFonts w:cs="Tahoma"/>
                <w:color w:val="000000"/>
                <w:szCs w:val="20"/>
              </w:rPr>
            </w:pPr>
            <w:r w:rsidRPr="00653421">
              <w:rPr>
                <w:rFonts w:cs="Tahoma"/>
                <w:color w:val="000000"/>
                <w:szCs w:val="20"/>
              </w:rPr>
              <w:t>Licença de Gerenciamento de Servidor Padrão</w:t>
            </w:r>
            <w:r w:rsidR="00CC6362" w:rsidRPr="00653421">
              <w:rPr>
                <w:rFonts w:cs="Tahoma"/>
                <w:color w:val="000000"/>
                <w:szCs w:val="20"/>
              </w:rPr>
              <w:t> </w:t>
            </w:r>
            <w:r w:rsidRPr="00653421">
              <w:rPr>
                <w:rFonts w:cs="Tahoma"/>
                <w:color w:val="000000"/>
                <w:szCs w:val="20"/>
              </w:rPr>
              <w:t xml:space="preserve">do System Center Configuration Manager 2007 R3 </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System Center Configuration Manager 2007 R3 com Tecnologia SQL Server 2008</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do System Center Data Protection Manager 2010 por Usuário</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System Center 2012 Client Management Suite (ML de Cliente) por Usuário</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do System Center Data Protection Manager 2010 por OSE</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System Center 2012 Client Management Suite (ML de Cliente) por OSE</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Servidor Enterprise do System Center Data Protection Manager 2010</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Servidor Standard do System Center Data Protection Manager 2010</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1A0F51" w:rsidRPr="00653421" w:rsidTr="006A3FBD">
        <w:tc>
          <w:tcPr>
            <w:tcW w:w="3960" w:type="dxa"/>
            <w:tcBorders>
              <w:top w:val="single" w:sz="4" w:space="0" w:color="000000"/>
              <w:bottom w:val="single" w:sz="6" w:space="0" w:color="000000"/>
            </w:tcBorders>
            <w:shd w:val="clear" w:color="auto" w:fill="FABF8F"/>
          </w:tcPr>
          <w:p w:rsidR="001A0F51" w:rsidRPr="00653421" w:rsidRDefault="001A0F51" w:rsidP="006A3FBD">
            <w:pPr>
              <w:jc w:val="center"/>
              <w:rPr>
                <w:rFonts w:cs="Tahoma"/>
                <w:b/>
                <w:color w:val="000000"/>
                <w:szCs w:val="20"/>
              </w:rPr>
            </w:pPr>
            <w:r w:rsidRPr="00653421">
              <w:rPr>
                <w:rFonts w:cs="Tahoma"/>
                <w:b/>
                <w:color w:val="000000"/>
                <w:szCs w:val="20"/>
              </w:rPr>
              <w:lastRenderedPageBreak/>
              <w:t>Licenças Qualificadas</w:t>
            </w:r>
          </w:p>
        </w:tc>
        <w:tc>
          <w:tcPr>
            <w:tcW w:w="4050" w:type="dxa"/>
            <w:tcBorders>
              <w:top w:val="single" w:sz="4" w:space="0" w:color="000000"/>
              <w:bottom w:val="single" w:sz="6" w:space="0" w:color="000000"/>
            </w:tcBorders>
            <w:shd w:val="clear" w:color="auto" w:fill="FABF8F"/>
          </w:tcPr>
          <w:p w:rsidR="001A0F51" w:rsidRPr="00653421" w:rsidRDefault="001A0F51" w:rsidP="006A3FBD">
            <w:pPr>
              <w:jc w:val="center"/>
              <w:rPr>
                <w:rFonts w:cs="Tahoma"/>
                <w:b/>
                <w:color w:val="000000"/>
                <w:szCs w:val="20"/>
              </w:rPr>
            </w:pPr>
            <w:r w:rsidRPr="00653421">
              <w:rPr>
                <w:rFonts w:cs="Tahoma"/>
                <w:b/>
                <w:color w:val="000000"/>
                <w:szCs w:val="20"/>
              </w:rPr>
              <w:t>Licenças do System Center 2012:</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System Center Operations Manager 2007 R2</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System Center Operations Manager 2007 R2 com Tecnologia SQL Server 2008</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Servidor Standard do System Center Operations Manager 2007 R2</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Servidor Enterprise do System Center Operations Manager 2007 R2</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do System Center Operations Manager 2007 R2 por OSE</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System Center 2012 Client Management Suite (ML de Cliente) por OSE</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do System Center Operations Manager 2007 R2 por Usuário</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System Center 2012 Client Management Suite (ML de Cliente) por Usuário</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System Center Server Management Suite Enterprise</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2 Licenças de Gerenciamento do System Center 2012 Standard Server (MLs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System Center Server Management Suite Datacenter</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Datacenter Server (ML de Servidor) para cada 2 licenças qualificadas do System Center Server Management Suite Datacenter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System Center Service Manager 2010</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System Center Service Manager 2010 com Tecnologia SQL Server 2008</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(ML de Cliente) do System Center Service Manager 2010 por OSE</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System Center 2012 Client Management Suite (ML de Cliente) por OSE</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(ML de Cliente) do System Center Service Manager 2010 por Usuário</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System Center 2012 Client Management Suite (ML de Cliente) por Usuário</w:t>
            </w:r>
          </w:p>
        </w:tc>
      </w:tr>
      <w:tr w:rsidR="00FF4CAB" w:rsidRPr="00653421" w:rsidTr="00CA14C9">
        <w:tc>
          <w:tcPr>
            <w:tcW w:w="3960" w:type="dxa"/>
            <w:shd w:val="clear" w:color="auto" w:fill="FFFFFF"/>
          </w:tcPr>
          <w:p w:rsidR="00FF4CAB" w:rsidRPr="00653421" w:rsidRDefault="00FF4CAB" w:rsidP="007C4DF6">
            <w:pPr>
              <w:rPr>
                <w:rFonts w:cs="Tahoma"/>
                <w:color w:val="000000"/>
                <w:szCs w:val="20"/>
              </w:rPr>
            </w:pPr>
            <w:r w:rsidRPr="00653421">
              <w:rPr>
                <w:rFonts w:cs="Tahoma"/>
                <w:color w:val="000000"/>
                <w:szCs w:val="20"/>
              </w:rPr>
              <w:t>Licença de Gerenciamento de Servidor do System Center Service Manager 2010 (ML</w:t>
            </w:r>
            <w:r w:rsidR="007C4DF6" w:rsidRPr="00653421">
              <w:rPr>
                <w:rFonts w:cs="Tahoma"/>
                <w:color w:val="000000"/>
                <w:szCs w:val="20"/>
              </w:rPr>
              <w:t> </w:t>
            </w:r>
            <w:r w:rsidRPr="00653421">
              <w:rPr>
                <w:rFonts w:cs="Tahoma"/>
                <w:color w:val="000000"/>
                <w:szCs w:val="20"/>
              </w:rPr>
              <w:t>do</w:t>
            </w:r>
            <w:r w:rsidR="007C4DF6" w:rsidRPr="00653421">
              <w:rPr>
                <w:rFonts w:cs="Tahoma"/>
                <w:color w:val="000000"/>
                <w:szCs w:val="20"/>
              </w:rPr>
              <w:t> </w:t>
            </w:r>
            <w:r w:rsidRPr="00653421">
              <w:rPr>
                <w:rFonts w:cs="Tahoma"/>
                <w:color w:val="000000"/>
                <w:szCs w:val="20"/>
              </w:rPr>
              <w:t xml:space="preserve">Servidor) </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Standard Server (ML de Servidor)</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do System Center Virtual Machine Manager 2008 R2 por OSE</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de Cliente do System Center Configuration Manager (ML do Cliente) por OSE</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Cliente do System Center Virtual Machine Manager 2008 R2 por Usuário</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de Cliente do System Center Configuration Manager (ML de Cliente) por Usuário</w:t>
            </w:r>
          </w:p>
        </w:tc>
      </w:tr>
      <w:tr w:rsidR="00FF4CAB" w:rsidRPr="00653421" w:rsidTr="00CA14C9">
        <w:tc>
          <w:tcPr>
            <w:tcW w:w="3960" w:type="dxa"/>
            <w:shd w:val="clear" w:color="auto" w:fill="FFFFFF"/>
          </w:tcPr>
          <w:p w:rsidR="00FF4CAB" w:rsidRPr="00653421" w:rsidRDefault="00FF4CAB" w:rsidP="00FF4CAB">
            <w:pPr>
              <w:rPr>
                <w:rFonts w:cs="Tahoma"/>
                <w:color w:val="000000"/>
                <w:szCs w:val="20"/>
              </w:rPr>
            </w:pPr>
            <w:r w:rsidRPr="00653421">
              <w:rPr>
                <w:rFonts w:cs="Tahoma"/>
                <w:color w:val="000000"/>
                <w:szCs w:val="20"/>
              </w:rPr>
              <w:t>Licença de Gerenciamento de Servidor Enterprise do System Center Virtual Machine Manager 2008 R2</w:t>
            </w:r>
          </w:p>
        </w:tc>
        <w:tc>
          <w:tcPr>
            <w:tcW w:w="4050" w:type="dxa"/>
            <w:shd w:val="clear" w:color="auto" w:fill="FFFFFF"/>
          </w:tcPr>
          <w:p w:rsidR="00FF4CAB" w:rsidRPr="00653421" w:rsidRDefault="00FF4CAB" w:rsidP="00FF4CAB">
            <w:pPr>
              <w:rPr>
                <w:rFonts w:cs="Tahoma"/>
                <w:color w:val="000000"/>
                <w:szCs w:val="20"/>
              </w:rPr>
            </w:pPr>
            <w:r w:rsidRPr="00653421">
              <w:rPr>
                <w:rFonts w:cs="Tahoma"/>
                <w:color w:val="000000"/>
                <w:szCs w:val="20"/>
              </w:rPr>
              <w:t>1 Licença de Gerenciamento do System Center 2012 Datacenter Server (ML de Servidor)</w:t>
            </w:r>
          </w:p>
        </w:tc>
      </w:tr>
    </w:tbl>
    <w:p w:rsidR="00FF4CAB" w:rsidRPr="00653421" w:rsidRDefault="00FF4CAB" w:rsidP="00376D4B">
      <w:pPr>
        <w:ind w:left="720"/>
      </w:pPr>
      <w:r w:rsidRPr="00653421">
        <w:rPr>
          <w:rFonts w:cs="Tahoma"/>
          <w:i/>
          <w:color w:val="000000"/>
          <w:sz w:val="16"/>
          <w:szCs w:val="24"/>
          <w:vertAlign w:val="superscript"/>
        </w:rPr>
        <w:t>*</w:t>
      </w:r>
      <w:r w:rsidRPr="00653421">
        <w:rPr>
          <w:rFonts w:ascii="Trebuchet MS" w:hAnsi="Trebuchet MS" w:cs="Tahoma"/>
          <w:i/>
          <w:szCs w:val="20"/>
        </w:rPr>
        <w:t xml:space="preserve"> </w:t>
      </w:r>
      <w:r w:rsidRPr="00653421">
        <w:rPr>
          <w:rFonts w:cs="Tahoma"/>
          <w:i/>
          <w:color w:val="000000"/>
          <w:sz w:val="16"/>
          <w:szCs w:val="24"/>
        </w:rPr>
        <w:t>As MLs de Cliente Somente para Aluno estão disponíveis a PCs de propriedade de um aluno ou de uma instituição licenciados dedicados a um aluno individual somente e não se destinam ao uso em laboratórios ou salas de aula</w:t>
      </w:r>
    </w:p>
    <w:p w:rsidR="00FF4CAB" w:rsidRPr="00653421" w:rsidRDefault="00FF4CAB" w:rsidP="00376D4B">
      <w:pPr>
        <w:ind w:left="720"/>
      </w:pPr>
    </w:p>
    <w:p w:rsidR="00FF4CAB" w:rsidRPr="00653421" w:rsidRDefault="00FF4CAB" w:rsidP="00376D4B">
      <w:pPr>
        <w:ind w:left="720"/>
      </w:pPr>
      <w:r w:rsidRPr="00653421">
        <w:rPr>
          <w:rFonts w:cs="Tahoma"/>
          <w:color w:val="000000"/>
          <w:szCs w:val="24"/>
        </w:rPr>
        <w:t>Todas as licenças concedidas sob esta oferta incluirão cobertura do Software Assurance. Essa cobertura se</w:t>
      </w:r>
      <w:r w:rsidR="00E30396" w:rsidRPr="00653421">
        <w:rPr>
          <w:rFonts w:cs="Tahoma"/>
          <w:color w:val="000000"/>
          <w:szCs w:val="24"/>
        </w:rPr>
        <w:t> </w:t>
      </w:r>
      <w:r w:rsidRPr="00653421">
        <w:rPr>
          <w:rFonts w:cs="Tahoma"/>
          <w:color w:val="000000"/>
          <w:szCs w:val="24"/>
        </w:rPr>
        <w:t xml:space="preserve">encerrará no término da cobertura de qualificação de Software Assurance correspondente. Ao término dessa cobertura, os clientes poderão renovar o Software Assurance sobre as licenças outorgadas. </w:t>
      </w:r>
    </w:p>
    <w:p w:rsidR="00FF4CAB" w:rsidRPr="00653421" w:rsidRDefault="00FF4CAB" w:rsidP="00376D4B">
      <w:pPr>
        <w:ind w:left="720"/>
      </w:pPr>
    </w:p>
    <w:p w:rsidR="001A0F51" w:rsidRPr="00653421" w:rsidRDefault="001A0F51" w:rsidP="00376D4B">
      <w:pPr>
        <w:ind w:left="720"/>
      </w:pPr>
    </w:p>
    <w:p w:rsidR="001A0F51" w:rsidRPr="00653421" w:rsidRDefault="001A0F51" w:rsidP="00376D4B">
      <w:pPr>
        <w:ind w:left="720"/>
      </w:pPr>
    </w:p>
    <w:p w:rsidR="001A0F51" w:rsidRPr="00653421" w:rsidRDefault="001A0F51" w:rsidP="00376D4B">
      <w:pPr>
        <w:ind w:left="720"/>
      </w:pPr>
    </w:p>
    <w:p w:rsidR="001A0F51" w:rsidRPr="00653421" w:rsidRDefault="001A0F51" w:rsidP="00376D4B">
      <w:pPr>
        <w:ind w:left="720"/>
      </w:pPr>
    </w:p>
    <w:p w:rsidR="001A0F51" w:rsidRPr="00653421" w:rsidRDefault="001A0F51" w:rsidP="00376D4B">
      <w:pPr>
        <w:ind w:left="720"/>
      </w:pPr>
    </w:p>
    <w:p w:rsidR="00FF4CAB" w:rsidRPr="00653421" w:rsidRDefault="00FF4CAB" w:rsidP="00376D4B">
      <w:pPr>
        <w:ind w:left="720"/>
      </w:pPr>
      <w:r w:rsidRPr="00653421">
        <w:rPr>
          <w:rFonts w:cs="Tahoma"/>
          <w:color w:val="000000"/>
          <w:szCs w:val="24"/>
        </w:rPr>
        <w:lastRenderedPageBreak/>
        <w:t>O uso do software por um cliente sob esta oferta está sujeito aos termos e condições de seu contrato de</w:t>
      </w:r>
      <w:r w:rsidR="00B90E41" w:rsidRPr="00653421">
        <w:rPr>
          <w:rFonts w:cs="Tahoma"/>
          <w:color w:val="000000"/>
          <w:szCs w:val="24"/>
        </w:rPr>
        <w:t> </w:t>
      </w:r>
      <w:r w:rsidRPr="00653421">
        <w:rPr>
          <w:rFonts w:cs="Tahoma"/>
          <w:color w:val="000000"/>
          <w:szCs w:val="24"/>
        </w:rPr>
        <w:t>licença e aos direitos de uso de produto relacionados ao software. O direito de usar o software expira quando o direito de usar o software sob a licença qualificada expirar. A evidência de suas licenças qualificadas e esta Nota do Produto evidenciarão o direito do cliente de usar o System Center 2012 sob os</w:t>
      </w:r>
      <w:r w:rsidR="00E30396" w:rsidRPr="00653421">
        <w:rPr>
          <w:rFonts w:cs="Tahoma"/>
          <w:color w:val="000000"/>
          <w:szCs w:val="24"/>
        </w:rPr>
        <w:t> </w:t>
      </w:r>
      <w:r w:rsidRPr="00653421">
        <w:rPr>
          <w:rFonts w:cs="Tahoma"/>
          <w:color w:val="000000"/>
          <w:szCs w:val="24"/>
        </w:rPr>
        <w:t>termos desta oferta. O cliente não terá mais o direito de usar o software sob licenças qualificadas atribuídas ao servidor mediante sua atualização para o System Center 2012. Os clientes não poderão transferir as licenças concedidas sob esta oferta separadamente das licenças qualificadas correspondentes.</w:t>
      </w:r>
    </w:p>
    <w:p w:rsidR="00FF4CAB" w:rsidRPr="00653421" w:rsidRDefault="00FF4CAB" w:rsidP="00376D4B">
      <w:pPr>
        <w:ind w:left="720"/>
      </w:pPr>
    </w:p>
    <w:p w:rsidR="00924690" w:rsidRPr="00653421" w:rsidRDefault="00924690" w:rsidP="00924690">
      <w:pPr>
        <w:spacing w:after="60"/>
        <w:ind w:left="720"/>
      </w:pPr>
      <w:r w:rsidRPr="00653421">
        <w:rPr>
          <w:rFonts w:eastAsia="Calibri" w:cs="Tahoma"/>
          <w:b/>
          <w:color w:val="000000"/>
          <w:szCs w:val="18"/>
        </w:rPr>
        <w:t>Para Clientes Enterprise</w:t>
      </w:r>
    </w:p>
    <w:p w:rsidR="00A3706D" w:rsidRPr="00653421" w:rsidRDefault="00A3706D" w:rsidP="00376D4B">
      <w:pPr>
        <w:ind w:left="720"/>
      </w:pPr>
      <w:r w:rsidRPr="00653421">
        <w:rPr>
          <w:rFonts w:eastAsia="Calibri" w:cs="Tahoma"/>
          <w:color w:val="000000"/>
          <w:szCs w:val="18"/>
        </w:rPr>
        <w:t>As licenças</w:t>
      </w:r>
      <w:r w:rsidRPr="00653421">
        <w:rPr>
          <w:rFonts w:eastAsia="Calibri" w:cs="Tahoma"/>
          <w:b/>
          <w:bCs/>
          <w:color w:val="000000"/>
          <w:szCs w:val="18"/>
          <w:vertAlign w:val="superscript"/>
        </w:rPr>
        <w:t xml:space="preserve">* </w:t>
      </w:r>
      <w:r w:rsidRPr="00653421">
        <w:rPr>
          <w:rFonts w:eastAsia="Calibri" w:cs="Tahoma"/>
          <w:color w:val="000000"/>
          <w:szCs w:val="18"/>
        </w:rPr>
        <w:t>adquiridas em ou antes do primeiro aniversário de uma data de início de vigência do registro do</w:t>
      </w:r>
      <w:r w:rsidR="00E30396" w:rsidRPr="00653421">
        <w:rPr>
          <w:rFonts w:eastAsia="Calibri" w:cs="Tahoma"/>
          <w:color w:val="000000"/>
          <w:szCs w:val="18"/>
        </w:rPr>
        <w:t> </w:t>
      </w:r>
      <w:r w:rsidRPr="00653421">
        <w:rPr>
          <w:rFonts w:eastAsia="Calibri" w:cs="Tahoma"/>
          <w:color w:val="000000"/>
          <w:szCs w:val="18"/>
        </w:rPr>
        <w:t>cliente depois de 17 de janeiro de 2012 como parta qualificação de um processo anual de adequação (“true-up”) de um cliente para a outorga de licença descrita acima.</w:t>
      </w:r>
      <w:r w:rsidR="005A52A2" w:rsidRPr="00653421">
        <w:rPr>
          <w:rFonts w:eastAsia="Calibri" w:cs="Tahoma"/>
          <w:color w:val="000000"/>
          <w:szCs w:val="18"/>
        </w:rPr>
        <w:t xml:space="preserve"> </w:t>
      </w:r>
      <w:r w:rsidRPr="00653421">
        <w:rPr>
          <w:rFonts w:eastAsia="Calibri" w:cs="Tahoma"/>
          <w:color w:val="000000"/>
          <w:szCs w:val="18"/>
        </w:rPr>
        <w:t xml:space="preserve">As Licenças adquiridas após esta data não estão qualificadas para uma outorga de licenças do System Center 2012 para essa oferta. </w:t>
      </w:r>
    </w:p>
    <w:p w:rsidR="00924690" w:rsidRPr="00653421" w:rsidRDefault="00924690" w:rsidP="00376D4B">
      <w:pPr>
        <w:ind w:left="720"/>
      </w:pPr>
    </w:p>
    <w:p w:rsidR="00A3706D" w:rsidRPr="00653421" w:rsidRDefault="00A3706D" w:rsidP="00376D4B">
      <w:pPr>
        <w:ind w:left="720"/>
        <w:rPr>
          <w:rFonts w:eastAsia="Calibri" w:cs="Tahoma"/>
          <w:color w:val="000000"/>
          <w:szCs w:val="18"/>
        </w:rPr>
      </w:pPr>
      <w:r w:rsidRPr="00653421">
        <w:rPr>
          <w:rFonts w:eastAsia="Calibri" w:cs="Tahoma"/>
          <w:b/>
          <w:bCs/>
          <w:color w:val="000000"/>
          <w:szCs w:val="18"/>
          <w:vertAlign w:val="superscript"/>
        </w:rPr>
        <w:t>*</w:t>
      </w:r>
      <w:r w:rsidRPr="00653421">
        <w:rPr>
          <w:rFonts w:eastAsia="Calibri" w:cs="Tahoma"/>
          <w:color w:val="000000"/>
          <w:szCs w:val="18"/>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p>
    <w:p w:rsidR="00B90E41" w:rsidRPr="00653421" w:rsidRDefault="00B90E41" w:rsidP="00376D4B">
      <w:pPr>
        <w:ind w:left="720"/>
      </w:pPr>
    </w:p>
    <w:p w:rsidR="00924690" w:rsidRPr="00653421" w:rsidRDefault="00FF4CAB" w:rsidP="000E3E79">
      <w:pPr>
        <w:spacing w:after="40"/>
        <w:ind w:left="720"/>
      </w:pPr>
      <w:r w:rsidRPr="00653421">
        <w:rPr>
          <w:rFonts w:eastAsia="Calibri" w:cs="Tahoma"/>
          <w:b/>
          <w:color w:val="000000"/>
          <w:szCs w:val="18"/>
        </w:rPr>
        <w:t>Para Enterprise Subscription, Campus e School (incluindo Enrollment for Education Solutions) e</w:t>
      </w:r>
      <w:r w:rsidR="00E30396" w:rsidRPr="00653421">
        <w:rPr>
          <w:rFonts w:eastAsia="Calibri" w:cs="Tahoma"/>
          <w:b/>
          <w:color w:val="000000"/>
          <w:szCs w:val="18"/>
        </w:rPr>
        <w:t> </w:t>
      </w:r>
      <w:r w:rsidRPr="00653421">
        <w:rPr>
          <w:rFonts w:eastAsia="Calibri" w:cs="Tahoma"/>
          <w:b/>
          <w:color w:val="000000"/>
          <w:szCs w:val="18"/>
        </w:rPr>
        <w:t>Clientes Open Value Subscription</w:t>
      </w:r>
    </w:p>
    <w:p w:rsidR="00FF4CAB" w:rsidRPr="00653421" w:rsidRDefault="00FF4CAB" w:rsidP="00376D4B">
      <w:pPr>
        <w:ind w:left="720"/>
      </w:pPr>
      <w:r w:rsidRPr="00653421">
        <w:rPr>
          <w:rFonts w:cs="Tahoma"/>
          <w:bCs/>
          <w:color w:val="000000"/>
          <w:szCs w:val="18"/>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w:t>
      </w:r>
      <w:r w:rsidR="005A52A2" w:rsidRPr="00653421">
        <w:rPr>
          <w:rFonts w:cs="Tahoma"/>
          <w:bCs/>
          <w:color w:val="000000"/>
          <w:szCs w:val="18"/>
        </w:rPr>
        <w:t xml:space="preserve"> </w:t>
      </w:r>
      <w:r w:rsidRPr="00653421">
        <w:rPr>
          <w:rFonts w:cs="Tahoma"/>
          <w:bCs/>
          <w:color w:val="000000"/>
          <w:szCs w:val="18"/>
        </w:rPr>
        <w:t>Os clientes que optam por licenças de compra possuem duas opções.</w:t>
      </w:r>
      <w:r w:rsidR="005A52A2" w:rsidRPr="00653421">
        <w:rPr>
          <w:rFonts w:cs="Tahoma"/>
          <w:bCs/>
          <w:color w:val="000000"/>
          <w:szCs w:val="18"/>
        </w:rPr>
        <w:t xml:space="preserve"> </w:t>
      </w:r>
    </w:p>
    <w:p w:rsidR="00FF4CAB" w:rsidRPr="00653421" w:rsidRDefault="00FF4CAB" w:rsidP="000E3E79">
      <w:pPr>
        <w:spacing w:line="160" w:lineRule="exact"/>
        <w:ind w:left="720"/>
        <w:rPr>
          <w:sz w:val="16"/>
          <w:szCs w:val="16"/>
        </w:rPr>
      </w:pPr>
    </w:p>
    <w:p w:rsidR="00FF4CAB" w:rsidRPr="00653421" w:rsidRDefault="00FF4CAB" w:rsidP="00376D4B">
      <w:pPr>
        <w:ind w:left="720"/>
      </w:pPr>
      <w:r w:rsidRPr="00653421">
        <w:rPr>
          <w:rFonts w:cs="Tahoma"/>
          <w:bCs/>
          <w:color w:val="000000"/>
          <w:szCs w:val="18"/>
        </w:rPr>
        <w:t>Opção 1:</w:t>
      </w:r>
      <w:r w:rsidR="005A52A2" w:rsidRPr="00653421">
        <w:rPr>
          <w:rFonts w:cs="Tahoma"/>
          <w:bCs/>
          <w:color w:val="000000"/>
          <w:szCs w:val="18"/>
        </w:rPr>
        <w:t xml:space="preserve"> </w:t>
      </w:r>
      <w:r w:rsidRPr="00653421">
        <w:rPr>
          <w:rFonts w:cs="Tahoma"/>
          <w:bCs/>
          <w:color w:val="000000"/>
          <w:szCs w:val="18"/>
        </w:rPr>
        <w:t>adquirir licenças para produtos do System Center correspondendo às licenças qualificadas do cliente.</w:t>
      </w:r>
      <w:r w:rsidR="005A52A2" w:rsidRPr="00653421">
        <w:rPr>
          <w:rFonts w:cs="Tahoma"/>
          <w:bCs/>
          <w:color w:val="000000"/>
          <w:szCs w:val="18"/>
        </w:rPr>
        <w:t xml:space="preserve"> </w:t>
      </w:r>
      <w:r w:rsidRPr="00653421">
        <w:rPr>
          <w:rFonts w:cs="Tahoma"/>
          <w:bCs/>
          <w:color w:val="000000"/>
          <w:szCs w:val="18"/>
        </w:rPr>
        <w:t>Nesta opção, o cliente não estará mais qualificado para adicionar o Software Assurance à licença ou</w:t>
      </w:r>
      <w:r w:rsidR="00E30396" w:rsidRPr="00653421">
        <w:rPr>
          <w:rFonts w:cs="Tahoma"/>
          <w:bCs/>
          <w:color w:val="000000"/>
          <w:szCs w:val="18"/>
        </w:rPr>
        <w:t> </w:t>
      </w:r>
      <w:r w:rsidRPr="00653421">
        <w:rPr>
          <w:rFonts w:cs="Tahoma"/>
          <w:bCs/>
          <w:color w:val="000000"/>
          <w:szCs w:val="18"/>
        </w:rPr>
        <w:t>usar o System Center 2012 ou qualquer versão posterior do software System Center.</w:t>
      </w:r>
    </w:p>
    <w:p w:rsidR="00FF4CAB" w:rsidRPr="00653421" w:rsidRDefault="00FF4CAB" w:rsidP="000E3E79">
      <w:pPr>
        <w:spacing w:line="160" w:lineRule="exact"/>
        <w:ind w:left="720"/>
        <w:rPr>
          <w:sz w:val="16"/>
          <w:szCs w:val="16"/>
        </w:rPr>
      </w:pPr>
    </w:p>
    <w:p w:rsidR="00FF4CAB" w:rsidRPr="00653421" w:rsidRDefault="00FF4CAB" w:rsidP="00376D4B">
      <w:pPr>
        <w:ind w:left="720"/>
      </w:pPr>
      <w:r w:rsidRPr="00653421">
        <w:rPr>
          <w:rFonts w:cs="Tahoma"/>
          <w:bCs/>
          <w:color w:val="000000"/>
          <w:szCs w:val="18"/>
        </w:rPr>
        <w:t>Opção 2:</w:t>
      </w:r>
      <w:r w:rsidR="005A52A2" w:rsidRPr="00653421">
        <w:rPr>
          <w:rFonts w:cs="Tahoma"/>
          <w:bCs/>
          <w:color w:val="000000"/>
          <w:szCs w:val="18"/>
        </w:rPr>
        <w:t xml:space="preserve"> </w:t>
      </w:r>
      <w:r w:rsidRPr="00653421">
        <w:rPr>
          <w:rFonts w:cs="Tahoma"/>
          <w:bCs/>
          <w:color w:val="000000"/>
          <w:szCs w:val="18"/>
        </w:rPr>
        <w:t>adquirir licenças do System Center 2012 correspondendo às licenças qualificadas do cliente.</w:t>
      </w:r>
      <w:r w:rsidR="005A52A2" w:rsidRPr="00653421">
        <w:rPr>
          <w:rFonts w:cs="Tahoma"/>
          <w:bCs/>
          <w:color w:val="000000"/>
          <w:szCs w:val="18"/>
        </w:rPr>
        <w:t xml:space="preserve"> </w:t>
      </w:r>
      <w:r w:rsidRPr="00653421">
        <w:rPr>
          <w:rFonts w:cs="Tahoma"/>
          <w:bCs/>
          <w:color w:val="000000"/>
          <w:szCs w:val="18"/>
        </w:rPr>
        <w:t>Nesta</w:t>
      </w:r>
      <w:r w:rsidR="00E30396" w:rsidRPr="00653421">
        <w:rPr>
          <w:rFonts w:cs="Tahoma"/>
          <w:bCs/>
          <w:color w:val="000000"/>
          <w:szCs w:val="18"/>
        </w:rPr>
        <w:t> </w:t>
      </w:r>
      <w:r w:rsidRPr="00653421">
        <w:rPr>
          <w:rFonts w:cs="Tahoma"/>
          <w:bCs/>
          <w:color w:val="000000"/>
          <w:szCs w:val="18"/>
        </w:rPr>
        <w:t>opção, o cliente estará qualificado para adicionar Software Assurance.</w:t>
      </w:r>
    </w:p>
    <w:p w:rsidR="00FF4CAB" w:rsidRPr="00653421" w:rsidRDefault="00FF4CAB" w:rsidP="000E3E79">
      <w:pPr>
        <w:spacing w:line="160" w:lineRule="exact"/>
        <w:ind w:left="720"/>
        <w:rPr>
          <w:sz w:val="16"/>
          <w:szCs w:val="16"/>
        </w:rPr>
      </w:pPr>
    </w:p>
    <w:p w:rsidR="00924690" w:rsidRPr="00653421" w:rsidRDefault="00FF4CAB" w:rsidP="000E3E79">
      <w:pPr>
        <w:spacing w:after="40"/>
        <w:ind w:left="720"/>
      </w:pPr>
      <w:r w:rsidRPr="00653421">
        <w:rPr>
          <w:rFonts w:eastAsia="Calibri" w:cs="Tahoma"/>
          <w:b/>
          <w:color w:val="000000"/>
          <w:szCs w:val="18"/>
        </w:rPr>
        <w:t>Outorga de Licença Alternativa Padrão do System Center 2012 para Clientes com Servidores com Mais de Dois Processadores</w:t>
      </w:r>
    </w:p>
    <w:p w:rsidR="00FF4CAB" w:rsidRPr="00653421" w:rsidRDefault="00FF4CAB" w:rsidP="00376D4B">
      <w:pPr>
        <w:ind w:left="720"/>
      </w:pPr>
      <w:r w:rsidRPr="00653421">
        <w:rPr>
          <w:rFonts w:cs="Tahoma"/>
          <w:szCs w:val="18"/>
        </w:rPr>
        <w:t>Cada ML de Servidor do System Center 2012 Standard abrange até dois processadores em um servidor físico.</w:t>
      </w:r>
      <w:r w:rsidR="005A52A2" w:rsidRPr="00653421">
        <w:rPr>
          <w:rFonts w:cs="Tahoma"/>
          <w:szCs w:val="18"/>
        </w:rPr>
        <w:t xml:space="preserve"> </w:t>
      </w:r>
      <w:r w:rsidRPr="00653421">
        <w:rPr>
          <w:rFonts w:cs="Tahoma"/>
          <w:szCs w:val="18"/>
        </w:rPr>
        <w:t>Os clientes com licenças qualificadas atribuídas aos servidores com mais de dois processadores a partir de 1º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w:t>
      </w:r>
      <w:r w:rsidR="005A52A2" w:rsidRPr="00653421">
        <w:rPr>
          <w:rFonts w:cs="Tahoma"/>
          <w:szCs w:val="18"/>
        </w:rPr>
        <w:t xml:space="preserve"> </w:t>
      </w:r>
      <w:r w:rsidRPr="00653421">
        <w:rPr>
          <w:rFonts w:cs="Tahoma"/>
          <w:szCs w:val="18"/>
        </w:rPr>
        <w:t>O servidor deverá estar totalmente licenciado para permitir o gerenciamento de ambientes do sistema operacional naquele servidor sob os termos das licenças qualificadas no momento da concessão.</w:t>
      </w:r>
      <w:r w:rsidR="005A52A2" w:rsidRPr="00653421">
        <w:rPr>
          <w:rFonts w:cs="Tahoma"/>
          <w:szCs w:val="18"/>
        </w:rPr>
        <w:t xml:space="preserve"> </w:t>
      </w:r>
      <w:r w:rsidRPr="00653421">
        <w:rPr>
          <w:rFonts w:cs="Tahoma"/>
          <w:szCs w:val="18"/>
        </w:rPr>
        <w:t>Essa concessão alternativa garante que os servidores do cliente permaneçam totalmente qualificados por meio da transição. O cliente deverá documentar o número de processadores físicos no servidor gerenciado usando a ferramenta Microsoft MAP ou qualquer software equivalente.</w:t>
      </w:r>
      <w:r w:rsidR="005A52A2" w:rsidRPr="00653421">
        <w:rPr>
          <w:rFonts w:cs="Tahoma"/>
          <w:szCs w:val="18"/>
        </w:rPr>
        <w:t xml:space="preserve"> </w:t>
      </w:r>
      <w:r w:rsidRPr="00653421">
        <w:rPr>
          <w:rFonts w:cs="Tahoma"/>
          <w:szCs w:val="18"/>
        </w:rPr>
        <w:t>Esta documentação junto com a evidência de suas licenças qualificadas e</w:t>
      </w:r>
      <w:r w:rsidR="00E30396" w:rsidRPr="00653421">
        <w:rPr>
          <w:rFonts w:cs="Tahoma"/>
          <w:szCs w:val="18"/>
        </w:rPr>
        <w:t> </w:t>
      </w:r>
      <w:r w:rsidRPr="00653421">
        <w:rPr>
          <w:rFonts w:cs="Tahoma"/>
          <w:szCs w:val="18"/>
        </w:rPr>
        <w:t>esta Nota do Produto evidenciarão o direito do cliente de usar o System Center 2012 sob os termos desta oferta. O cliente não terá mais o direito de usar o software sob licenças qualificadas atribuídas ao servidor mediante sua atualização para o System Center 2012.</w:t>
      </w:r>
      <w:r w:rsidRPr="00653421">
        <w:rPr>
          <w:rFonts w:cs="Tahoma"/>
          <w:color w:val="000000"/>
        </w:rPr>
        <w:t xml:space="preserve"> Os clientes não poderão transferir as licenças concedidas sob esta oferta separadamente das licenças qualificadas correspondentes.</w:t>
      </w:r>
    </w:p>
    <w:p w:rsidR="00FF4CAB" w:rsidRPr="00653421" w:rsidRDefault="00FF4CAB" w:rsidP="000E3E79">
      <w:pPr>
        <w:tabs>
          <w:tab w:val="left" w:pos="2970"/>
        </w:tabs>
        <w:spacing w:line="160" w:lineRule="exact"/>
        <w:ind w:left="720"/>
        <w:rPr>
          <w:sz w:val="16"/>
          <w:szCs w:val="16"/>
        </w:rPr>
      </w:pPr>
    </w:p>
    <w:p w:rsidR="00924690" w:rsidRPr="00653421" w:rsidRDefault="00FF4CAB" w:rsidP="000E3E79">
      <w:pPr>
        <w:spacing w:after="40"/>
        <w:ind w:left="720"/>
      </w:pPr>
      <w:r w:rsidRPr="00653421">
        <w:rPr>
          <w:rFonts w:eastAsia="Calibri" w:cs="Tahoma"/>
          <w:b/>
          <w:color w:val="000000"/>
          <w:szCs w:val="18"/>
        </w:rPr>
        <w:t>Outorga de Licença Alternativa do System Center 2012 Datacenter para Clientes com licenças de qualificação para Virtual Machine Manager (ML do Servidor do VMM Enterprise)</w:t>
      </w:r>
    </w:p>
    <w:p w:rsidR="00FF4CAB" w:rsidRPr="00653421" w:rsidRDefault="00FF4CAB" w:rsidP="00376D4B">
      <w:pPr>
        <w:tabs>
          <w:tab w:val="left" w:pos="2970"/>
        </w:tabs>
        <w:ind w:left="720"/>
        <w:contextualSpacing/>
      </w:pPr>
      <w:r w:rsidRPr="00653421">
        <w:rPr>
          <w:rFonts w:cs="Tahoma"/>
          <w:szCs w:val="18"/>
        </w:rPr>
        <w:t>Os clientes com MLs de qualificação do VMM Enterprise Server atribuídas aos servidores com mais de dois processadores a partir de 1º de abril de 2012 ou o primeiro aniversário do cliente depois de 17 de janeiro de 2012 poderá optar por uma concessão alternativa de uma série de MLs de Servidor do System Center 2012 Datacenter igual ao número de processadores físicos do servidor gerenciado dividido por dois.</w:t>
      </w:r>
      <w:r w:rsidR="005A52A2" w:rsidRPr="00653421">
        <w:rPr>
          <w:rFonts w:cs="Tahoma"/>
          <w:szCs w:val="18"/>
        </w:rPr>
        <w:t xml:space="preserve"> </w:t>
      </w:r>
      <w:r w:rsidRPr="00653421">
        <w:rPr>
          <w:rFonts w:cs="Tahoma"/>
          <w:szCs w:val="18"/>
        </w:rPr>
        <w:t>Essa concessão alternativa garante que os servidores do cliente permaneçam totalmente qualificados por meio da</w:t>
      </w:r>
      <w:r w:rsidR="00E30396" w:rsidRPr="00653421">
        <w:rPr>
          <w:rFonts w:cs="Tahoma"/>
          <w:szCs w:val="18"/>
        </w:rPr>
        <w:t> </w:t>
      </w:r>
      <w:r w:rsidRPr="00653421">
        <w:rPr>
          <w:rFonts w:cs="Tahoma"/>
          <w:szCs w:val="18"/>
        </w:rPr>
        <w:t>transição. O cliente deverá documentar o número de processadores físicos no servidor gerenciado usando a ferramenta Microsoft MAP ou qualquer software equivalente.</w:t>
      </w:r>
      <w:r w:rsidR="005A52A2" w:rsidRPr="00653421">
        <w:rPr>
          <w:rFonts w:cs="Tahoma"/>
          <w:szCs w:val="18"/>
        </w:rPr>
        <w:t xml:space="preserve"> </w:t>
      </w:r>
      <w:r w:rsidRPr="00653421">
        <w:rPr>
          <w:rFonts w:cs="Tahoma"/>
          <w:szCs w:val="18"/>
        </w:rPr>
        <w:t xml:space="preserve">Esta documentação junto com a evidência de suas licenças qualificadas e esta Nota do Produto evidenciarão o direito do cliente de usar </w:t>
      </w:r>
      <w:r w:rsidRPr="00653421">
        <w:rPr>
          <w:rFonts w:cs="Tahoma"/>
          <w:szCs w:val="18"/>
        </w:rPr>
        <w:lastRenderedPageBreak/>
        <w:t>o</w:t>
      </w:r>
      <w:r w:rsidR="00E30396" w:rsidRPr="00653421">
        <w:rPr>
          <w:rFonts w:cs="Tahoma"/>
          <w:szCs w:val="18"/>
        </w:rPr>
        <w:t> </w:t>
      </w:r>
      <w:r w:rsidRPr="00653421">
        <w:rPr>
          <w:rFonts w:cs="Tahoma"/>
          <w:szCs w:val="18"/>
        </w:rPr>
        <w:t>System Center 2012 sob os termos desta oferta. O cliente não terá mais o direito de usar o software sob</w:t>
      </w:r>
      <w:r w:rsidR="00E30396" w:rsidRPr="00653421">
        <w:rPr>
          <w:rFonts w:cs="Tahoma"/>
          <w:szCs w:val="18"/>
        </w:rPr>
        <w:t> </w:t>
      </w:r>
      <w:r w:rsidRPr="00653421">
        <w:rPr>
          <w:rFonts w:cs="Tahoma"/>
          <w:szCs w:val="18"/>
        </w:rPr>
        <w:t>licença qualificada atribuídas ao servidor mediante sua atualização para o System Center 2012.</w:t>
      </w:r>
      <w:r w:rsidRPr="00653421">
        <w:rPr>
          <w:rFonts w:cs="Tahoma"/>
          <w:color w:val="000000"/>
          <w:szCs w:val="24"/>
        </w:rPr>
        <w:t xml:space="preserve"> Os</w:t>
      </w:r>
      <w:r w:rsidR="00E30396" w:rsidRPr="00653421">
        <w:rPr>
          <w:rFonts w:cs="Tahoma"/>
          <w:color w:val="000000"/>
          <w:szCs w:val="24"/>
        </w:rPr>
        <w:t> </w:t>
      </w:r>
      <w:r w:rsidRPr="00653421">
        <w:rPr>
          <w:rFonts w:cs="Tahoma"/>
          <w:color w:val="000000"/>
          <w:szCs w:val="24"/>
        </w:rPr>
        <w:t>clientes não poderão transferir as licenças concedidas sob esta oferta separadamente das licenças qualificadas correspondentes.</w:t>
      </w:r>
    </w:p>
    <w:p w:rsidR="00FF4CAB" w:rsidRPr="00653421" w:rsidRDefault="00FF4CAB" w:rsidP="000E3E79">
      <w:pPr>
        <w:spacing w:line="160" w:lineRule="exact"/>
        <w:ind w:left="720"/>
        <w:rPr>
          <w:sz w:val="16"/>
          <w:szCs w:val="16"/>
        </w:rPr>
      </w:pPr>
    </w:p>
    <w:p w:rsidR="009B12B7" w:rsidRPr="00653421" w:rsidRDefault="00FF4CAB" w:rsidP="000E3E79">
      <w:pPr>
        <w:spacing w:after="40"/>
        <w:ind w:left="720"/>
      </w:pPr>
      <w:r w:rsidRPr="00653421">
        <w:rPr>
          <w:rFonts w:eastAsia="Calibri" w:cs="Tahoma"/>
          <w:b/>
          <w:color w:val="000000"/>
          <w:szCs w:val="18"/>
        </w:rPr>
        <w:t>Clientes Renovando Software Assurance Antes de 1º de outubro de 2012</w:t>
      </w:r>
    </w:p>
    <w:p w:rsidR="009B12B7" w:rsidRPr="00653421" w:rsidRDefault="00DC4FEC" w:rsidP="00376D4B">
      <w:pPr>
        <w:ind w:left="720"/>
        <w:rPr>
          <w:spacing w:val="-2"/>
        </w:rPr>
      </w:pPr>
      <w:r w:rsidRPr="00653421">
        <w:rPr>
          <w:rFonts w:cs="Tahoma"/>
          <w:color w:val="000000"/>
          <w:spacing w:val="-2"/>
          <w:szCs w:val="18"/>
        </w:rPr>
        <w:t xml:space="preserve">Clientes Academic, Open e Open Value </w:t>
      </w:r>
      <w:r w:rsidRPr="00653421">
        <w:rPr>
          <w:rFonts w:cs="Tahoma"/>
          <w:spacing w:val="-2"/>
          <w:szCs w:val="18"/>
        </w:rPr>
        <w:t>que estão renovando o Software Assurance para System Center 2012 antes de 1º de outubro de 2012 estarão qualificados para renovar a cobertura</w:t>
      </w:r>
      <w:r w:rsidRPr="00653421">
        <w:rPr>
          <w:rFonts w:cs="Tahoma"/>
          <w:color w:val="000000"/>
          <w:spacing w:val="-2"/>
          <w:szCs w:val="18"/>
        </w:rPr>
        <w:t xml:space="preserve"> para as licenças, ficando qualificados para a outorga de licença do System Center 2012 (para cada, uma “licença qualificada”).</w:t>
      </w:r>
      <w:r w:rsidR="005A52A2" w:rsidRPr="00653421">
        <w:rPr>
          <w:rFonts w:cs="Tahoma"/>
          <w:color w:val="000000"/>
          <w:spacing w:val="-2"/>
          <w:szCs w:val="18"/>
        </w:rPr>
        <w:t xml:space="preserve"> </w:t>
      </w:r>
      <w:r w:rsidRPr="00653421">
        <w:rPr>
          <w:rFonts w:cs="Tahoma"/>
          <w:color w:val="000000"/>
          <w:spacing w:val="-2"/>
          <w:szCs w:val="18"/>
        </w:rPr>
        <w:t>Renovando a cobertura para uma licença qualificada, um cliente será considerado como tendo</w:t>
      </w:r>
      <w:r w:rsidR="00E30396" w:rsidRPr="00653421">
        <w:rPr>
          <w:rFonts w:cs="Tahoma"/>
          <w:color w:val="000000"/>
          <w:spacing w:val="-2"/>
          <w:szCs w:val="18"/>
        </w:rPr>
        <w:t> </w:t>
      </w:r>
      <w:r w:rsidRPr="00653421">
        <w:rPr>
          <w:rFonts w:cs="Tahoma"/>
          <w:color w:val="000000"/>
          <w:spacing w:val="-2"/>
          <w:szCs w:val="18"/>
        </w:rPr>
        <w:t>a cobertura renovada para as licenças correspondentes do System Center 2012 fornecidas por esta concessão.</w:t>
      </w:r>
      <w:r w:rsidR="005A52A2" w:rsidRPr="00653421">
        <w:rPr>
          <w:rFonts w:cs="Tahoma"/>
          <w:color w:val="000000"/>
          <w:spacing w:val="-2"/>
          <w:szCs w:val="18"/>
        </w:rPr>
        <w:t xml:space="preserve"> </w:t>
      </w:r>
      <w:r w:rsidRPr="00653421">
        <w:rPr>
          <w:rFonts w:cs="Tahoma"/>
          <w:color w:val="000000"/>
          <w:spacing w:val="-2"/>
          <w:szCs w:val="18"/>
        </w:rPr>
        <w:t>Da mesma forma, o cliente estará qualificado para versões posteriores do System Center 2012 disponibilizadas durante o</w:t>
      </w:r>
      <w:r w:rsidR="00B90E41" w:rsidRPr="00653421">
        <w:rPr>
          <w:rFonts w:cs="Tahoma"/>
          <w:color w:val="000000"/>
          <w:spacing w:val="-2"/>
          <w:szCs w:val="18"/>
        </w:rPr>
        <w:t> </w:t>
      </w:r>
      <w:r w:rsidRPr="00653421">
        <w:rPr>
          <w:rFonts w:cs="Tahoma"/>
          <w:color w:val="000000"/>
          <w:spacing w:val="-2"/>
          <w:szCs w:val="18"/>
        </w:rPr>
        <w:t>prazo renovado da cobertura do Software Assurance e estará qualificado para renovar a cobertura do System Center 2012 com base no preço de renovação atual do System Center 2012, até o término da cobertura solicitada nesta oferta. Apesar da renovação do Software Assurance para as licenças qualificadas, os</w:t>
      </w:r>
      <w:r w:rsidR="00B90E41" w:rsidRPr="00653421">
        <w:rPr>
          <w:rFonts w:cs="Tahoma"/>
          <w:color w:val="000000"/>
          <w:spacing w:val="-2"/>
          <w:szCs w:val="18"/>
        </w:rPr>
        <w:t> </w:t>
      </w:r>
      <w:r w:rsidRPr="00653421">
        <w:rPr>
          <w:rFonts w:cs="Tahoma"/>
          <w:color w:val="000000"/>
          <w:spacing w:val="-2"/>
          <w:szCs w:val="18"/>
        </w:rPr>
        <w:t>termos e as condições da outorga de licença do System Center 2012 permanecerão em vigor.</w:t>
      </w:r>
      <w:r w:rsidR="005A52A2" w:rsidRPr="00653421">
        <w:rPr>
          <w:rFonts w:cs="Tahoma"/>
          <w:color w:val="000000"/>
          <w:spacing w:val="-2"/>
          <w:szCs w:val="18"/>
        </w:rPr>
        <w:t xml:space="preserve"> </w:t>
      </w:r>
      <w:r w:rsidRPr="00653421">
        <w:rPr>
          <w:rFonts w:cs="Tahoma"/>
          <w:color w:val="000000"/>
          <w:spacing w:val="-2"/>
          <w:szCs w:val="18"/>
        </w:rPr>
        <w:t>Da mesma forma, os clientes não podem usar o software sob uma licença qualificada e as licenças correspondentes do System Center 2012 ao mesmo tempo.</w:t>
      </w:r>
      <w:r w:rsidR="005A52A2" w:rsidRPr="00653421">
        <w:rPr>
          <w:rFonts w:cs="Tahoma"/>
          <w:color w:val="000000"/>
          <w:spacing w:val="-2"/>
          <w:szCs w:val="18"/>
        </w:rPr>
        <w:t xml:space="preserve"> </w:t>
      </w:r>
      <w:r w:rsidRPr="00653421">
        <w:rPr>
          <w:rFonts w:cs="Tahoma"/>
          <w:color w:val="000000"/>
          <w:spacing w:val="-2"/>
          <w:szCs w:val="18"/>
        </w:rPr>
        <w:t xml:space="preserve">A Licença e o Software Assurance (L&amp;SA) para novas licenças adquiridas na renovação devem ser solicitadas usando o preço do System Center 2012. </w:t>
      </w:r>
    </w:p>
    <w:p w:rsidR="00FF4CAB" w:rsidRPr="00653421" w:rsidRDefault="009B12B7" w:rsidP="00376D4B">
      <w:pPr>
        <w:ind w:left="720"/>
      </w:pPr>
      <w:r w:rsidRPr="00653421">
        <w:rPr>
          <w:rFonts w:cs="Tahoma"/>
          <w:szCs w:val="18"/>
        </w:rPr>
        <w:t>Qualquer outro cliente que esteja renovando o Software Assurance antes de 1º de outubro de 2012 para as</w:t>
      </w:r>
      <w:r w:rsidR="000E3E79" w:rsidRPr="00653421">
        <w:rPr>
          <w:rFonts w:cs="Tahoma"/>
          <w:szCs w:val="18"/>
        </w:rPr>
        <w:t> </w:t>
      </w:r>
      <w:r w:rsidRPr="00653421">
        <w:rPr>
          <w:rFonts w:cs="Tahoma"/>
          <w:szCs w:val="18"/>
        </w:rPr>
        <w:t>licenças do System Center 2012 concedidas nesta oferta poderão estar qualificados da mesma forma para renovar a cobertura com base no preço de Software Assurance para as licenças que os qualificam para</w:t>
      </w:r>
      <w:r w:rsidR="000E3E79" w:rsidRPr="00653421">
        <w:rPr>
          <w:rFonts w:cs="Tahoma"/>
          <w:szCs w:val="18"/>
        </w:rPr>
        <w:t> </w:t>
      </w:r>
      <w:r w:rsidRPr="00653421">
        <w:rPr>
          <w:rFonts w:cs="Tahoma"/>
          <w:szCs w:val="18"/>
        </w:rPr>
        <w:t>a outorga.</w:t>
      </w:r>
      <w:r w:rsidR="005A52A2" w:rsidRPr="00653421">
        <w:rPr>
          <w:rFonts w:cs="Tahoma"/>
          <w:szCs w:val="18"/>
        </w:rPr>
        <w:t xml:space="preserve"> </w:t>
      </w:r>
      <w:r w:rsidRPr="00653421">
        <w:rPr>
          <w:rFonts w:cs="Tahoma"/>
          <w:szCs w:val="18"/>
        </w:rPr>
        <w:t>Os clientes devem entrar em contato com o gerente de conta Microsoft ou com o revendedor para obter detalhes.</w:t>
      </w:r>
      <w:r w:rsidR="005A52A2" w:rsidRPr="00653421">
        <w:rPr>
          <w:rFonts w:cs="Tahoma"/>
          <w:szCs w:val="18"/>
        </w:rPr>
        <w:t xml:space="preserve"> </w:t>
      </w:r>
      <w:r w:rsidRPr="00653421">
        <w:rPr>
          <w:rFonts w:cs="Tahoma"/>
          <w:szCs w:val="18"/>
        </w:rPr>
        <w:t>Essa oferta não se aplica à renovação do Software Assurance para licenças</w:t>
      </w:r>
      <w:r w:rsidR="000E3E79" w:rsidRPr="00653421">
        <w:rPr>
          <w:rFonts w:cs="Tahoma"/>
          <w:szCs w:val="18"/>
        </w:rPr>
        <w:t> </w:t>
      </w:r>
      <w:r w:rsidRPr="00653421">
        <w:rPr>
          <w:rFonts w:cs="Tahoma"/>
          <w:szCs w:val="18"/>
        </w:rPr>
        <w:t xml:space="preserve">de gerenciamento de clientes do System Center Client Management Suite e System Center Configuration Manager </w:t>
      </w:r>
    </w:p>
    <w:p w:rsidR="00FF4CAB" w:rsidRPr="00653421" w:rsidRDefault="00FF4CAB" w:rsidP="00FF4CAB"/>
    <w:p w:rsidR="00B90E41" w:rsidRPr="00653421" w:rsidRDefault="00B90E41" w:rsidP="00FF4CAB"/>
    <w:p w:rsidR="00916E81" w:rsidRPr="00653421" w:rsidRDefault="00F66FB0" w:rsidP="002D35ED">
      <w:pPr>
        <w:pStyle w:val="Heading3"/>
      </w:pPr>
      <w:bookmarkStart w:id="1518" w:name="_103_System_Center"/>
      <w:bookmarkStart w:id="1519" w:name="_91_System_Center"/>
      <w:bookmarkStart w:id="1520" w:name="Srv_102SysCtr2012EndpointProt"/>
      <w:bookmarkStart w:id="1521" w:name="_Toc336338359"/>
      <w:bookmarkStart w:id="1522" w:name="_Toc353470997"/>
      <w:bookmarkEnd w:id="1518"/>
      <w:bookmarkEnd w:id="1519"/>
      <w:r w:rsidRPr="00653421">
        <w:rPr>
          <w:rFonts w:ascii="Tahoma" w:hAnsi="Tahoma" w:cs="Tahoma"/>
          <w:caps/>
          <w:color w:val="F66400"/>
          <w:sz w:val="22"/>
          <w:szCs w:val="22"/>
          <w:vertAlign w:val="superscript"/>
        </w:rPr>
        <w:t>91</w:t>
      </w:r>
      <w:r w:rsidRPr="00653421">
        <w:rPr>
          <w:rFonts w:ascii="Tahoma" w:hAnsi="Tahoma" w:cs="Tahoma"/>
          <w:color w:val="F66400"/>
          <w:sz w:val="22"/>
          <w:szCs w:val="22"/>
        </w:rPr>
        <w:t xml:space="preserve"> System Center 2012 Endpoint Protection</w:t>
      </w:r>
      <w:bookmarkEnd w:id="1520"/>
      <w:bookmarkEnd w:id="1521"/>
      <w:bookmarkEnd w:id="1522"/>
    </w:p>
    <w:p w:rsidR="00916E81" w:rsidRPr="00653421" w:rsidRDefault="00916E81" w:rsidP="00C21BCF">
      <w:pPr>
        <w:ind w:left="720"/>
      </w:pPr>
    </w:p>
    <w:p w:rsidR="00C21BCF" w:rsidRPr="00653421" w:rsidRDefault="00A0581B" w:rsidP="00A0581B">
      <w:pPr>
        <w:spacing w:after="60"/>
        <w:ind w:left="720"/>
      </w:pPr>
      <w:r w:rsidRPr="00653421">
        <w:rPr>
          <w:rFonts w:eastAsia="Calibri" w:cs="Tahoma"/>
          <w:b/>
          <w:szCs w:val="18"/>
        </w:rPr>
        <w:t>Atualizações/Downgrade</w:t>
      </w:r>
    </w:p>
    <w:p w:rsidR="00C21BCF" w:rsidRPr="00653421" w:rsidRDefault="00C21BCF" w:rsidP="00C21BCF">
      <w:pPr>
        <w:ind w:left="720"/>
      </w:pPr>
      <w:r w:rsidRPr="00653421">
        <w:rPr>
          <w:rFonts w:eastAsia="Calibri" w:cs="Tahoma"/>
          <w:szCs w:val="18"/>
        </w:rPr>
        <w:t>A partir de 1º de abril de 2012, o Forefront Endpoint Protection se tornará o System Center 2012 Endpoint Protection. O System Center 2012 Endpoint Protection, como uma oferta independente, confere direitos de</w:t>
      </w:r>
      <w:r w:rsidR="000E3E79" w:rsidRPr="00653421">
        <w:rPr>
          <w:rFonts w:eastAsia="Calibri" w:cs="Tahoma"/>
          <w:szCs w:val="18"/>
        </w:rPr>
        <w:t> </w:t>
      </w:r>
      <w:r w:rsidRPr="00653421">
        <w:rPr>
          <w:rFonts w:eastAsia="Calibri" w:cs="Tahoma"/>
          <w:szCs w:val="18"/>
        </w:rPr>
        <w:t>uso apenas para proteger os dispositivos do cliente. Os direitos de uso para proteger dispositivos de servidor podem ser adquiridos somente por meio da aquisição das licenças de gerenciamento do servidor do</w:t>
      </w:r>
      <w:r w:rsidR="000E3E79" w:rsidRPr="00653421">
        <w:rPr>
          <w:rFonts w:eastAsia="Calibri" w:cs="Tahoma"/>
          <w:szCs w:val="18"/>
        </w:rPr>
        <w:t> </w:t>
      </w:r>
      <w:r w:rsidRPr="00653421">
        <w:rPr>
          <w:rFonts w:eastAsia="Calibri" w:cs="Tahoma"/>
          <w:szCs w:val="18"/>
        </w:rPr>
        <w:t>System Center 2012 Standard ou Datacenter.</w:t>
      </w:r>
    </w:p>
    <w:p w:rsidR="00C21BCF" w:rsidRPr="00653421" w:rsidRDefault="00C21BCF" w:rsidP="00C21BCF">
      <w:pPr>
        <w:ind w:left="720"/>
      </w:pPr>
    </w:p>
    <w:p w:rsidR="00C21BCF" w:rsidRPr="00653421" w:rsidRDefault="00C21BCF" w:rsidP="00C21BCF">
      <w:pPr>
        <w:ind w:left="720"/>
      </w:pPr>
      <w:r w:rsidRPr="00653421">
        <w:rPr>
          <w:rFonts w:eastAsia="Calibri" w:cs="Tahoma"/>
          <w:szCs w:val="18"/>
        </w:rPr>
        <w:t>Os usuários com assinaturas do Forefront Endpoint Protection e que ajudam o serviço a proteger os dispositivos do cliente, podem fazer atualização para e usar o System Center 2012 Endpoint Protection para</w:t>
      </w:r>
      <w:r w:rsidR="000E3E79" w:rsidRPr="00653421">
        <w:rPr>
          <w:rFonts w:eastAsia="Calibri" w:cs="Tahoma"/>
          <w:szCs w:val="18"/>
        </w:rPr>
        <w:t> </w:t>
      </w:r>
      <w:r w:rsidRPr="00653421">
        <w:rPr>
          <w:rFonts w:eastAsia="Calibri" w:cs="Tahoma"/>
          <w:szCs w:val="18"/>
        </w:rPr>
        <w:t>a mesma finalidade. Os clientes com assinaturas do System Center 2012 Endpoint Protection também</w:t>
      </w:r>
      <w:r w:rsidR="000E3E79" w:rsidRPr="00653421">
        <w:rPr>
          <w:rFonts w:eastAsia="Calibri" w:cs="Tahoma"/>
          <w:szCs w:val="18"/>
        </w:rPr>
        <w:t> </w:t>
      </w:r>
      <w:r w:rsidRPr="00653421">
        <w:rPr>
          <w:rFonts w:eastAsia="Calibri" w:cs="Tahoma"/>
          <w:szCs w:val="18"/>
        </w:rPr>
        <w:t>podem fazer downgrade para o Forefront Endpoint Protection.</w:t>
      </w:r>
    </w:p>
    <w:p w:rsidR="00C21BCF" w:rsidRPr="00653421" w:rsidRDefault="00C21BCF" w:rsidP="00C21BCF">
      <w:pPr>
        <w:ind w:left="720"/>
      </w:pPr>
    </w:p>
    <w:p w:rsidR="00C21BCF" w:rsidRPr="00653421" w:rsidRDefault="00C21BCF" w:rsidP="00C21BCF">
      <w:pPr>
        <w:ind w:left="720"/>
      </w:pPr>
      <w:r w:rsidRPr="00653421">
        <w:rPr>
          <w:rFonts w:eastAsia="Calibri" w:cs="Tahoma"/>
          <w:szCs w:val="18"/>
        </w:rPr>
        <w:t>O System Center 2012 Configuration Manager é o console de gerenciamento do System Center 2012 Endpoint Protection.</w:t>
      </w:r>
      <w:r w:rsidR="005A52A2" w:rsidRPr="00653421">
        <w:rPr>
          <w:rFonts w:eastAsia="Calibri" w:cs="Tahoma"/>
          <w:szCs w:val="18"/>
        </w:rPr>
        <w:t xml:space="preserve"> </w:t>
      </w:r>
      <w:r w:rsidRPr="00653421">
        <w:rPr>
          <w:rFonts w:eastAsia="Calibri" w:cs="Tahoma"/>
          <w:szCs w:val="18"/>
        </w:rPr>
        <w:t>Os clientes devem ser licenciados para o System Center 2012 Configuration Manager para fornecer gerenciamento para o System Center 2012 Endpoint Protection.</w:t>
      </w:r>
      <w:r w:rsidR="005A52A2" w:rsidRPr="00653421">
        <w:rPr>
          <w:rFonts w:eastAsia="Calibri" w:cs="Tahoma"/>
          <w:szCs w:val="18"/>
        </w:rPr>
        <w:t xml:space="preserve"> </w:t>
      </w:r>
      <w:r w:rsidRPr="00653421">
        <w:rPr>
          <w:rFonts w:eastAsia="Calibri" w:cs="Tahoma"/>
          <w:szCs w:val="18"/>
        </w:rPr>
        <w:t>Opcionalmente, o System Center 2012 Endpoint Protection poderá ser usado de forma não gerenciada, sem a necessidade de licenciar o System Center 2012 Configuration Manager.</w:t>
      </w:r>
      <w:r w:rsidR="005A52A2" w:rsidRPr="00653421">
        <w:rPr>
          <w:rFonts w:eastAsia="Calibri" w:cs="Tahoma"/>
          <w:szCs w:val="18"/>
        </w:rPr>
        <w:t xml:space="preserve"> </w:t>
      </w:r>
    </w:p>
    <w:p w:rsidR="00C21BCF" w:rsidRPr="00653421" w:rsidRDefault="00C21BCF" w:rsidP="00C21BCF">
      <w:pPr>
        <w:ind w:left="720"/>
      </w:pPr>
    </w:p>
    <w:p w:rsidR="00C21BCF" w:rsidRPr="00653421" w:rsidRDefault="00A0581B" w:rsidP="00A0581B">
      <w:pPr>
        <w:spacing w:after="60"/>
        <w:ind w:left="720"/>
      </w:pPr>
      <w:r w:rsidRPr="00653421">
        <w:rPr>
          <w:rFonts w:eastAsia="Calibri" w:cs="Tahoma"/>
          <w:b/>
          <w:szCs w:val="18"/>
        </w:rPr>
        <w:t>Uso Doméstico</w:t>
      </w:r>
    </w:p>
    <w:p w:rsidR="00FF4CAB" w:rsidRPr="00653421" w:rsidRDefault="00C21BCF" w:rsidP="00A0581B">
      <w:pPr>
        <w:ind w:left="720"/>
      </w:pPr>
      <w:r w:rsidRPr="00653421">
        <w:rPr>
          <w:rFonts w:eastAsia="Calibri" w:cs="Tahoma"/>
          <w:szCs w:val="18"/>
        </w:rPr>
        <w:t>Os clientes com as Licenças de Assinatura do Usuário atuais para qualificação do System Center 2012 Endpoint Protection como programa de Uso Doméstico</w:t>
      </w:r>
    </w:p>
    <w:p w:rsidR="00A0581B" w:rsidRPr="00653421" w:rsidRDefault="00A0581B" w:rsidP="00A0581B"/>
    <w:p w:rsidR="00A0581B" w:rsidRPr="00653421" w:rsidRDefault="00A0581B" w:rsidP="00A0581B"/>
    <w:p w:rsidR="001A0F51" w:rsidRPr="00653421" w:rsidRDefault="001A0F51" w:rsidP="00A0581B"/>
    <w:p w:rsidR="001A0F51" w:rsidRPr="00653421" w:rsidRDefault="001A0F51" w:rsidP="00A0581B"/>
    <w:p w:rsidR="001A0F51" w:rsidRPr="00653421" w:rsidRDefault="001A0F51" w:rsidP="00A0581B"/>
    <w:p w:rsidR="001A0F51" w:rsidRPr="00653421" w:rsidRDefault="001A0F51" w:rsidP="00A0581B"/>
    <w:p w:rsidR="001A0F51" w:rsidRPr="00653421" w:rsidRDefault="001A0F51" w:rsidP="00A0581B"/>
    <w:p w:rsidR="00023FE7" w:rsidRPr="00653421" w:rsidRDefault="00F66FB0">
      <w:pPr>
        <w:pStyle w:val="Heading3"/>
      </w:pPr>
      <w:bookmarkStart w:id="1523" w:name="_91_TechNet_Plus"/>
      <w:bookmarkStart w:id="1524" w:name="_92_TechNet_Plus"/>
      <w:bookmarkStart w:id="1525" w:name="Srv_103TechNetPlusSingleUser"/>
      <w:bookmarkStart w:id="1526" w:name="_Toc336338360"/>
      <w:bookmarkStart w:id="1527" w:name="_Toc353470998"/>
      <w:bookmarkEnd w:id="1523"/>
      <w:bookmarkEnd w:id="1524"/>
      <w:r w:rsidRPr="00653421">
        <w:rPr>
          <w:rFonts w:ascii="Tahoma" w:hAnsi="Tahoma"/>
          <w:caps/>
          <w:color w:val="F66400"/>
          <w:sz w:val="22"/>
          <w:vertAlign w:val="superscript"/>
        </w:rPr>
        <w:lastRenderedPageBreak/>
        <w:t>92</w:t>
      </w:r>
      <w:r w:rsidRPr="00653421">
        <w:rPr>
          <w:rFonts w:ascii="Tahoma" w:hAnsi="Tahoma"/>
          <w:color w:val="F66400"/>
          <w:sz w:val="22"/>
        </w:rPr>
        <w:t xml:space="preserve"> TechNet Plus Single User</w:t>
      </w:r>
      <w:bookmarkEnd w:id="1508"/>
      <w:bookmarkEnd w:id="1525"/>
      <w:bookmarkEnd w:id="1526"/>
      <w:bookmarkEnd w:id="1527"/>
    </w:p>
    <w:p w:rsidR="00023FE7" w:rsidRPr="00653421" w:rsidRDefault="00023FE7" w:rsidP="001704C2">
      <w:pPr>
        <w:tabs>
          <w:tab w:val="left" w:pos="2690"/>
        </w:tabs>
      </w:pPr>
    </w:p>
    <w:p w:rsidR="00023FE7" w:rsidRPr="00653421" w:rsidRDefault="00023FE7" w:rsidP="001704C2">
      <w:pPr>
        <w:pStyle w:val="FootnoteBulletLevel1"/>
        <w:tabs>
          <w:tab w:val="clear" w:pos="900"/>
        </w:tabs>
        <w:spacing w:before="0" w:after="60"/>
        <w:ind w:left="720" w:firstLine="0"/>
      </w:pPr>
      <w:r w:rsidRPr="00653421">
        <w:rPr>
          <w:rFonts w:ascii="Tahoma" w:hAnsi="Tahoma" w:cs="Tahoma"/>
          <w:b/>
          <w:sz w:val="18"/>
        </w:rPr>
        <w:t>Caminho de migração para os clientes do TechNet Plus Single Server registrados no Software Assurance</w:t>
      </w:r>
    </w:p>
    <w:p w:rsidR="00023FE7" w:rsidRPr="00653421" w:rsidRDefault="00023FE7" w:rsidP="001704C2">
      <w:pPr>
        <w:pStyle w:val="FootnoteBulletLevel1"/>
        <w:tabs>
          <w:tab w:val="clear" w:pos="900"/>
        </w:tabs>
        <w:spacing w:before="0" w:after="0"/>
        <w:ind w:left="720" w:firstLine="0"/>
      </w:pPr>
      <w:r w:rsidRPr="00653421">
        <w:rPr>
          <w:rFonts w:ascii="Tahoma" w:hAnsi="Tahoma" w:cs="Tahoma"/>
          <w:sz w:val="18"/>
        </w:rPr>
        <w:t>Os clientes com Software Assurance sobre o TechNet Plus Single Server próximo à data de término que desejarem renovar a cobertura poderão adquiri-la para o TechNet Plus Single User ou o TechNet Plus Direct.</w:t>
      </w:r>
      <w:r w:rsidR="005A52A2" w:rsidRPr="00653421">
        <w:rPr>
          <w:rFonts w:ascii="Tahoma" w:hAnsi="Tahoma" w:cs="Tahoma"/>
          <w:sz w:val="18"/>
        </w:rPr>
        <w:t xml:space="preserve"> </w:t>
      </w:r>
    </w:p>
    <w:p w:rsidR="006B1BAF" w:rsidRPr="00653421" w:rsidRDefault="006B1BAF" w:rsidP="001704C2"/>
    <w:p w:rsidR="001704C2" w:rsidRPr="00653421" w:rsidRDefault="001704C2" w:rsidP="001704C2"/>
    <w:p w:rsidR="00FF4CAB" w:rsidRPr="00653421" w:rsidRDefault="00F66FB0" w:rsidP="00FF4CAB">
      <w:pPr>
        <w:pStyle w:val="Heading3"/>
      </w:pPr>
      <w:bookmarkStart w:id="1528" w:name="_92_Visual_Studio"/>
      <w:bookmarkStart w:id="1529" w:name="_90_VDI_Standard"/>
      <w:bookmarkStart w:id="1530" w:name="_93_VDI_Standard"/>
      <w:bookmarkStart w:id="1531" w:name="_Toc336338361"/>
      <w:bookmarkStart w:id="1532" w:name="_Toc353470999"/>
      <w:bookmarkStart w:id="1533" w:name="Srv_105VDIStandardandPremiumSuites"/>
      <w:bookmarkStart w:id="1534" w:name="Srv_94VSLoadTestVirtualUserPack10"/>
      <w:bookmarkEnd w:id="1528"/>
      <w:bookmarkEnd w:id="1529"/>
      <w:bookmarkEnd w:id="1530"/>
      <w:r w:rsidRPr="00653421">
        <w:rPr>
          <w:rFonts w:ascii="Tahoma" w:hAnsi="Tahoma" w:cs="Tahoma"/>
          <w:caps/>
          <w:color w:val="FF7415"/>
          <w:sz w:val="22"/>
          <w:szCs w:val="22"/>
          <w:vertAlign w:val="superscript"/>
        </w:rPr>
        <w:t>93</w:t>
      </w:r>
      <w:r w:rsidRPr="00653421">
        <w:rPr>
          <w:rFonts w:ascii="Tahoma" w:hAnsi="Tahoma" w:cs="Tahoma"/>
          <w:caps/>
          <w:color w:val="FF7415"/>
          <w:sz w:val="22"/>
          <w:szCs w:val="22"/>
        </w:rPr>
        <w:t xml:space="preserve"> </w:t>
      </w:r>
      <w:r w:rsidRPr="00653421">
        <w:rPr>
          <w:rFonts w:ascii="Tahoma" w:hAnsi="Tahoma" w:cs="Tahoma"/>
          <w:color w:val="FF7415"/>
          <w:sz w:val="22"/>
          <w:szCs w:val="22"/>
        </w:rPr>
        <w:t>VDI Standard e Premium Suites</w:t>
      </w:r>
      <w:bookmarkEnd w:id="1531"/>
      <w:bookmarkEnd w:id="1532"/>
    </w:p>
    <w:bookmarkEnd w:id="1533"/>
    <w:p w:rsidR="00FF4CAB" w:rsidRPr="00653421" w:rsidRDefault="00FF4CAB" w:rsidP="00B76943"/>
    <w:p w:rsidR="00FF4CAB" w:rsidRPr="00653421" w:rsidRDefault="00FF4CAB" w:rsidP="00B76943">
      <w:pPr>
        <w:pStyle w:val="EndnoteText"/>
        <w:ind w:left="720"/>
      </w:pPr>
      <w:r w:rsidRPr="00653421">
        <w:rPr>
          <w:rFonts w:ascii="Tahoma" w:hAnsi="Tahoma" w:cs="Tahoma"/>
          <w:color w:val="000000"/>
          <w:sz w:val="18"/>
        </w:rPr>
        <w:t>Estes produtos encontram-se no status EOL (Fim da Vida Útil) e não serão mais oferecidos. Os clientes do</w:t>
      </w:r>
      <w:r w:rsidR="000E3E79" w:rsidRPr="00653421">
        <w:rPr>
          <w:rFonts w:ascii="Tahoma" w:hAnsi="Tahoma" w:cs="Tahoma"/>
          <w:color w:val="000000"/>
          <w:sz w:val="18"/>
        </w:rPr>
        <w:t> </w:t>
      </w:r>
      <w:r w:rsidRPr="00653421">
        <w:rPr>
          <w:rFonts w:ascii="Tahoma" w:hAnsi="Tahoma" w:cs="Tahoma"/>
          <w:color w:val="000000"/>
          <w:sz w:val="18"/>
        </w:rPr>
        <w:t>Enterprise Agreement podem consultar versões anteriores dos Direitos de Uso do Produto para obter informações sobre direitos de uso.</w:t>
      </w:r>
    </w:p>
    <w:p w:rsidR="00BA1490" w:rsidRPr="00653421" w:rsidRDefault="00BA1490" w:rsidP="00B76943">
      <w:pPr>
        <w:pStyle w:val="EndnoteText"/>
        <w:ind w:left="0"/>
      </w:pPr>
    </w:p>
    <w:p w:rsidR="00EA31A6" w:rsidRPr="00653421" w:rsidRDefault="00EA31A6" w:rsidP="00B76943">
      <w:pPr>
        <w:pStyle w:val="EndnoteText"/>
        <w:ind w:left="0"/>
      </w:pPr>
    </w:p>
    <w:p w:rsidR="00EA31A6" w:rsidRPr="00653421" w:rsidRDefault="00F66FB0" w:rsidP="00EA31A6">
      <w:pPr>
        <w:pStyle w:val="Heading3"/>
      </w:pPr>
      <w:bookmarkStart w:id="1535" w:name="_91_Vexcel_Server,"/>
      <w:bookmarkStart w:id="1536" w:name="_94_Vexcel_Server"/>
      <w:bookmarkStart w:id="1537" w:name="_Toc353471000"/>
      <w:bookmarkEnd w:id="1535"/>
      <w:bookmarkEnd w:id="1536"/>
      <w:r w:rsidRPr="00653421">
        <w:rPr>
          <w:rFonts w:ascii="Tahoma" w:hAnsi="Tahoma" w:cs="Tahoma"/>
          <w:caps/>
          <w:color w:val="EE6000"/>
          <w:sz w:val="22"/>
          <w:szCs w:val="18"/>
          <w:vertAlign w:val="superscript"/>
        </w:rPr>
        <w:t>94</w:t>
      </w:r>
      <w:r w:rsidRPr="00653421">
        <w:rPr>
          <w:rFonts w:ascii="Tahoma" w:hAnsi="Tahoma" w:cs="Tahoma"/>
          <w:caps/>
          <w:color w:val="EE6000"/>
          <w:sz w:val="22"/>
          <w:szCs w:val="18"/>
        </w:rPr>
        <w:t xml:space="preserve"> </w:t>
      </w:r>
      <w:r w:rsidRPr="00653421">
        <w:rPr>
          <w:rFonts w:ascii="Tahoma" w:hAnsi="Tahoma"/>
          <w:color w:val="F66400"/>
          <w:sz w:val="22"/>
        </w:rPr>
        <w:t>Vexcel Server e Vexcel Server com Pacote de Conteúdo Aprimorado</w:t>
      </w:r>
      <w:bookmarkEnd w:id="1537"/>
    </w:p>
    <w:p w:rsidR="00EA31A6" w:rsidRPr="00653421" w:rsidRDefault="00EA31A6" w:rsidP="00EA31A6">
      <w:pPr>
        <w:ind w:left="720"/>
      </w:pPr>
    </w:p>
    <w:p w:rsidR="00EA31A6" w:rsidRPr="00653421" w:rsidRDefault="00EA31A6" w:rsidP="00EA31A6">
      <w:pPr>
        <w:ind w:left="720"/>
      </w:pPr>
      <w:r w:rsidRPr="00653421">
        <w:rPr>
          <w:rFonts w:cs="Tahoma"/>
          <w:szCs w:val="20"/>
          <w:u w:val="single"/>
        </w:rPr>
        <w:t>Serviços de Criação Requeridos</w:t>
      </w:r>
      <w:r w:rsidRPr="00653421">
        <w:rPr>
          <w:rFonts w:cs="Tahoma"/>
          <w:szCs w:val="20"/>
        </w:rPr>
        <w:t>. O Vexcel Server e o Vexcel Server com Pacote de Conteúdo Aprimorado requerem as assinaturas anuais de software de Servidor/CAL, assim como os serviços de criação de sistemas da Vexcel, subsidiária geoespacial da Microsoft.</w:t>
      </w:r>
      <w:r w:rsidR="005A52A2" w:rsidRPr="00653421">
        <w:rPr>
          <w:rFonts w:cs="Tahoma"/>
          <w:szCs w:val="20"/>
        </w:rPr>
        <w:t xml:space="preserve"> </w:t>
      </w:r>
      <w:r w:rsidRPr="00653421">
        <w:rPr>
          <w:rFonts w:cs="Tahoma"/>
          <w:szCs w:val="20"/>
        </w:rPr>
        <w:t>Também estão disponíveis treinamento, suporte e</w:t>
      </w:r>
      <w:r w:rsidR="000E3E79" w:rsidRPr="00653421">
        <w:rPr>
          <w:rFonts w:cs="Tahoma"/>
          <w:szCs w:val="20"/>
        </w:rPr>
        <w:t> </w:t>
      </w:r>
      <w:r w:rsidRPr="00653421">
        <w:rPr>
          <w:rFonts w:cs="Tahoma"/>
          <w:szCs w:val="20"/>
        </w:rPr>
        <w:t>serviços de manutenção adicionais, mas não são necessários.</w:t>
      </w:r>
      <w:r w:rsidR="005A52A2" w:rsidRPr="00653421">
        <w:rPr>
          <w:rFonts w:cs="Tahoma"/>
          <w:szCs w:val="20"/>
        </w:rPr>
        <w:t xml:space="preserve"> </w:t>
      </w:r>
      <w:r w:rsidRPr="00653421">
        <w:rPr>
          <w:rFonts w:cs="Tahoma"/>
          <w:szCs w:val="20"/>
        </w:rPr>
        <w:t xml:space="preserve">Para obter mais informações, visite o site </w:t>
      </w:r>
      <w:hyperlink r:id="rId53" w:history="1">
        <w:r w:rsidRPr="00653421">
          <w:rPr>
            <w:rStyle w:val="Hyperlink"/>
          </w:rPr>
          <w:t>http://www.vexcel.com/geospatial/bingmapsserver/index.asp</w:t>
        </w:r>
      </w:hyperlink>
    </w:p>
    <w:p w:rsidR="00B54C21" w:rsidRPr="00653421" w:rsidRDefault="00B54C21" w:rsidP="00B76943">
      <w:pPr>
        <w:pStyle w:val="EndnoteText"/>
        <w:ind w:left="0"/>
      </w:pPr>
    </w:p>
    <w:p w:rsidR="001A0F51" w:rsidRPr="00653421" w:rsidRDefault="001A0F51" w:rsidP="00B76943">
      <w:pPr>
        <w:pStyle w:val="EndnoteText"/>
        <w:ind w:left="0"/>
      </w:pPr>
    </w:p>
    <w:p w:rsidR="00E8145C" w:rsidRPr="00653421" w:rsidRDefault="00F66FB0" w:rsidP="00E8145C">
      <w:pPr>
        <w:pStyle w:val="Heading2"/>
        <w:ind w:left="0"/>
      </w:pPr>
      <w:bookmarkStart w:id="1538" w:name="_105_Windows_Azure"/>
      <w:bookmarkStart w:id="1539" w:name="_95_Serviços_do"/>
      <w:bookmarkStart w:id="1540" w:name="_Toc336338362"/>
      <w:bookmarkStart w:id="1541" w:name="_Toc353471001"/>
      <w:bookmarkEnd w:id="1538"/>
      <w:bookmarkEnd w:id="1539"/>
      <w:r w:rsidRPr="00653421">
        <w:rPr>
          <w:rFonts w:ascii="Tahoma" w:hAnsi="Tahoma" w:cs="Tahoma"/>
          <w:caps/>
          <w:color w:val="EE6000"/>
          <w:sz w:val="22"/>
          <w:szCs w:val="18"/>
          <w:vertAlign w:val="superscript"/>
        </w:rPr>
        <w:t>95</w:t>
      </w:r>
      <w:r w:rsidRPr="00653421">
        <w:rPr>
          <w:rFonts w:ascii="Tahoma" w:hAnsi="Tahoma" w:cs="Tahoma"/>
          <w:caps/>
          <w:color w:val="EE6000"/>
          <w:sz w:val="22"/>
          <w:szCs w:val="18"/>
        </w:rPr>
        <w:t xml:space="preserve"> </w:t>
      </w:r>
      <w:r w:rsidRPr="00653421">
        <w:rPr>
          <w:rFonts w:ascii="Tahoma" w:hAnsi="Tahoma" w:cs="Tahoma"/>
          <w:color w:val="F8701C"/>
          <w:sz w:val="22"/>
          <w:szCs w:val="22"/>
        </w:rPr>
        <w:t>Serviços do Windows Azure</w:t>
      </w:r>
      <w:bookmarkEnd w:id="1540"/>
      <w:bookmarkEnd w:id="1541"/>
    </w:p>
    <w:p w:rsidR="00E8145C" w:rsidRPr="00653421" w:rsidRDefault="00E8145C" w:rsidP="00B76943">
      <w:pPr>
        <w:widowControl w:val="0"/>
        <w:jc w:val="both"/>
      </w:pPr>
    </w:p>
    <w:p w:rsidR="00B76943" w:rsidRPr="00653421" w:rsidRDefault="00E8145C" w:rsidP="00B76943">
      <w:pPr>
        <w:widowControl w:val="0"/>
        <w:spacing w:after="60"/>
        <w:ind w:left="720"/>
        <w:jc w:val="both"/>
      </w:pPr>
      <w:r w:rsidRPr="00653421">
        <w:rPr>
          <w:b/>
          <w:color w:val="000000"/>
        </w:rPr>
        <w:t>Compromisso de Recursos do Windows Azure Compute</w:t>
      </w:r>
    </w:p>
    <w:p w:rsidR="00E8145C" w:rsidRPr="00653421" w:rsidRDefault="00E8145C" w:rsidP="00B76943">
      <w:pPr>
        <w:widowControl w:val="0"/>
        <w:ind w:left="720"/>
        <w:jc w:val="both"/>
      </w:pPr>
      <w:r w:rsidRPr="00653421">
        <w:t xml:space="preserve">No caso do Windows Azure Compute, a Microsoft concorda em fornecer ao cliente um Compromisso de Recursos do Compute. O Compromisso de Recursos do Compute corresponderá a (1) </w:t>
      </w:r>
      <w:r w:rsidRPr="00653421">
        <w:rPr>
          <w:rFonts w:eastAsia="Times New Roman"/>
          <w:color w:val="000000"/>
        </w:rPr>
        <w:t xml:space="preserve">50 instâncias pequenas e simultâneas do Compute por mês ou (2) </w:t>
      </w:r>
      <w:r w:rsidRPr="00653421">
        <w:t xml:space="preserve">125% do Uso Estimado do Compute do cliente (conforme calculado abaixo), o que for maior. </w:t>
      </w:r>
    </w:p>
    <w:p w:rsidR="00B76943" w:rsidRPr="00653421" w:rsidRDefault="00B76943" w:rsidP="00B76943">
      <w:pPr>
        <w:widowControl w:val="0"/>
        <w:ind w:left="720"/>
        <w:jc w:val="both"/>
      </w:pPr>
    </w:p>
    <w:p w:rsidR="00B90E41" w:rsidRPr="00653421" w:rsidRDefault="00B90E41" w:rsidP="00B76943">
      <w:pPr>
        <w:widowControl w:val="0"/>
        <w:ind w:left="720"/>
        <w:jc w:val="both"/>
      </w:pPr>
    </w:p>
    <w:p w:rsidR="00E8145C" w:rsidRPr="00653421" w:rsidRDefault="00E8145C" w:rsidP="00B76943">
      <w:pPr>
        <w:widowControl w:val="0"/>
        <w:ind w:left="720"/>
        <w:jc w:val="both"/>
      </w:pPr>
      <w:r w:rsidRPr="00653421">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653421">
        <w:rPr>
          <w:rFonts w:cs="Tahoma"/>
          <w:szCs w:val="18"/>
        </w:rPr>
        <w:t>coextensiva</w:t>
      </w:r>
      <w:r w:rsidRPr="00653421">
        <w:t xml:space="preserve"> abaixo), e dividindo-se esse número pela Taxa de Compromissos para o Windows Azure Compute. Se o cliente adicionar fundos ao seu Compromisso Monetário durante o prazo do registro, o</w:t>
      </w:r>
      <w:r w:rsidR="00362A5E" w:rsidRPr="00653421">
        <w:t> </w:t>
      </w:r>
      <w:r w:rsidRPr="00653421">
        <w:t>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B76943" w:rsidRPr="00653421" w:rsidRDefault="00B76943" w:rsidP="00B76943">
      <w:pPr>
        <w:widowControl w:val="0"/>
        <w:ind w:left="720"/>
        <w:jc w:val="both"/>
      </w:pPr>
    </w:p>
    <w:p w:rsidR="00E8145C" w:rsidRPr="00653421" w:rsidRDefault="00E8145C" w:rsidP="00B76943">
      <w:pPr>
        <w:widowControl w:val="0"/>
        <w:ind w:left="720"/>
        <w:jc w:val="both"/>
      </w:pPr>
      <w:r w:rsidRPr="00653421">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w:t>
      </w:r>
      <w:r w:rsidR="00362A5E" w:rsidRPr="00653421">
        <w:t> </w:t>
      </w:r>
      <w:r w:rsidRPr="00653421">
        <w:t>Contrato de Nível de Serviço (consulte a Seção 2.c acima), a entidade somente receberá a medida com o</w:t>
      </w:r>
      <w:r w:rsidR="00362A5E" w:rsidRPr="00653421">
        <w:t> </w:t>
      </w:r>
      <w:r w:rsidRPr="00653421">
        <w:t>valor monetário mais alto.</w:t>
      </w:r>
    </w:p>
    <w:p w:rsidR="00E8145C" w:rsidRPr="00653421" w:rsidRDefault="00E8145C" w:rsidP="00B76943">
      <w:pPr>
        <w:widowControl w:val="0"/>
        <w:ind w:left="720"/>
        <w:jc w:val="both"/>
      </w:pPr>
      <w:r w:rsidRPr="00653421">
        <w:t xml:space="preserve">O uso do Windows Azure Compute acima do Compromisso de Recursos do Compute será feito “conforme disponível”. O uso de qualquer Serviço do Windows Azure que não seja do Windows Azure Compute será feito “conforme disponível”. </w:t>
      </w:r>
    </w:p>
    <w:p w:rsidR="00152361" w:rsidRPr="00653421" w:rsidRDefault="00152361" w:rsidP="00B76943">
      <w:pPr>
        <w:pStyle w:val="EndnoteText"/>
        <w:ind w:left="720"/>
      </w:pPr>
    </w:p>
    <w:p w:rsidR="00FF4CAB" w:rsidRPr="00653421" w:rsidRDefault="00FF4CAB" w:rsidP="00376D4B">
      <w:pPr>
        <w:pStyle w:val="EndnoteText"/>
        <w:ind w:left="720"/>
      </w:pPr>
    </w:p>
    <w:p w:rsidR="001A0F51" w:rsidRPr="00653421" w:rsidRDefault="001A0F51" w:rsidP="00376D4B">
      <w:pPr>
        <w:pStyle w:val="EndnoteText"/>
        <w:ind w:left="720"/>
      </w:pPr>
    </w:p>
    <w:p w:rsidR="001A0F51" w:rsidRPr="00653421" w:rsidRDefault="001A0F51" w:rsidP="00376D4B">
      <w:pPr>
        <w:pStyle w:val="EndnoteText"/>
        <w:ind w:left="720"/>
      </w:pPr>
    </w:p>
    <w:p w:rsidR="00ED12C0" w:rsidRPr="00653421" w:rsidRDefault="00F66FB0" w:rsidP="00362A5E">
      <w:pPr>
        <w:pStyle w:val="Heading2"/>
        <w:ind w:left="243" w:hanging="243"/>
      </w:pPr>
      <w:bookmarkStart w:id="1542" w:name="_96_Windows_Embedded_1"/>
      <w:bookmarkStart w:id="1543" w:name="Srv_107WindowsEmbeddedDeviceMgr2011"/>
      <w:bookmarkStart w:id="1544" w:name="_Toc336338363"/>
      <w:bookmarkStart w:id="1545" w:name="_Toc353471002"/>
      <w:bookmarkStart w:id="1546" w:name="Srv_93SBS2008PremiumEdition"/>
      <w:bookmarkEnd w:id="1534"/>
      <w:bookmarkEnd w:id="1542"/>
      <w:r w:rsidRPr="00653421">
        <w:rPr>
          <w:rFonts w:ascii="Tahoma" w:hAnsi="Tahoma" w:cs="Tahoma"/>
          <w:caps/>
          <w:color w:val="FF6600"/>
          <w:sz w:val="22"/>
          <w:vertAlign w:val="superscript"/>
        </w:rPr>
        <w:lastRenderedPageBreak/>
        <w:t>96</w:t>
      </w:r>
      <w:r w:rsidRPr="00653421">
        <w:rPr>
          <w:rFonts w:ascii="Tahoma" w:hAnsi="Tahoma" w:cs="Tahoma"/>
          <w:color w:val="FF6600"/>
        </w:rPr>
        <w:t xml:space="preserve"> </w:t>
      </w:r>
      <w:r w:rsidRPr="00653421">
        <w:rPr>
          <w:rFonts w:ascii="Tahoma" w:hAnsi="Tahoma" w:cs="Tahoma"/>
          <w:color w:val="FF6600"/>
          <w:sz w:val="22"/>
        </w:rPr>
        <w:t>Windows Embedded Device Manager 2011 – Licença do Servidor de</w:t>
      </w:r>
      <w:r w:rsidR="00B90E41" w:rsidRPr="00653421">
        <w:rPr>
          <w:rFonts w:ascii="Tahoma" w:hAnsi="Tahoma" w:cs="Tahoma"/>
          <w:color w:val="FF6600"/>
          <w:sz w:val="22"/>
        </w:rPr>
        <w:t> </w:t>
      </w:r>
      <w:r w:rsidRPr="00653421">
        <w:rPr>
          <w:rFonts w:ascii="Tahoma" w:hAnsi="Tahoma" w:cs="Tahoma"/>
          <w:color w:val="FF6600"/>
          <w:sz w:val="22"/>
        </w:rPr>
        <w:t>Gerenciamento</w:t>
      </w:r>
      <w:bookmarkEnd w:id="1543"/>
      <w:bookmarkEnd w:id="1544"/>
      <w:bookmarkEnd w:id="1545"/>
    </w:p>
    <w:p w:rsidR="00ED12C0" w:rsidRPr="00653421" w:rsidRDefault="00ED12C0" w:rsidP="00B76943"/>
    <w:p w:rsidR="00ED12C0" w:rsidRPr="00653421" w:rsidRDefault="00ED12C0" w:rsidP="00B76943">
      <w:pPr>
        <w:pStyle w:val="EndnoteText"/>
        <w:ind w:left="720"/>
      </w:pPr>
      <w:r w:rsidRPr="00653421">
        <w:rPr>
          <w:rFonts w:ascii="Tahoma" w:hAnsi="Tahoma" w:cs="Tahoma"/>
          <w:color w:val="000000"/>
          <w:sz w:val="18"/>
        </w:rPr>
        <w:t>Este produto encontra-se no status EOL (Fim da Vida Útil) e não será mais oferecido.</w:t>
      </w:r>
    </w:p>
    <w:p w:rsidR="00ED12C0" w:rsidRPr="00653421" w:rsidRDefault="00ED12C0" w:rsidP="00B76943">
      <w:pPr>
        <w:pStyle w:val="EndnoteText"/>
        <w:ind w:left="720"/>
      </w:pPr>
    </w:p>
    <w:p w:rsidR="00ED12C0" w:rsidRPr="00653421" w:rsidRDefault="00ED12C0" w:rsidP="00B76943">
      <w:pPr>
        <w:pStyle w:val="EndnoteText"/>
        <w:spacing w:after="60"/>
        <w:ind w:left="720"/>
      </w:pPr>
      <w:r w:rsidRPr="00653421">
        <w:rPr>
          <w:rFonts w:ascii="Tahoma" w:hAnsi="Tahoma" w:cs="Tahoma"/>
          <w:b/>
          <w:color w:val="000000"/>
          <w:sz w:val="18"/>
        </w:rPr>
        <w:t>Outorga de Licença Única para Titulares de Licenças do Windows Embedded Device Manager 2011 com Software Assurance Ativo</w:t>
      </w:r>
    </w:p>
    <w:p w:rsidR="002512D3" w:rsidRPr="00653421" w:rsidRDefault="00ED12C0" w:rsidP="003165D6">
      <w:pPr>
        <w:pStyle w:val="EndnoteText"/>
        <w:ind w:left="720"/>
      </w:pPr>
      <w:r w:rsidRPr="00653421">
        <w:rPr>
          <w:rFonts w:ascii="Tahoma" w:hAnsi="Tahoma" w:cs="Tahoma"/>
          <w:color w:val="000000"/>
          <w:sz w:val="18"/>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r w:rsidRPr="00653421">
        <w:rPr>
          <w:rFonts w:ascii="Tahoma" w:hAnsi="Tahoma" w:cs="Tahoma"/>
          <w:color w:val="000000"/>
          <w:sz w:val="18"/>
          <w:szCs w:val="20"/>
        </w:rPr>
        <w:t>:</w:t>
      </w:r>
    </w:p>
    <w:p w:rsidR="00ED12C0" w:rsidRPr="00653421" w:rsidRDefault="00ED12C0" w:rsidP="00B76943">
      <w:pPr>
        <w:pStyle w:val="EndnoteText"/>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653421" w:rsidTr="00CA14C9">
        <w:tc>
          <w:tcPr>
            <w:tcW w:w="3960" w:type="dxa"/>
            <w:tcBorders>
              <w:top w:val="single" w:sz="4" w:space="0" w:color="000000"/>
              <w:bottom w:val="single" w:sz="6" w:space="0" w:color="000000"/>
            </w:tcBorders>
            <w:shd w:val="clear" w:color="auto" w:fill="FABF8F"/>
          </w:tcPr>
          <w:p w:rsidR="00ED12C0" w:rsidRPr="00653421" w:rsidRDefault="00ED12C0" w:rsidP="004342E4">
            <w:pPr>
              <w:jc w:val="center"/>
              <w:rPr>
                <w:rFonts w:cs="Tahoma"/>
                <w:b/>
                <w:color w:val="000000"/>
                <w:szCs w:val="20"/>
              </w:rPr>
            </w:pPr>
            <w:r w:rsidRPr="00653421">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ED12C0" w:rsidRPr="00653421" w:rsidRDefault="00ED12C0" w:rsidP="004342E4">
            <w:pPr>
              <w:jc w:val="center"/>
              <w:rPr>
                <w:rFonts w:cs="Tahoma"/>
                <w:b/>
                <w:color w:val="000000"/>
                <w:szCs w:val="20"/>
              </w:rPr>
            </w:pPr>
            <w:r w:rsidRPr="00653421">
              <w:rPr>
                <w:rFonts w:cs="Tahoma"/>
                <w:color w:val="000000"/>
              </w:rPr>
              <w:t>Licenças de Gerenciamento de Cliente do Windows Embedded Device Manager 2011</w:t>
            </w:r>
          </w:p>
        </w:tc>
      </w:tr>
      <w:tr w:rsidR="00ED12C0" w:rsidRPr="00653421" w:rsidTr="00CA14C9">
        <w:tc>
          <w:tcPr>
            <w:tcW w:w="3960" w:type="dxa"/>
            <w:tcBorders>
              <w:top w:val="single" w:sz="6" w:space="0" w:color="000000"/>
            </w:tcBorders>
            <w:shd w:val="clear" w:color="auto" w:fill="FFFFFF"/>
          </w:tcPr>
          <w:p w:rsidR="00ED12C0" w:rsidRPr="00653421" w:rsidRDefault="00ED12C0" w:rsidP="004342E4">
            <w:pPr>
              <w:rPr>
                <w:rFonts w:cs="Tahoma"/>
                <w:color w:val="000000"/>
                <w:szCs w:val="20"/>
              </w:rPr>
            </w:pPr>
            <w:r w:rsidRPr="00653421">
              <w:rPr>
                <w:rFonts w:cs="Tahoma"/>
                <w:color w:val="000000"/>
                <w:szCs w:val="20"/>
              </w:rPr>
              <w:t>Licença do Windows Embedded Device Manager 2011 Server</w:t>
            </w:r>
          </w:p>
        </w:tc>
        <w:tc>
          <w:tcPr>
            <w:tcW w:w="4050" w:type="dxa"/>
            <w:tcBorders>
              <w:top w:val="single" w:sz="6" w:space="0" w:color="000000"/>
            </w:tcBorders>
            <w:shd w:val="clear" w:color="auto" w:fill="FFFFFF"/>
          </w:tcPr>
          <w:p w:rsidR="00ED12C0" w:rsidRPr="00653421" w:rsidRDefault="00ED12C0" w:rsidP="004342E4">
            <w:pPr>
              <w:rPr>
                <w:rFonts w:cs="Tahoma"/>
                <w:color w:val="000000"/>
                <w:szCs w:val="20"/>
              </w:rPr>
            </w:pPr>
            <w:r w:rsidRPr="00653421">
              <w:rPr>
                <w:rFonts w:cs="Tahoma"/>
                <w:color w:val="000000"/>
                <w:szCs w:val="20"/>
              </w:rPr>
              <w:t>13 Licenças de Gerenciamento de Cliente do Windows Embedded Device Manager 2011</w:t>
            </w:r>
          </w:p>
        </w:tc>
      </w:tr>
      <w:tr w:rsidR="00ED12C0" w:rsidRPr="00653421" w:rsidTr="00CA14C9">
        <w:tc>
          <w:tcPr>
            <w:tcW w:w="3960" w:type="dxa"/>
            <w:shd w:val="clear" w:color="auto" w:fill="FFFFFF"/>
          </w:tcPr>
          <w:p w:rsidR="00ED12C0" w:rsidRPr="00653421" w:rsidRDefault="00ED12C0" w:rsidP="004342E4">
            <w:pPr>
              <w:rPr>
                <w:rFonts w:cs="Tahoma"/>
                <w:color w:val="000000"/>
                <w:szCs w:val="20"/>
              </w:rPr>
            </w:pPr>
            <w:r w:rsidRPr="00653421">
              <w:rPr>
                <w:rFonts w:cs="Tahoma"/>
                <w:color w:val="000000"/>
                <w:szCs w:val="20"/>
              </w:rPr>
              <w:t>Licença do Servidor do Windows Embedded Device Manager 2011 com Tecnologia SQL Server 2008</w:t>
            </w:r>
          </w:p>
        </w:tc>
        <w:tc>
          <w:tcPr>
            <w:tcW w:w="4050" w:type="dxa"/>
            <w:shd w:val="clear" w:color="auto" w:fill="FFFFFF"/>
          </w:tcPr>
          <w:p w:rsidR="00ED12C0" w:rsidRPr="00653421" w:rsidRDefault="00ED12C0" w:rsidP="004342E4">
            <w:pPr>
              <w:rPr>
                <w:rFonts w:cs="Tahoma"/>
                <w:color w:val="000000"/>
                <w:szCs w:val="20"/>
              </w:rPr>
            </w:pPr>
            <w:r w:rsidRPr="00653421">
              <w:rPr>
                <w:rFonts w:cs="Tahoma"/>
                <w:color w:val="000000"/>
                <w:szCs w:val="20"/>
              </w:rPr>
              <w:t>30 Licenças de Gerenciamento de Cliente do Windows Embedded Device Manager 2011</w:t>
            </w:r>
          </w:p>
        </w:tc>
      </w:tr>
    </w:tbl>
    <w:p w:rsidR="00ED12C0" w:rsidRPr="00653421" w:rsidRDefault="00ED12C0" w:rsidP="00ED12C0">
      <w:pPr>
        <w:pStyle w:val="EndnoteText"/>
        <w:ind w:left="0"/>
      </w:pPr>
    </w:p>
    <w:p w:rsidR="00ED12C0" w:rsidRPr="00653421" w:rsidRDefault="00ED12C0" w:rsidP="00376D4B">
      <w:pPr>
        <w:pStyle w:val="EndnoteText"/>
        <w:ind w:left="720"/>
      </w:pPr>
      <w:r w:rsidRPr="00653421">
        <w:rPr>
          <w:rFonts w:ascii="Tahoma" w:hAnsi="Tahoma" w:cs="Tahoma"/>
          <w:color w:val="000000"/>
          <w:sz w:val="18"/>
        </w:rPr>
        <w:t>Todas as licenças concedidas sob esta oferta incluirão cobertura do Software Assurance. Essa cobertura se</w:t>
      </w:r>
      <w:r w:rsidR="00362A5E" w:rsidRPr="00653421">
        <w:rPr>
          <w:rFonts w:ascii="Tahoma" w:hAnsi="Tahoma" w:cs="Tahoma"/>
          <w:color w:val="000000"/>
          <w:sz w:val="18"/>
        </w:rPr>
        <w:t> </w:t>
      </w:r>
      <w:r w:rsidRPr="00653421">
        <w:rPr>
          <w:rFonts w:ascii="Tahoma" w:hAnsi="Tahoma" w:cs="Tahoma"/>
          <w:color w:val="000000"/>
          <w:sz w:val="18"/>
        </w:rPr>
        <w:t xml:space="preserve">encerrará no término da cobertura nas licenças qualificadas. Ao término dessa cobertura, os clientes poderão renovar o Software Assurance sobre as licenças outorgadas. </w:t>
      </w:r>
    </w:p>
    <w:p w:rsidR="00362A5E" w:rsidRPr="00653421" w:rsidRDefault="00362A5E" w:rsidP="00376D4B">
      <w:pPr>
        <w:pStyle w:val="EndnoteText"/>
        <w:ind w:left="720"/>
      </w:pPr>
    </w:p>
    <w:p w:rsidR="00ED12C0" w:rsidRPr="00653421" w:rsidRDefault="00ED12C0" w:rsidP="00376D4B">
      <w:pPr>
        <w:pStyle w:val="EndnoteText"/>
        <w:ind w:left="720"/>
      </w:pPr>
      <w:r w:rsidRPr="00653421">
        <w:rPr>
          <w:rFonts w:ascii="Tahoma" w:hAnsi="Tahoma" w:cs="Tahoma"/>
          <w:color w:val="000000"/>
          <w:sz w:val="18"/>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rsidR="00A8709E" w:rsidRPr="00653421" w:rsidRDefault="00A8709E" w:rsidP="00376D4B">
      <w:pPr>
        <w:pStyle w:val="EndnoteText"/>
        <w:ind w:left="720"/>
      </w:pPr>
    </w:p>
    <w:p w:rsidR="00ED12C0" w:rsidRPr="00653421" w:rsidRDefault="00ED12C0" w:rsidP="00376D4B">
      <w:pPr>
        <w:ind w:left="720"/>
      </w:pPr>
      <w:r w:rsidRPr="00653421">
        <w:rPr>
          <w:rFonts w:cs="Tahoma"/>
          <w:color w:val="000000"/>
          <w:szCs w:val="24"/>
        </w:rPr>
        <w:t>As licenças do Windows Embedded Device Manager 2011 adquiridas após 1º de abril de 2012 como parte</w:t>
      </w:r>
      <w:r w:rsidR="004B3506" w:rsidRPr="00653421">
        <w:rPr>
          <w:rFonts w:cs="Tahoma"/>
          <w:color w:val="000000"/>
          <w:szCs w:val="24"/>
        </w:rPr>
        <w:t> </w:t>
      </w:r>
      <w:r w:rsidRPr="00653421">
        <w:rPr>
          <w:rFonts w:cs="Tahoma"/>
          <w:color w:val="000000"/>
          <w:szCs w:val="24"/>
        </w:rPr>
        <w:t>do processo anual de adequação (“true-up”) de um cliente para Registros Enterprise sob os quais as</w:t>
      </w:r>
      <w:r w:rsidR="004B3506" w:rsidRPr="00653421">
        <w:rPr>
          <w:rFonts w:cs="Tahoma"/>
          <w:color w:val="000000"/>
          <w:szCs w:val="24"/>
        </w:rPr>
        <w:t> </w:t>
      </w:r>
      <w:r w:rsidRPr="00653421">
        <w:rPr>
          <w:rFonts w:cs="Tahoma"/>
          <w:color w:val="000000"/>
          <w:szCs w:val="24"/>
        </w:rPr>
        <w:t>licenças do Windows Embedded Device Manager 2011 foram adquiridas pela primeira vez antes de 1º</w:t>
      </w:r>
      <w:r w:rsidR="004B3506" w:rsidRPr="00653421">
        <w:rPr>
          <w:rFonts w:cs="Tahoma"/>
          <w:color w:val="000000"/>
          <w:szCs w:val="24"/>
        </w:rPr>
        <w:t> </w:t>
      </w:r>
      <w:r w:rsidRPr="00653421">
        <w:rPr>
          <w:rFonts w:cs="Tahoma"/>
          <w:color w:val="000000"/>
          <w:szCs w:val="24"/>
        </w:rPr>
        <w:t>de</w:t>
      </w:r>
      <w:r w:rsidR="004B3506" w:rsidRPr="00653421">
        <w:rPr>
          <w:rFonts w:cs="Tahoma"/>
          <w:color w:val="000000"/>
          <w:szCs w:val="24"/>
        </w:rPr>
        <w:t> </w:t>
      </w:r>
      <w:r w:rsidRPr="00653421">
        <w:rPr>
          <w:rFonts w:cs="Tahoma"/>
          <w:color w:val="000000"/>
          <w:szCs w:val="24"/>
        </w:rPr>
        <w:t>abril de 2012 também estarão qualificadas para MLs de Cliente d Windows Embedded Device Manager</w:t>
      </w:r>
      <w:r w:rsidR="004B3506" w:rsidRPr="00653421">
        <w:rPr>
          <w:rFonts w:cs="Tahoma"/>
          <w:color w:val="000000"/>
          <w:szCs w:val="24"/>
        </w:rPr>
        <w:t> </w:t>
      </w:r>
      <w:r w:rsidRPr="00653421">
        <w:rPr>
          <w:rFonts w:cs="Tahoma"/>
          <w:color w:val="000000"/>
          <w:szCs w:val="24"/>
        </w:rPr>
        <w:t>2011 de acordo com esta oferta.</w:t>
      </w:r>
    </w:p>
    <w:p w:rsidR="00ED12C0" w:rsidRPr="00653421" w:rsidRDefault="00ED12C0" w:rsidP="00376D4B">
      <w:pPr>
        <w:ind w:left="720"/>
      </w:pPr>
    </w:p>
    <w:p w:rsidR="00ED12C0" w:rsidRPr="00653421" w:rsidRDefault="00ED12C0" w:rsidP="00376D4B">
      <w:pPr>
        <w:ind w:left="720"/>
      </w:pPr>
      <w:r w:rsidRPr="00653421">
        <w:rPr>
          <w:rFonts w:cs="Tahoma"/>
          <w:color w:val="000000"/>
          <w:szCs w:val="24"/>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5A52A2" w:rsidRPr="00653421">
        <w:rPr>
          <w:rFonts w:cs="Tahoma"/>
          <w:color w:val="000000"/>
          <w:szCs w:val="24"/>
        </w:rPr>
        <w:t xml:space="preserve"> </w:t>
      </w:r>
      <w:r w:rsidRPr="00653421">
        <w:rPr>
          <w:rFonts w:cs="Tahoma"/>
          <w:color w:val="000000"/>
          <w:szCs w:val="24"/>
        </w:rPr>
        <w:t>Esses direitos só se tornarão permanentes se a opção de compra (“buy-out”) for exercida e continuarão sujeitos a todos os termos e condições do contrato de licença do cliente.</w:t>
      </w:r>
    </w:p>
    <w:p w:rsidR="00A40838" w:rsidRPr="00653421" w:rsidRDefault="00A40838" w:rsidP="00376D4B">
      <w:pPr>
        <w:ind w:left="720"/>
      </w:pPr>
    </w:p>
    <w:p w:rsidR="005D5C95" w:rsidRPr="00653421" w:rsidRDefault="005D5C95" w:rsidP="00376D4B">
      <w:pPr>
        <w:ind w:left="720"/>
      </w:pPr>
    </w:p>
    <w:p w:rsidR="005D5C95" w:rsidRPr="00653421" w:rsidRDefault="00F66FB0" w:rsidP="00362A5E">
      <w:pPr>
        <w:pStyle w:val="Heading2"/>
        <w:ind w:left="252" w:hanging="252"/>
      </w:pPr>
      <w:bookmarkStart w:id="1547" w:name="_96_Windows_Embedded"/>
      <w:bookmarkStart w:id="1548" w:name="_97_Windows_Embedded"/>
      <w:bookmarkStart w:id="1549" w:name="_Toc353471003"/>
      <w:bookmarkStart w:id="1550" w:name="Srv_108EBS2008StandardPrem"/>
      <w:bookmarkEnd w:id="1547"/>
      <w:bookmarkEnd w:id="1548"/>
      <w:r w:rsidRPr="00653421">
        <w:rPr>
          <w:rFonts w:ascii="Tahoma" w:hAnsi="Tahoma" w:cs="Tahoma"/>
          <w:caps/>
          <w:color w:val="FF6600"/>
          <w:sz w:val="22"/>
          <w:vertAlign w:val="superscript"/>
        </w:rPr>
        <w:t>97</w:t>
      </w:r>
      <w:r w:rsidRPr="00653421">
        <w:rPr>
          <w:rFonts w:ascii="Tahoma" w:hAnsi="Tahoma" w:cs="Tahoma"/>
          <w:color w:val="FF6600"/>
        </w:rPr>
        <w:t xml:space="preserve"> </w:t>
      </w:r>
      <w:r w:rsidRPr="00653421">
        <w:rPr>
          <w:rFonts w:ascii="Tahoma" w:hAnsi="Tahoma" w:cs="Tahoma"/>
          <w:color w:val="FF6600"/>
          <w:sz w:val="22"/>
        </w:rPr>
        <w:t>Windows Embedded Device Manager 2011 – Licença de Gerenciamento de</w:t>
      </w:r>
      <w:r w:rsidR="00362A5E" w:rsidRPr="00653421">
        <w:rPr>
          <w:rFonts w:ascii="Tahoma" w:hAnsi="Tahoma" w:cs="Tahoma"/>
          <w:color w:val="FF6600"/>
          <w:sz w:val="22"/>
        </w:rPr>
        <w:t> </w:t>
      </w:r>
      <w:r w:rsidRPr="00653421">
        <w:rPr>
          <w:rFonts w:ascii="Tahoma" w:hAnsi="Tahoma" w:cs="Tahoma"/>
          <w:color w:val="FF6600"/>
          <w:sz w:val="22"/>
        </w:rPr>
        <w:t>Clientes</w:t>
      </w:r>
      <w:bookmarkEnd w:id="1549"/>
    </w:p>
    <w:p w:rsidR="005D5C95" w:rsidRPr="00653421" w:rsidRDefault="005D5C95" w:rsidP="005D5C95"/>
    <w:p w:rsidR="005D5C95" w:rsidRPr="00653421" w:rsidRDefault="005D5C95" w:rsidP="005D5C95">
      <w:pPr>
        <w:pStyle w:val="EndnoteText"/>
        <w:ind w:left="720"/>
      </w:pPr>
      <w:r w:rsidRPr="00653421">
        <w:rPr>
          <w:rFonts w:ascii="Tahoma" w:hAnsi="Tahoma" w:cs="Tahoma"/>
          <w:color w:val="000000"/>
          <w:sz w:val="18"/>
        </w:rPr>
        <w:t>Este produto encontra-se no status EOL (Fim da Vida Útil) e não será mais oferecido.</w:t>
      </w:r>
    </w:p>
    <w:p w:rsidR="005D5C95" w:rsidRPr="00653421" w:rsidRDefault="005D5C95" w:rsidP="005D5C95">
      <w:pPr>
        <w:pStyle w:val="EndnoteText"/>
        <w:ind w:left="720"/>
      </w:pPr>
    </w:p>
    <w:p w:rsidR="005D5C95" w:rsidRPr="00653421" w:rsidRDefault="005D5C95" w:rsidP="007A34E3">
      <w:pPr>
        <w:pStyle w:val="EndnoteText"/>
        <w:spacing w:after="60"/>
        <w:ind w:left="720"/>
      </w:pPr>
      <w:r w:rsidRPr="00653421">
        <w:rPr>
          <w:rFonts w:ascii="Tahoma" w:hAnsi="Tahoma" w:cs="Tahoma"/>
          <w:b/>
          <w:color w:val="000000"/>
          <w:sz w:val="18"/>
        </w:rPr>
        <w:t>Outorga de Licença Única para Titulares de Licenças do Windows Embedded Device Manager 2011 – Licença de Gerenciamento de Clientes com Software Assurance Ativo</w:t>
      </w:r>
    </w:p>
    <w:p w:rsidR="005D5C95" w:rsidRPr="00653421" w:rsidRDefault="005D5C95" w:rsidP="005D5C95">
      <w:pPr>
        <w:pStyle w:val="EndnoteText"/>
        <w:ind w:left="720"/>
      </w:pPr>
      <w:r w:rsidRPr="00653421">
        <w:rPr>
          <w:rFonts w:ascii="Tahoma" w:hAnsi="Tahoma" w:cs="Tahoma"/>
          <w:color w:val="000000"/>
          <w:sz w:val="18"/>
        </w:rPr>
        <w:t>Como exceção única relacionada à descontinuação das licenças de Gerenciamento de Clientes do Windows Embedded Device Manager 2011 (por OSE/Usuário), será fornecido aos clientes de Software Assurance que</w:t>
      </w:r>
      <w:r w:rsidR="004B3506" w:rsidRPr="00653421">
        <w:rPr>
          <w:rFonts w:ascii="Tahoma" w:hAnsi="Tahoma" w:cs="Tahoma"/>
          <w:color w:val="000000"/>
          <w:sz w:val="18"/>
        </w:rPr>
        <w:t> </w:t>
      </w:r>
      <w:r w:rsidRPr="00653421">
        <w:rPr>
          <w:rFonts w:ascii="Tahoma" w:hAnsi="Tahoma" w:cs="Tahoma"/>
          <w:color w:val="000000"/>
          <w:sz w:val="18"/>
        </w:rPr>
        <w:t>tiverem cobertura em 1º de janeiro de 2013 o mesmo número de licenças de Gerenciamento de Clientes do System Center 2012 Configuration Manager (por OSE/Usuário).</w:t>
      </w:r>
    </w:p>
    <w:p w:rsidR="005D5C95" w:rsidRPr="00653421" w:rsidRDefault="005D5C95" w:rsidP="005D5C95">
      <w:pPr>
        <w:pStyle w:val="EndnoteText"/>
        <w:ind w:left="720"/>
      </w:pPr>
      <w:r w:rsidRPr="00653421">
        <w:rPr>
          <w:rFonts w:ascii="Tahoma" w:hAnsi="Tahoma" w:cs="Tahoma"/>
          <w:color w:val="000000"/>
          <w:sz w:val="18"/>
        </w:rPr>
        <w:lastRenderedPageBreak/>
        <w:t>Todas as licenças concedidas sob esta oferta incluirão cobertura do Software Assurance. Essa cobertura se</w:t>
      </w:r>
      <w:r w:rsidR="004B3506" w:rsidRPr="00653421">
        <w:rPr>
          <w:rFonts w:ascii="Tahoma" w:hAnsi="Tahoma" w:cs="Tahoma"/>
          <w:color w:val="000000"/>
          <w:sz w:val="18"/>
        </w:rPr>
        <w:t> </w:t>
      </w:r>
      <w:r w:rsidRPr="00653421">
        <w:rPr>
          <w:rFonts w:ascii="Tahoma" w:hAnsi="Tahoma" w:cs="Tahoma"/>
          <w:color w:val="000000"/>
          <w:sz w:val="18"/>
        </w:rPr>
        <w:t xml:space="preserve">encerrará no término da cobertura nas licenças qualificadas. Ao término dessa cobertura, os clientes poderão renovar o Software Assurance sobre as licenças outorgadas. </w:t>
      </w:r>
    </w:p>
    <w:p w:rsidR="005D5C95" w:rsidRPr="00653421" w:rsidRDefault="005D5C95" w:rsidP="005D5C95">
      <w:pPr>
        <w:pStyle w:val="EndnoteText"/>
        <w:ind w:left="720"/>
      </w:pPr>
    </w:p>
    <w:p w:rsidR="005D5C95" w:rsidRPr="00653421" w:rsidRDefault="005D5C95" w:rsidP="005D5C95">
      <w:pPr>
        <w:pStyle w:val="EndnoteText"/>
        <w:ind w:left="720"/>
      </w:pPr>
      <w:r w:rsidRPr="00653421">
        <w:rPr>
          <w:rFonts w:ascii="Tahoma" w:hAnsi="Tahoma" w:cs="Tahoma"/>
          <w:color w:val="000000"/>
          <w:sz w:val="18"/>
        </w:rPr>
        <w:t>O uso que um cliente faz do software outorgado sob esta oferta está sujeito aos termos e condições de seu</w:t>
      </w:r>
      <w:r w:rsidR="004B3506" w:rsidRPr="00653421">
        <w:rPr>
          <w:rFonts w:ascii="Tahoma" w:hAnsi="Tahoma" w:cs="Tahoma"/>
          <w:color w:val="000000"/>
          <w:sz w:val="18"/>
        </w:rPr>
        <w:t> </w:t>
      </w:r>
      <w:r w:rsidRPr="00653421">
        <w:rPr>
          <w:rFonts w:ascii="Tahoma" w:hAnsi="Tahoma" w:cs="Tahoma"/>
          <w:color w:val="000000"/>
          <w:sz w:val="18"/>
        </w:rPr>
        <w:t>contrato de licença e aos direitos de uso de produto relacionados ao software. O direito de usar o software outorgado expirará quando o direito de usar o software de acordo com a licença qualificada de 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w:t>
      </w:r>
      <w:r w:rsidR="004B3506" w:rsidRPr="00653421">
        <w:rPr>
          <w:rFonts w:ascii="Tahoma" w:hAnsi="Tahoma" w:cs="Tahoma"/>
          <w:color w:val="000000"/>
          <w:sz w:val="18"/>
        </w:rPr>
        <w:t> </w:t>
      </w:r>
      <w:r w:rsidRPr="00653421">
        <w:rPr>
          <w:rFonts w:ascii="Tahoma" w:hAnsi="Tahoma" w:cs="Tahoma"/>
          <w:color w:val="000000"/>
          <w:sz w:val="18"/>
        </w:rPr>
        <w:t>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rsidR="005D5C95" w:rsidRPr="00653421" w:rsidRDefault="005D5C95" w:rsidP="005D5C95">
      <w:pPr>
        <w:pStyle w:val="EndnoteText"/>
        <w:ind w:left="720"/>
      </w:pPr>
    </w:p>
    <w:p w:rsidR="005D5C95" w:rsidRPr="00653421" w:rsidRDefault="005D5C95" w:rsidP="005D5C95">
      <w:pPr>
        <w:ind w:left="720"/>
      </w:pPr>
      <w:r w:rsidRPr="00653421">
        <w:rPr>
          <w:rFonts w:cs="Tahoma"/>
          <w:color w:val="000000"/>
          <w:szCs w:val="24"/>
        </w:rPr>
        <w:t>As licenças de Gerenciamento de Clientes do Windows Embedded Device Manager 2011 adquiridas após 1º</w:t>
      </w:r>
      <w:r w:rsidR="004B3506" w:rsidRPr="00653421">
        <w:rPr>
          <w:rFonts w:cs="Tahoma"/>
          <w:color w:val="000000"/>
          <w:szCs w:val="24"/>
        </w:rPr>
        <w:t> </w:t>
      </w:r>
      <w:r w:rsidRPr="00653421">
        <w:rPr>
          <w:rFonts w:cs="Tahoma"/>
          <w:color w:val="000000"/>
          <w:szCs w:val="24"/>
        </w:rPr>
        <w:t>de janeiro de 2013 como parte do processo anual de adequação (“true-up”) para Registros Enterprise sob os quais as licenças de Gerenciamento de Clientes do Windows Embedded Device Manager 2011 foram</w:t>
      </w:r>
      <w:r w:rsidR="004B3506" w:rsidRPr="00653421">
        <w:rPr>
          <w:rFonts w:cs="Tahoma"/>
          <w:color w:val="000000"/>
          <w:szCs w:val="24"/>
        </w:rPr>
        <w:t> </w:t>
      </w:r>
      <w:r w:rsidRPr="00653421">
        <w:rPr>
          <w:rFonts w:cs="Tahoma"/>
          <w:color w:val="000000"/>
          <w:szCs w:val="24"/>
        </w:rPr>
        <w:t>adquiridas pela primeira vez antes de 1º de janeiro de 2013 também estarão qualificadas para MLs de Cliente do System Center 2012 Configuration Manager de acordo com esta oferta.</w:t>
      </w:r>
    </w:p>
    <w:p w:rsidR="004B3506" w:rsidRPr="00653421" w:rsidRDefault="004B3506" w:rsidP="005D5C95">
      <w:pPr>
        <w:ind w:left="720"/>
      </w:pPr>
    </w:p>
    <w:p w:rsidR="005D5C95" w:rsidRPr="00653421" w:rsidRDefault="005D5C95" w:rsidP="005D5C95">
      <w:pPr>
        <w:ind w:left="720"/>
      </w:pPr>
      <w:r w:rsidRPr="00653421">
        <w:rPr>
          <w:rFonts w:cs="Tahoma"/>
          <w:color w:val="000000"/>
          <w:szCs w:val="24"/>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5A52A2" w:rsidRPr="00653421">
        <w:rPr>
          <w:rFonts w:cs="Tahoma"/>
          <w:color w:val="000000"/>
          <w:szCs w:val="24"/>
        </w:rPr>
        <w:t xml:space="preserve"> </w:t>
      </w:r>
      <w:r w:rsidRPr="00653421">
        <w:rPr>
          <w:rFonts w:cs="Tahoma"/>
          <w:color w:val="000000"/>
          <w:szCs w:val="24"/>
        </w:rPr>
        <w:t>Esses direitos só se tornarão permanentes se a opção de compra (“buy-out”) for exercida e continuarão sujeitos a todos os termos e condições do contrato de licença do cliente.</w:t>
      </w:r>
    </w:p>
    <w:p w:rsidR="005D5C95" w:rsidRPr="00653421" w:rsidRDefault="005D5C95" w:rsidP="005D5C95">
      <w:pPr>
        <w:ind w:left="720"/>
      </w:pPr>
    </w:p>
    <w:p w:rsidR="005D5C95" w:rsidRPr="00653421" w:rsidRDefault="005D5C95" w:rsidP="005D5C95">
      <w:pPr>
        <w:ind w:left="720"/>
      </w:pPr>
      <w:r w:rsidRPr="00653421">
        <w:rPr>
          <w:rFonts w:cs="Tahoma"/>
          <w:color w:val="000000"/>
          <w:szCs w:val="24"/>
        </w:rPr>
        <w:t>Os direitos de downgrade da versão podem ser aplicados a todas as Licenças de Gerenciamento de Clientes do System Center 2012 Configuration Manager 2012 concedidas.</w:t>
      </w:r>
    </w:p>
    <w:p w:rsidR="00ED12C0" w:rsidRPr="00653421" w:rsidRDefault="00ED12C0" w:rsidP="00ED12C0">
      <w:pPr>
        <w:ind w:left="900"/>
      </w:pPr>
    </w:p>
    <w:p w:rsidR="00A8709E" w:rsidRPr="00653421" w:rsidRDefault="00A8709E" w:rsidP="00ED12C0">
      <w:pPr>
        <w:ind w:left="900"/>
      </w:pPr>
    </w:p>
    <w:p w:rsidR="00A6493D" w:rsidRPr="00653421" w:rsidRDefault="00F66FB0" w:rsidP="00A6493D">
      <w:pPr>
        <w:pStyle w:val="Heading3"/>
      </w:pPr>
      <w:bookmarkStart w:id="1551" w:name="_107_EBS_2008"/>
      <w:bookmarkStart w:id="1552" w:name="_95_EBS_2008"/>
      <w:bookmarkStart w:id="1553" w:name="_98_Windows_EBS"/>
      <w:bookmarkStart w:id="1554" w:name="_Toc336338364"/>
      <w:bookmarkStart w:id="1555" w:name="_Toc353471004"/>
      <w:bookmarkStart w:id="1556" w:name="Srv_101WindowsEssBusSvrStdPrem"/>
      <w:bookmarkEnd w:id="1551"/>
      <w:bookmarkEnd w:id="1552"/>
      <w:bookmarkEnd w:id="1553"/>
      <w:r w:rsidRPr="00653421">
        <w:rPr>
          <w:rFonts w:ascii="Tahoma" w:hAnsi="Tahoma"/>
          <w:caps/>
          <w:color w:val="F66400"/>
          <w:sz w:val="22"/>
          <w:vertAlign w:val="superscript"/>
        </w:rPr>
        <w:t>98</w:t>
      </w:r>
      <w:r w:rsidRPr="00653421">
        <w:rPr>
          <w:rFonts w:ascii="Tahoma" w:hAnsi="Tahoma"/>
          <w:caps/>
          <w:color w:val="F66400"/>
          <w:sz w:val="24"/>
        </w:rPr>
        <w:t xml:space="preserve"> </w:t>
      </w:r>
      <w:r w:rsidRPr="00653421">
        <w:rPr>
          <w:rFonts w:ascii="Tahoma" w:hAnsi="Tahoma"/>
          <w:color w:val="F66400"/>
          <w:sz w:val="22"/>
          <w:szCs w:val="22"/>
        </w:rPr>
        <w:t>Windows EBS 2008 Standard e EBS 2008 Premium</w:t>
      </w:r>
      <w:bookmarkEnd w:id="1550"/>
      <w:bookmarkEnd w:id="1554"/>
      <w:bookmarkEnd w:id="1555"/>
    </w:p>
    <w:bookmarkEnd w:id="1546"/>
    <w:bookmarkEnd w:id="1556"/>
    <w:p w:rsidR="00113634" w:rsidRPr="00653421" w:rsidRDefault="00113634" w:rsidP="00113634"/>
    <w:p w:rsidR="00113634" w:rsidRPr="00653421" w:rsidRDefault="00113634" w:rsidP="00376D4B">
      <w:pPr>
        <w:pStyle w:val="EndnoteText"/>
        <w:ind w:left="720"/>
      </w:pPr>
      <w:r w:rsidRPr="00653421">
        <w:rPr>
          <w:rFonts w:ascii="Tahoma" w:hAnsi="Tahoma" w:cs="Tahoma"/>
          <w:sz w:val="18"/>
          <w:szCs w:val="18"/>
        </w:rPr>
        <w:t>Estes produtos encontram-se no status EOL (Fim da Vida Útil) e não serão mais oferecidos.</w:t>
      </w:r>
    </w:p>
    <w:p w:rsidR="00113634" w:rsidRPr="00653421" w:rsidRDefault="00113634" w:rsidP="00376D4B">
      <w:pPr>
        <w:pStyle w:val="EndnoteText"/>
        <w:ind w:left="720"/>
        <w:rPr>
          <w:rFonts w:ascii="Tahoma" w:hAnsi="Tahoma" w:cs="Tahoma"/>
          <w:sz w:val="18"/>
          <w:szCs w:val="18"/>
        </w:rPr>
      </w:pPr>
    </w:p>
    <w:p w:rsidR="00113634" w:rsidRPr="00653421" w:rsidRDefault="00113634" w:rsidP="00B76943">
      <w:pPr>
        <w:pStyle w:val="EndnoteText"/>
        <w:spacing w:after="60"/>
        <w:ind w:left="720"/>
      </w:pPr>
      <w:r w:rsidRPr="00653421">
        <w:rPr>
          <w:rFonts w:ascii="Tahoma" w:hAnsi="Tahoma" w:cs="Tahoma"/>
          <w:b/>
          <w:sz w:val="18"/>
          <w:szCs w:val="18"/>
        </w:rPr>
        <w:t>Outorga de Licença única para titulares de licenças do EBS 2008 Standard e do EBS</w:t>
      </w:r>
      <w:r w:rsidR="004B3506" w:rsidRPr="00653421">
        <w:rPr>
          <w:rFonts w:ascii="Tahoma" w:hAnsi="Tahoma" w:cs="Tahoma"/>
          <w:b/>
          <w:sz w:val="18"/>
          <w:szCs w:val="18"/>
        </w:rPr>
        <w:t> </w:t>
      </w:r>
      <w:r w:rsidRPr="00653421">
        <w:rPr>
          <w:rFonts w:ascii="Tahoma" w:hAnsi="Tahoma" w:cs="Tahoma"/>
          <w:b/>
          <w:sz w:val="18"/>
          <w:szCs w:val="18"/>
        </w:rPr>
        <w:t>2008</w:t>
      </w:r>
      <w:r w:rsidR="004B3506" w:rsidRPr="00653421">
        <w:rPr>
          <w:rFonts w:ascii="Tahoma" w:hAnsi="Tahoma" w:cs="Tahoma"/>
          <w:b/>
          <w:sz w:val="18"/>
          <w:szCs w:val="18"/>
        </w:rPr>
        <w:t> </w:t>
      </w:r>
      <w:r w:rsidRPr="00653421">
        <w:rPr>
          <w:rFonts w:ascii="Tahoma" w:hAnsi="Tahoma" w:cs="Tahoma"/>
          <w:b/>
          <w:sz w:val="18"/>
          <w:szCs w:val="18"/>
        </w:rPr>
        <w:t>Premium</w:t>
      </w:r>
    </w:p>
    <w:p w:rsidR="00113634" w:rsidRPr="00071601" w:rsidRDefault="00113634" w:rsidP="00B76943">
      <w:pPr>
        <w:pStyle w:val="ListParagraph"/>
        <w:contextualSpacing w:val="0"/>
        <w:rPr>
          <w:rFonts w:ascii="Tahoma" w:hAnsi="Tahoma" w:cs="Tahoma"/>
          <w:sz w:val="18"/>
          <w:szCs w:val="18"/>
        </w:rPr>
      </w:pPr>
      <w:r w:rsidRPr="00071601">
        <w:rPr>
          <w:rFonts w:ascii="Tahoma" w:hAnsi="Tahoma" w:cs="Tahoma"/>
          <w:sz w:val="18"/>
          <w:szCs w:val="18"/>
          <w:u w:val="single"/>
        </w:rPr>
        <w:t>Todos os clientes do Licenciamento por Volume para o Windows Essential Business Server 2008 (EBS) Standard e Premium</w:t>
      </w:r>
      <w:r w:rsidRPr="00071601">
        <w:rPr>
          <w:rFonts w:ascii="Tahoma" w:hAnsi="Tahoma" w:cs="Tahoma"/>
          <w:b/>
          <w:sz w:val="18"/>
          <w:szCs w:val="18"/>
        </w:rPr>
        <w:t xml:space="preserve"> </w:t>
      </w:r>
      <w:r w:rsidRPr="00071601">
        <w:rPr>
          <w:rFonts w:ascii="Tahoma" w:hAnsi="Tahoma" w:cs="Tahoma"/>
          <w:sz w:val="18"/>
          <w:szCs w:val="18"/>
        </w:rPr>
        <w:t>estarão qualificados para as seguintes licenças gratuitas para cada licença do EBS</w:t>
      </w:r>
      <w:r w:rsidR="004B3506" w:rsidRPr="00071601">
        <w:rPr>
          <w:rFonts w:ascii="Tahoma" w:hAnsi="Tahoma" w:cs="Tahoma"/>
          <w:sz w:val="18"/>
          <w:szCs w:val="18"/>
        </w:rPr>
        <w:t> </w:t>
      </w:r>
      <w:r w:rsidRPr="00071601">
        <w:rPr>
          <w:rFonts w:ascii="Tahoma" w:hAnsi="Tahoma" w:cs="Tahoma"/>
          <w:sz w:val="18"/>
          <w:szCs w:val="18"/>
        </w:rPr>
        <w:t>2008</w:t>
      </w:r>
      <w:r w:rsidR="004B3506" w:rsidRPr="00071601">
        <w:rPr>
          <w:rFonts w:ascii="Tahoma" w:hAnsi="Tahoma" w:cs="Tahoma"/>
          <w:sz w:val="18"/>
          <w:szCs w:val="18"/>
        </w:rPr>
        <w:t> </w:t>
      </w:r>
      <w:r w:rsidRPr="00071601">
        <w:rPr>
          <w:rFonts w:ascii="Tahoma" w:hAnsi="Tahoma" w:cs="Tahoma"/>
          <w:sz w:val="18"/>
          <w:szCs w:val="18"/>
        </w:rPr>
        <w:t>Standard ou Premium que tiverem a partir de 1° de julho de 2010:</w:t>
      </w:r>
    </w:p>
    <w:p w:rsidR="00A6493D" w:rsidRPr="00071601" w:rsidRDefault="00A6493D" w:rsidP="00E63984">
      <w:pPr>
        <w:pStyle w:val="ListParagraph"/>
        <w:ind w:left="1260"/>
        <w:contextualSpacing w:val="0"/>
        <w:rPr>
          <w:rFonts w:ascii="Tahoma" w:hAnsi="Tahoma" w:cs="Tahoma"/>
          <w:sz w:val="18"/>
          <w:szCs w:val="18"/>
        </w:rPr>
      </w:pPr>
    </w:p>
    <w:p w:rsidR="00113634" w:rsidRPr="00071601" w:rsidRDefault="00113634" w:rsidP="00957DE8">
      <w:pPr>
        <w:pStyle w:val="ListParagraph"/>
        <w:numPr>
          <w:ilvl w:val="0"/>
          <w:numId w:val="27"/>
        </w:numPr>
        <w:spacing w:after="60"/>
        <w:ind w:left="1440"/>
        <w:contextualSpacing w:val="0"/>
        <w:rPr>
          <w:rFonts w:ascii="Tahoma" w:hAnsi="Tahoma" w:cs="Tahoma"/>
          <w:sz w:val="18"/>
          <w:szCs w:val="18"/>
        </w:rPr>
      </w:pPr>
      <w:r w:rsidRPr="00071601">
        <w:rPr>
          <w:rFonts w:ascii="Tahoma" w:hAnsi="Tahoma" w:cs="Tahoma"/>
          <w:sz w:val="18"/>
          <w:szCs w:val="18"/>
        </w:rPr>
        <w:t>3 licenças de software para o Windows Server 2008 Standard</w:t>
      </w:r>
    </w:p>
    <w:p w:rsidR="00113634" w:rsidRPr="00071601" w:rsidRDefault="00113634" w:rsidP="00957DE8">
      <w:pPr>
        <w:pStyle w:val="ListParagraph"/>
        <w:numPr>
          <w:ilvl w:val="0"/>
          <w:numId w:val="27"/>
        </w:numPr>
        <w:spacing w:after="60"/>
        <w:ind w:left="1440"/>
        <w:contextualSpacing w:val="0"/>
        <w:rPr>
          <w:rFonts w:ascii="Tahoma" w:hAnsi="Tahoma" w:cs="Tahoma"/>
          <w:sz w:val="18"/>
          <w:szCs w:val="18"/>
        </w:rPr>
      </w:pPr>
      <w:r w:rsidRPr="00071601">
        <w:rPr>
          <w:rFonts w:ascii="Tahoma" w:hAnsi="Tahoma" w:cs="Tahoma"/>
          <w:sz w:val="18"/>
          <w:szCs w:val="18"/>
        </w:rPr>
        <w:t>2 licenças de software para o Exchange Server 2007 Standard</w:t>
      </w:r>
    </w:p>
    <w:p w:rsidR="00113634" w:rsidRPr="00071601" w:rsidRDefault="00113634" w:rsidP="00957DE8">
      <w:pPr>
        <w:pStyle w:val="ListParagraph"/>
        <w:numPr>
          <w:ilvl w:val="0"/>
          <w:numId w:val="27"/>
        </w:numPr>
        <w:spacing w:after="60"/>
        <w:ind w:left="1440"/>
        <w:contextualSpacing w:val="0"/>
        <w:rPr>
          <w:rFonts w:ascii="Tahoma" w:hAnsi="Tahoma" w:cs="Tahoma"/>
          <w:sz w:val="18"/>
          <w:szCs w:val="18"/>
        </w:rPr>
      </w:pPr>
      <w:r w:rsidRPr="00071601">
        <w:rPr>
          <w:rFonts w:ascii="Tahoma" w:hAnsi="Tahoma" w:cs="Tahoma"/>
          <w:sz w:val="18"/>
          <w:szCs w:val="18"/>
        </w:rPr>
        <w:t>1 licença de software para o System Center Essentials 2007 e 10 licenças de gerenciamento de</w:t>
      </w:r>
      <w:r w:rsidR="004B3506" w:rsidRPr="00071601">
        <w:rPr>
          <w:rFonts w:ascii="Tahoma" w:hAnsi="Tahoma" w:cs="Tahoma"/>
          <w:sz w:val="18"/>
          <w:szCs w:val="18"/>
        </w:rPr>
        <w:t> </w:t>
      </w:r>
      <w:r w:rsidRPr="00071601">
        <w:rPr>
          <w:rFonts w:ascii="Tahoma" w:hAnsi="Tahoma" w:cs="Tahoma"/>
          <w:sz w:val="18"/>
          <w:szCs w:val="18"/>
        </w:rPr>
        <w:t>Servidor e 50 de Cliente</w:t>
      </w:r>
    </w:p>
    <w:p w:rsidR="00113634" w:rsidRPr="00071601" w:rsidRDefault="00113634" w:rsidP="00E63984">
      <w:pPr>
        <w:ind w:left="1260"/>
        <w:rPr>
          <w:rFonts w:cs="Tahoma"/>
          <w:szCs w:val="18"/>
        </w:rPr>
      </w:pPr>
    </w:p>
    <w:p w:rsidR="00113634" w:rsidRPr="00071601" w:rsidRDefault="00113634" w:rsidP="00B76943">
      <w:pPr>
        <w:ind w:left="720"/>
        <w:rPr>
          <w:rFonts w:cs="Tahoma"/>
          <w:szCs w:val="18"/>
        </w:rPr>
      </w:pPr>
      <w:r w:rsidRPr="00071601">
        <w:rPr>
          <w:rFonts w:cs="Tahoma"/>
          <w:szCs w:val="18"/>
        </w:rPr>
        <w:t>O contrato de Licenciamento por Volume dos clientes e esta nota de condição do produto são evidências dessas licenças gratuitas.</w:t>
      </w:r>
      <w:r w:rsidR="005A52A2" w:rsidRPr="00071601">
        <w:rPr>
          <w:rFonts w:cs="Tahoma"/>
          <w:szCs w:val="18"/>
        </w:rPr>
        <w:t xml:space="preserve"> </w:t>
      </w:r>
      <w:r w:rsidRPr="00071601">
        <w:rPr>
          <w:rFonts w:cs="Tahoma"/>
          <w:szCs w:val="18"/>
        </w:rPr>
        <w:t>O uso do software sob as licenças gratuitas está sujeito aos termos e condições do contrato celebrado pelos clientes e aos direitos de uso dos produtos individuais.</w:t>
      </w:r>
      <w:r w:rsidR="005A52A2" w:rsidRPr="00071601">
        <w:rPr>
          <w:rFonts w:cs="Tahoma"/>
          <w:szCs w:val="18"/>
        </w:rPr>
        <w:t xml:space="preserve"> </w:t>
      </w:r>
      <w:r w:rsidRPr="00071601">
        <w:rPr>
          <w:rFonts w:cs="Tahoma"/>
          <w:szCs w:val="18"/>
        </w:rPr>
        <w:t>O direito de usar o software sob as licenças gratuitas expirará quando o direito de usar o software sob as licenças qualificadas expirar.</w:t>
      </w:r>
      <w:r w:rsidR="005A52A2" w:rsidRPr="00071601">
        <w:rPr>
          <w:rFonts w:cs="Tahoma"/>
          <w:szCs w:val="18"/>
        </w:rPr>
        <w:t xml:space="preserve"> </w:t>
      </w:r>
      <w:r w:rsidRPr="00071601">
        <w:rPr>
          <w:rFonts w:cs="Tahoma"/>
          <w:szCs w:val="18"/>
        </w:rPr>
        <w:t>As licenças gratuitas não podem ser transferidas separadamente das licenças qualificadas.</w:t>
      </w:r>
    </w:p>
    <w:p w:rsidR="00113634" w:rsidRDefault="00113634" w:rsidP="00957DE8">
      <w:pPr>
        <w:ind w:left="720"/>
        <w:rPr>
          <w:rFonts w:cs="Tahoma"/>
          <w:szCs w:val="18"/>
        </w:rPr>
      </w:pPr>
    </w:p>
    <w:p w:rsidR="00E53811" w:rsidRDefault="00E53811" w:rsidP="00957DE8">
      <w:pPr>
        <w:ind w:left="720"/>
        <w:rPr>
          <w:rFonts w:cs="Tahoma"/>
          <w:szCs w:val="18"/>
        </w:rPr>
      </w:pPr>
    </w:p>
    <w:p w:rsidR="00E53811" w:rsidRDefault="00E53811" w:rsidP="00957DE8">
      <w:pPr>
        <w:ind w:left="720"/>
        <w:rPr>
          <w:rFonts w:cs="Tahoma"/>
          <w:szCs w:val="18"/>
        </w:rPr>
      </w:pPr>
    </w:p>
    <w:p w:rsidR="00E53811" w:rsidRDefault="00E53811" w:rsidP="00957DE8">
      <w:pPr>
        <w:ind w:left="720"/>
        <w:rPr>
          <w:rFonts w:cs="Tahoma"/>
          <w:szCs w:val="18"/>
        </w:rPr>
      </w:pPr>
    </w:p>
    <w:p w:rsidR="00E53811" w:rsidRPr="00071601" w:rsidRDefault="00E53811" w:rsidP="00957DE8">
      <w:pPr>
        <w:ind w:left="720"/>
        <w:rPr>
          <w:rFonts w:cs="Tahoma"/>
          <w:szCs w:val="18"/>
        </w:rPr>
      </w:pPr>
    </w:p>
    <w:p w:rsidR="00113634" w:rsidRPr="00653421" w:rsidRDefault="00113634" w:rsidP="00957DE8">
      <w:pPr>
        <w:pStyle w:val="ListParagraph"/>
        <w:contextualSpacing w:val="0"/>
        <w:rPr>
          <w:rFonts w:ascii="Tahoma" w:hAnsi="Tahoma" w:cs="Tahoma"/>
          <w:sz w:val="18"/>
          <w:szCs w:val="18"/>
        </w:rPr>
      </w:pPr>
      <w:r w:rsidRPr="00653421">
        <w:rPr>
          <w:rFonts w:ascii="Tahoma" w:hAnsi="Tahoma" w:cs="Tahoma"/>
          <w:sz w:val="18"/>
          <w:szCs w:val="18"/>
          <w:u w:val="single"/>
        </w:rPr>
        <w:lastRenderedPageBreak/>
        <w:t>Os clientes do Licenciamento por Volume para o Windows Essential Business Server (EBS) 2008 Standard</w:t>
      </w:r>
      <w:r w:rsidRPr="00653421">
        <w:rPr>
          <w:rFonts w:ascii="Tahoma" w:hAnsi="Tahoma" w:cs="Tahoma"/>
          <w:b/>
          <w:sz w:val="18"/>
          <w:szCs w:val="18"/>
        </w:rPr>
        <w:t xml:space="preserve"> </w:t>
      </w:r>
      <w:r w:rsidRPr="00653421">
        <w:rPr>
          <w:rFonts w:ascii="Tahoma" w:hAnsi="Tahoma" w:cs="Tahoma"/>
          <w:sz w:val="18"/>
          <w:szCs w:val="18"/>
        </w:rPr>
        <w:t>estarão adicionalmente qualificados para as seguintes licenças gratuitas para cada licença do EBS 2008 Standard com cobertura do Software Assurance ativa que tiverem a partir de 1° de julho de 2010:</w:t>
      </w:r>
    </w:p>
    <w:p w:rsidR="00A6493D" w:rsidRPr="00653421" w:rsidRDefault="00A6493D" w:rsidP="00E63984">
      <w:pPr>
        <w:pStyle w:val="ListParagraph"/>
        <w:ind w:left="1260"/>
        <w:contextualSpacing w:val="0"/>
        <w:rPr>
          <w:rFonts w:ascii="Tahoma" w:hAnsi="Tahoma" w:cs="Tahoma"/>
          <w:sz w:val="18"/>
          <w:szCs w:val="18"/>
        </w:rPr>
      </w:pPr>
    </w:p>
    <w:p w:rsidR="00113634" w:rsidRPr="00653421" w:rsidRDefault="00113634" w:rsidP="00957DE8">
      <w:pPr>
        <w:pStyle w:val="ListParagraph"/>
        <w:numPr>
          <w:ilvl w:val="0"/>
          <w:numId w:val="28"/>
        </w:numPr>
        <w:spacing w:after="60"/>
        <w:ind w:left="1440"/>
        <w:contextualSpacing w:val="0"/>
        <w:rPr>
          <w:rFonts w:ascii="Tahoma" w:hAnsi="Tahoma" w:cs="Tahoma"/>
          <w:sz w:val="18"/>
          <w:szCs w:val="18"/>
        </w:rPr>
      </w:pPr>
      <w:r w:rsidRPr="00653421">
        <w:rPr>
          <w:rFonts w:ascii="Tahoma" w:hAnsi="Tahoma" w:cs="Tahoma"/>
          <w:sz w:val="18"/>
          <w:szCs w:val="18"/>
        </w:rPr>
        <w:t>3 licenças de software para o Windows Server 2008 R2 Standard</w:t>
      </w:r>
    </w:p>
    <w:p w:rsidR="00113634" w:rsidRPr="00653421" w:rsidRDefault="00113634" w:rsidP="00957DE8">
      <w:pPr>
        <w:pStyle w:val="ListParagraph"/>
        <w:numPr>
          <w:ilvl w:val="0"/>
          <w:numId w:val="28"/>
        </w:numPr>
        <w:spacing w:after="60"/>
        <w:ind w:left="1440"/>
        <w:contextualSpacing w:val="0"/>
        <w:rPr>
          <w:rFonts w:ascii="Tahoma" w:hAnsi="Tahoma" w:cs="Tahoma"/>
          <w:sz w:val="18"/>
          <w:szCs w:val="18"/>
        </w:rPr>
      </w:pPr>
      <w:r w:rsidRPr="00653421">
        <w:rPr>
          <w:rFonts w:ascii="Tahoma" w:hAnsi="Tahoma" w:cs="Tahoma"/>
          <w:sz w:val="18"/>
          <w:szCs w:val="18"/>
        </w:rPr>
        <w:t>1 licença de software para o Exchange Server 2010 Standard</w:t>
      </w:r>
    </w:p>
    <w:p w:rsidR="00113634" w:rsidRPr="00653421" w:rsidRDefault="00113634" w:rsidP="00957DE8">
      <w:pPr>
        <w:pStyle w:val="ListParagraph"/>
        <w:numPr>
          <w:ilvl w:val="0"/>
          <w:numId w:val="28"/>
        </w:numPr>
        <w:spacing w:after="60"/>
        <w:ind w:left="1440"/>
        <w:contextualSpacing w:val="0"/>
        <w:rPr>
          <w:rFonts w:ascii="Tahoma" w:hAnsi="Tahoma" w:cs="Tahoma"/>
          <w:sz w:val="18"/>
          <w:szCs w:val="18"/>
        </w:rPr>
      </w:pPr>
      <w:r w:rsidRPr="00653421">
        <w:rPr>
          <w:rFonts w:ascii="Tahoma" w:hAnsi="Tahoma" w:cs="Tahoma"/>
          <w:sz w:val="18"/>
          <w:szCs w:val="18"/>
        </w:rPr>
        <w:t>1 licença de software para o System Center Essentials 2010 e 10 licenças de gerenciamento de</w:t>
      </w:r>
      <w:r w:rsidR="004B3506" w:rsidRPr="00653421">
        <w:rPr>
          <w:rFonts w:ascii="Tahoma" w:hAnsi="Tahoma" w:cs="Tahoma"/>
          <w:sz w:val="18"/>
          <w:szCs w:val="18"/>
        </w:rPr>
        <w:t> </w:t>
      </w:r>
      <w:r w:rsidRPr="00653421">
        <w:rPr>
          <w:rFonts w:ascii="Tahoma" w:hAnsi="Tahoma" w:cs="Tahoma"/>
          <w:sz w:val="18"/>
          <w:szCs w:val="18"/>
        </w:rPr>
        <w:t>Servidor e 50 de Cliente</w:t>
      </w:r>
    </w:p>
    <w:p w:rsidR="00113634" w:rsidRPr="00653421" w:rsidRDefault="00113634" w:rsidP="00957DE8">
      <w:pPr>
        <w:pStyle w:val="ListParagraph"/>
        <w:numPr>
          <w:ilvl w:val="0"/>
          <w:numId w:val="28"/>
        </w:numPr>
        <w:spacing w:after="60"/>
        <w:ind w:left="1440"/>
        <w:contextualSpacing w:val="0"/>
        <w:rPr>
          <w:rFonts w:ascii="Tahoma" w:hAnsi="Tahoma" w:cs="Tahoma"/>
          <w:sz w:val="18"/>
          <w:szCs w:val="18"/>
        </w:rPr>
      </w:pPr>
      <w:r w:rsidRPr="00653421">
        <w:rPr>
          <w:rFonts w:ascii="Tahoma" w:hAnsi="Tahoma" w:cs="Tahoma"/>
          <w:sz w:val="18"/>
          <w:szCs w:val="18"/>
        </w:rPr>
        <w:t>1 licença de software para o Forefront Threat Management Gateway Medium Business Edition 2010</w:t>
      </w:r>
    </w:p>
    <w:p w:rsidR="00113634" w:rsidRPr="00653421" w:rsidRDefault="00113634" w:rsidP="00E63984">
      <w:pPr>
        <w:pStyle w:val="ListParagraph"/>
        <w:ind w:left="1260"/>
        <w:rPr>
          <w:rFonts w:ascii="Tahoma" w:hAnsi="Tahoma" w:cs="Tahoma"/>
          <w:sz w:val="18"/>
          <w:szCs w:val="18"/>
        </w:rPr>
      </w:pPr>
    </w:p>
    <w:p w:rsidR="00113634" w:rsidRPr="00653421" w:rsidRDefault="00113634" w:rsidP="00957DE8">
      <w:pPr>
        <w:pStyle w:val="ListParagraph"/>
        <w:rPr>
          <w:rFonts w:ascii="Tahoma" w:hAnsi="Tahoma" w:cs="Tahoma"/>
          <w:sz w:val="18"/>
          <w:szCs w:val="18"/>
        </w:rPr>
      </w:pPr>
      <w:r w:rsidRPr="00653421">
        <w:rPr>
          <w:rFonts w:ascii="Tahoma" w:hAnsi="Tahoma" w:cs="Tahoma"/>
          <w:sz w:val="18"/>
          <w:szCs w:val="18"/>
        </w:rPr>
        <w:t>(Se uma nova versão de qualquer um dos produtos acima estiver disponível sob o programa de Licenciamento por Volume sob o qual um cliente adquiriu as licenças qualificadas antes do término da</w:t>
      </w:r>
      <w:r w:rsidR="004B3506" w:rsidRPr="00653421">
        <w:rPr>
          <w:rFonts w:ascii="Tahoma" w:hAnsi="Tahoma" w:cs="Tahoma"/>
          <w:sz w:val="18"/>
          <w:szCs w:val="18"/>
        </w:rPr>
        <w:t> </w:t>
      </w:r>
      <w:r w:rsidRPr="00653421">
        <w:rPr>
          <w:rFonts w:ascii="Tahoma" w:hAnsi="Tahoma" w:cs="Tahoma"/>
          <w:sz w:val="18"/>
          <w:szCs w:val="18"/>
        </w:rPr>
        <w:t>cobertura do Software Assurance ativa para a licença do EBS 2008 Standard, o cliente estará qualificado</w:t>
      </w:r>
      <w:r w:rsidR="004B3506" w:rsidRPr="00653421">
        <w:rPr>
          <w:rFonts w:ascii="Tahoma" w:hAnsi="Tahoma" w:cs="Tahoma"/>
          <w:sz w:val="18"/>
          <w:szCs w:val="18"/>
        </w:rPr>
        <w:t> </w:t>
      </w:r>
      <w:r w:rsidRPr="00653421">
        <w:rPr>
          <w:rFonts w:ascii="Tahoma" w:hAnsi="Tahoma" w:cs="Tahoma"/>
          <w:sz w:val="18"/>
          <w:szCs w:val="18"/>
        </w:rPr>
        <w:t>para usar essa nova versão no lugar da versão especificada acima.)</w:t>
      </w:r>
    </w:p>
    <w:p w:rsidR="00113634" w:rsidRPr="00653421" w:rsidRDefault="00113634" w:rsidP="00957DE8">
      <w:pPr>
        <w:pStyle w:val="ListParagraph"/>
        <w:rPr>
          <w:rFonts w:ascii="Tahoma" w:hAnsi="Tahoma" w:cs="Tahoma"/>
          <w:sz w:val="18"/>
          <w:szCs w:val="18"/>
        </w:rPr>
      </w:pPr>
    </w:p>
    <w:p w:rsidR="00113634" w:rsidRPr="00653421" w:rsidRDefault="00113634" w:rsidP="00957DE8">
      <w:pPr>
        <w:ind w:left="720"/>
        <w:rPr>
          <w:rFonts w:cs="Tahoma"/>
          <w:szCs w:val="18"/>
        </w:rPr>
      </w:pPr>
      <w:r w:rsidRPr="00653421">
        <w:rPr>
          <w:rFonts w:cs="Tahoma"/>
          <w:szCs w:val="18"/>
        </w:rPr>
        <w:t>O contrato de Licenciamento por Volume dos clientes e esta nota de condição do produto são evidências dessas licenças gratuitas.</w:t>
      </w:r>
      <w:r w:rsidR="005A52A2" w:rsidRPr="00653421">
        <w:rPr>
          <w:rFonts w:cs="Tahoma"/>
          <w:szCs w:val="18"/>
        </w:rPr>
        <w:t xml:space="preserve"> </w:t>
      </w:r>
      <w:r w:rsidRPr="00653421">
        <w:rPr>
          <w:rFonts w:cs="Tahoma"/>
          <w:szCs w:val="18"/>
        </w:rPr>
        <w:t>O uso do software sob as licenças gratuitas está sujeito aos termos e condições do contrato celebrado pelos clientes e aos direitos de uso dos produtos individuais.</w:t>
      </w:r>
      <w:r w:rsidR="005A52A2" w:rsidRPr="00653421">
        <w:rPr>
          <w:rFonts w:cs="Tahoma"/>
          <w:szCs w:val="18"/>
        </w:rPr>
        <w:t xml:space="preserve"> </w:t>
      </w:r>
      <w:r w:rsidRPr="00653421">
        <w:rPr>
          <w:rFonts w:cs="Tahoma"/>
          <w:szCs w:val="18"/>
        </w:rPr>
        <w:t>Salvo no caso do Forefront Protection for Exchange Server 2010, o direito de usar o software sob as licenças gratuitas expirará quando o direito de usar o software sob as licenças qualificadas expirar.</w:t>
      </w:r>
      <w:r w:rsidR="005A52A2" w:rsidRPr="00653421">
        <w:rPr>
          <w:rFonts w:cs="Tahoma"/>
          <w:szCs w:val="18"/>
        </w:rPr>
        <w:t xml:space="preserve"> </w:t>
      </w:r>
      <w:r w:rsidRPr="00653421">
        <w:rPr>
          <w:rFonts w:cs="Tahoma"/>
          <w:szCs w:val="18"/>
        </w:rPr>
        <w:t>O direito de usar o Forefront Protection for Exchange Server 2010 expirará em caso de término da cobertura do Software Assurance sobre as licenças qualificadas.</w:t>
      </w:r>
      <w:r w:rsidR="005A52A2" w:rsidRPr="00653421">
        <w:rPr>
          <w:rFonts w:cs="Tahoma"/>
          <w:szCs w:val="18"/>
        </w:rPr>
        <w:t xml:space="preserve"> </w:t>
      </w:r>
      <w:r w:rsidRPr="00653421">
        <w:rPr>
          <w:rFonts w:cs="Tahoma"/>
          <w:szCs w:val="18"/>
        </w:rPr>
        <w:t>Em todos os casos, as licenças gratuitas não poderão ser transferidas separadamente das licenças qualificadas.</w:t>
      </w:r>
    </w:p>
    <w:p w:rsidR="00113634" w:rsidRPr="00653421" w:rsidRDefault="00113634" w:rsidP="00E63984">
      <w:pPr>
        <w:pStyle w:val="ListParagraph"/>
        <w:ind w:left="1260"/>
        <w:rPr>
          <w:rFonts w:ascii="Tahoma" w:hAnsi="Tahoma" w:cs="Tahoma"/>
          <w:sz w:val="18"/>
          <w:szCs w:val="18"/>
        </w:rPr>
      </w:pPr>
    </w:p>
    <w:p w:rsidR="00113634" w:rsidRPr="00653421" w:rsidRDefault="00113634" w:rsidP="00957DE8">
      <w:pPr>
        <w:tabs>
          <w:tab w:val="left" w:pos="1260"/>
        </w:tabs>
        <w:ind w:left="720"/>
        <w:rPr>
          <w:rFonts w:cs="Tahoma"/>
          <w:szCs w:val="18"/>
        </w:rPr>
      </w:pPr>
      <w:r w:rsidRPr="00653421">
        <w:rPr>
          <w:rFonts w:cs="Tahoma"/>
          <w:szCs w:val="18"/>
          <w:u w:val="single"/>
        </w:rPr>
        <w:t xml:space="preserve">Os clientes do Licenciamento por Volume para o Windows Essential Business Server (EBS) 2008 Premium </w:t>
      </w:r>
      <w:r w:rsidRPr="00653421">
        <w:rPr>
          <w:rFonts w:cs="Tahoma"/>
          <w:szCs w:val="18"/>
        </w:rPr>
        <w:t>estarão adicionalmente qualificados para as seguintes licenças gratuitas para cada licença do EBS 2008 Premium com cobertura do Software Assurance ativa que tiverem a partir de 1° de julho de 2010:</w:t>
      </w:r>
    </w:p>
    <w:p w:rsidR="00A6493D" w:rsidRPr="00653421" w:rsidRDefault="00A6493D" w:rsidP="00E63984">
      <w:pPr>
        <w:pStyle w:val="ListParagraph"/>
        <w:ind w:left="1620"/>
        <w:contextualSpacing w:val="0"/>
        <w:rPr>
          <w:rFonts w:ascii="Tahoma" w:hAnsi="Tahoma" w:cs="Tahoma"/>
          <w:sz w:val="18"/>
          <w:szCs w:val="18"/>
        </w:rPr>
      </w:pPr>
    </w:p>
    <w:p w:rsidR="00113634" w:rsidRPr="00653421" w:rsidRDefault="00113634" w:rsidP="00957DE8">
      <w:pPr>
        <w:pStyle w:val="ListParagraph"/>
        <w:numPr>
          <w:ilvl w:val="0"/>
          <w:numId w:val="29"/>
        </w:numPr>
        <w:spacing w:after="60"/>
        <w:contextualSpacing w:val="0"/>
        <w:rPr>
          <w:rFonts w:ascii="Tahoma" w:hAnsi="Tahoma" w:cs="Tahoma"/>
          <w:sz w:val="18"/>
          <w:szCs w:val="18"/>
        </w:rPr>
      </w:pPr>
      <w:r w:rsidRPr="00653421">
        <w:rPr>
          <w:rFonts w:ascii="Tahoma" w:hAnsi="Tahoma" w:cs="Tahoma"/>
          <w:sz w:val="18"/>
          <w:szCs w:val="18"/>
        </w:rPr>
        <w:t>4 licenças de software para o Windows Server 2008 R2 Standard</w:t>
      </w:r>
    </w:p>
    <w:p w:rsidR="00113634" w:rsidRPr="00653421" w:rsidRDefault="00113634" w:rsidP="00957DE8">
      <w:pPr>
        <w:pStyle w:val="ListParagraph"/>
        <w:numPr>
          <w:ilvl w:val="0"/>
          <w:numId w:val="29"/>
        </w:numPr>
        <w:spacing w:after="60"/>
        <w:contextualSpacing w:val="0"/>
        <w:rPr>
          <w:rFonts w:ascii="Tahoma" w:hAnsi="Tahoma" w:cs="Tahoma"/>
          <w:sz w:val="18"/>
          <w:szCs w:val="18"/>
        </w:rPr>
      </w:pPr>
      <w:r w:rsidRPr="00653421">
        <w:rPr>
          <w:rFonts w:ascii="Tahoma" w:hAnsi="Tahoma" w:cs="Tahoma"/>
          <w:sz w:val="18"/>
          <w:szCs w:val="18"/>
        </w:rPr>
        <w:t>1 licença de software para o SQL Server 2008 R2 Standard</w:t>
      </w:r>
    </w:p>
    <w:p w:rsidR="00113634" w:rsidRPr="00653421" w:rsidRDefault="00113634" w:rsidP="00957DE8">
      <w:pPr>
        <w:pStyle w:val="ListParagraph"/>
        <w:numPr>
          <w:ilvl w:val="0"/>
          <w:numId w:val="29"/>
        </w:numPr>
        <w:spacing w:after="60"/>
        <w:contextualSpacing w:val="0"/>
        <w:rPr>
          <w:rFonts w:ascii="Tahoma" w:hAnsi="Tahoma" w:cs="Tahoma"/>
          <w:sz w:val="18"/>
          <w:szCs w:val="18"/>
        </w:rPr>
      </w:pPr>
      <w:r w:rsidRPr="00653421">
        <w:rPr>
          <w:rFonts w:ascii="Tahoma" w:hAnsi="Tahoma" w:cs="Tahoma"/>
          <w:sz w:val="18"/>
          <w:szCs w:val="18"/>
        </w:rPr>
        <w:t>2 licenças de software para o Exchange Server 2010 Standard</w:t>
      </w:r>
    </w:p>
    <w:p w:rsidR="00113634" w:rsidRPr="00653421" w:rsidRDefault="00113634" w:rsidP="00957DE8">
      <w:pPr>
        <w:pStyle w:val="ListParagraph"/>
        <w:numPr>
          <w:ilvl w:val="0"/>
          <w:numId w:val="29"/>
        </w:numPr>
        <w:spacing w:after="60"/>
        <w:contextualSpacing w:val="0"/>
        <w:rPr>
          <w:rFonts w:ascii="Tahoma" w:hAnsi="Tahoma" w:cs="Tahoma"/>
          <w:sz w:val="18"/>
          <w:szCs w:val="18"/>
        </w:rPr>
      </w:pPr>
      <w:r w:rsidRPr="00653421">
        <w:rPr>
          <w:rFonts w:ascii="Tahoma" w:hAnsi="Tahoma" w:cs="Tahoma"/>
          <w:sz w:val="18"/>
          <w:szCs w:val="18"/>
        </w:rPr>
        <w:t>1 licença de software para o System Center Essentials 2010 e 10 licenças de gerenciamento de</w:t>
      </w:r>
      <w:r w:rsidR="00180D14" w:rsidRPr="00653421">
        <w:rPr>
          <w:rFonts w:ascii="Tahoma" w:hAnsi="Tahoma" w:cs="Tahoma"/>
          <w:sz w:val="18"/>
          <w:szCs w:val="18"/>
        </w:rPr>
        <w:t> </w:t>
      </w:r>
      <w:r w:rsidRPr="00653421">
        <w:rPr>
          <w:rFonts w:ascii="Tahoma" w:hAnsi="Tahoma" w:cs="Tahoma"/>
          <w:sz w:val="18"/>
          <w:szCs w:val="18"/>
        </w:rPr>
        <w:t>Servidor e 50 de Cliente</w:t>
      </w:r>
    </w:p>
    <w:p w:rsidR="00113634" w:rsidRPr="00653421" w:rsidRDefault="00113634" w:rsidP="00957DE8">
      <w:pPr>
        <w:pStyle w:val="ListParagraph"/>
        <w:numPr>
          <w:ilvl w:val="0"/>
          <w:numId w:val="29"/>
        </w:numPr>
        <w:spacing w:after="60"/>
        <w:contextualSpacing w:val="0"/>
        <w:rPr>
          <w:rFonts w:ascii="Tahoma" w:hAnsi="Tahoma" w:cs="Tahoma"/>
          <w:sz w:val="18"/>
          <w:szCs w:val="18"/>
        </w:rPr>
      </w:pPr>
      <w:r w:rsidRPr="00653421">
        <w:rPr>
          <w:rFonts w:ascii="Tahoma" w:hAnsi="Tahoma" w:cs="Tahoma"/>
          <w:sz w:val="18"/>
          <w:szCs w:val="18"/>
        </w:rPr>
        <w:t>1 licença de software para o Forefront Threat Management Gateway Medium Business 2010</w:t>
      </w:r>
    </w:p>
    <w:p w:rsidR="00113634" w:rsidRPr="00653421" w:rsidRDefault="00113634" w:rsidP="00957DE8">
      <w:pPr>
        <w:pStyle w:val="ListParagraph"/>
        <w:rPr>
          <w:rFonts w:ascii="Tahoma" w:hAnsi="Tahoma" w:cs="Tahoma"/>
          <w:sz w:val="18"/>
          <w:szCs w:val="18"/>
        </w:rPr>
      </w:pPr>
      <w:r w:rsidRPr="00653421">
        <w:rPr>
          <w:rFonts w:ascii="Tahoma" w:hAnsi="Tahoma" w:cs="Tahoma"/>
          <w:sz w:val="18"/>
          <w:szCs w:val="18"/>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rsidR="00113634" w:rsidRPr="00653421" w:rsidRDefault="00113634" w:rsidP="00EF2279">
      <w:pPr>
        <w:pStyle w:val="ListParagraph"/>
        <w:ind w:left="1260"/>
        <w:rPr>
          <w:rFonts w:ascii="Tahoma" w:hAnsi="Tahoma" w:cs="Tahoma"/>
          <w:sz w:val="18"/>
          <w:szCs w:val="18"/>
        </w:rPr>
      </w:pPr>
    </w:p>
    <w:p w:rsidR="00113634" w:rsidRPr="00653421" w:rsidRDefault="00113634" w:rsidP="00957DE8">
      <w:pPr>
        <w:ind w:left="720"/>
        <w:rPr>
          <w:rFonts w:cs="Tahoma"/>
          <w:szCs w:val="18"/>
        </w:rPr>
      </w:pPr>
      <w:r w:rsidRPr="00653421">
        <w:rPr>
          <w:rFonts w:cs="Tahoma"/>
          <w:szCs w:val="18"/>
        </w:rPr>
        <w:t>O contrato de Licenciamento por Volume dos clientes e esta nota de condição do produto são evidências dessas licenças gratuitas.</w:t>
      </w:r>
      <w:r w:rsidR="005A52A2" w:rsidRPr="00653421">
        <w:rPr>
          <w:rFonts w:cs="Tahoma"/>
          <w:szCs w:val="18"/>
        </w:rPr>
        <w:t xml:space="preserve"> </w:t>
      </w:r>
      <w:r w:rsidRPr="00653421">
        <w:rPr>
          <w:rFonts w:cs="Tahoma"/>
          <w:szCs w:val="18"/>
        </w:rPr>
        <w:t>O uso do software sob as licenças gratuitas está sujeito aos termos e condições do contrato celebrado pelos clientes e aos direitos de uso dos produtos individuais.</w:t>
      </w:r>
      <w:r w:rsidR="005A52A2" w:rsidRPr="00653421">
        <w:rPr>
          <w:rFonts w:cs="Tahoma"/>
          <w:szCs w:val="18"/>
        </w:rPr>
        <w:t xml:space="preserve"> </w:t>
      </w:r>
      <w:r w:rsidRPr="00653421">
        <w:rPr>
          <w:rFonts w:cs="Tahoma"/>
          <w:szCs w:val="18"/>
        </w:rPr>
        <w:t>Salvo no caso do Forefront Protection for Exchange Server 2010, o direito de usar o software sob as licenças gratuitas expirará quando o direito de usar o software sob as licenças qualificadas expirar.</w:t>
      </w:r>
      <w:r w:rsidR="005A52A2" w:rsidRPr="00653421">
        <w:rPr>
          <w:rFonts w:cs="Tahoma"/>
          <w:szCs w:val="18"/>
        </w:rPr>
        <w:t xml:space="preserve"> </w:t>
      </w:r>
      <w:r w:rsidRPr="00653421">
        <w:rPr>
          <w:rFonts w:cs="Tahoma"/>
          <w:szCs w:val="18"/>
        </w:rPr>
        <w:t>O direito de usar o Forefront Protection for Exchange Server 2010 expirará em caso de término da cobertura do Software Assurance sobre as licenças qualificadas.</w:t>
      </w:r>
      <w:r w:rsidR="005A52A2" w:rsidRPr="00653421">
        <w:rPr>
          <w:rFonts w:cs="Tahoma"/>
          <w:szCs w:val="18"/>
        </w:rPr>
        <w:t xml:space="preserve"> </w:t>
      </w:r>
      <w:r w:rsidRPr="00653421">
        <w:rPr>
          <w:rFonts w:cs="Tahoma"/>
          <w:szCs w:val="18"/>
        </w:rPr>
        <w:t>Em todos os casos, as licenças gratuitas não poderão ser transferidas separadamente das licenças qualificadas.</w:t>
      </w:r>
    </w:p>
    <w:p w:rsidR="00113634" w:rsidRPr="00653421" w:rsidRDefault="00113634" w:rsidP="00E63984">
      <w:pPr>
        <w:pStyle w:val="ListParagraph"/>
        <w:ind w:left="1800"/>
        <w:rPr>
          <w:rFonts w:ascii="Tahoma" w:hAnsi="Tahoma" w:cs="Tahoma"/>
          <w:sz w:val="18"/>
          <w:szCs w:val="18"/>
        </w:rPr>
      </w:pPr>
    </w:p>
    <w:p w:rsidR="00113634" w:rsidRPr="00653421" w:rsidRDefault="00113634" w:rsidP="00957DE8">
      <w:pPr>
        <w:pStyle w:val="ListParagraph"/>
        <w:spacing w:after="60"/>
        <w:contextualSpacing w:val="0"/>
        <w:rPr>
          <w:rFonts w:ascii="Tahoma" w:hAnsi="Tahoma" w:cs="Tahoma"/>
          <w:sz w:val="18"/>
          <w:szCs w:val="18"/>
        </w:rPr>
      </w:pPr>
      <w:r w:rsidRPr="00653421">
        <w:rPr>
          <w:rFonts w:ascii="Tahoma" w:hAnsi="Tahoma" w:cs="Tahoma"/>
          <w:b/>
          <w:sz w:val="18"/>
          <w:szCs w:val="18"/>
        </w:rPr>
        <w:t>Direitos de uso adicionais para CALs do Windows Essential Business Server (EBS) 2008</w:t>
      </w:r>
    </w:p>
    <w:p w:rsidR="00E53811" w:rsidRPr="00653421" w:rsidRDefault="00113634" w:rsidP="00E53811">
      <w:pPr>
        <w:ind w:left="720"/>
        <w:rPr>
          <w:rFonts w:cs="Tahoma"/>
          <w:szCs w:val="18"/>
        </w:rPr>
      </w:pPr>
      <w:r w:rsidRPr="00653421">
        <w:rPr>
          <w:rFonts w:cs="Tahoma"/>
          <w:szCs w:val="18"/>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rsidR="00113634" w:rsidRPr="00653421" w:rsidRDefault="00113634" w:rsidP="00957DE8">
      <w:pPr>
        <w:tabs>
          <w:tab w:val="left" w:pos="1260"/>
        </w:tabs>
        <w:ind w:left="720"/>
        <w:rPr>
          <w:rFonts w:cs="Tahoma"/>
          <w:szCs w:val="18"/>
        </w:rPr>
      </w:pPr>
      <w:r w:rsidRPr="00653421">
        <w:rPr>
          <w:rFonts w:cs="Tahoma"/>
          <w:szCs w:val="18"/>
        </w:rPr>
        <w:lastRenderedPageBreak/>
        <w:t>Para clientes com CALs do Windows Essential Business Server (EBS) 2008 com cobertura do Software Assurance ativa a partir de 1</w:t>
      </w:r>
      <w:r w:rsidRPr="00653421">
        <w:rPr>
          <w:rFonts w:cs="Tahoma"/>
          <w:szCs w:val="18"/>
          <w:vertAlign w:val="superscript"/>
        </w:rPr>
        <w:t>°</w:t>
      </w:r>
      <w:r w:rsidRPr="00653421">
        <w:rPr>
          <w:rFonts w:cs="Tahoma"/>
          <w:szCs w:val="18"/>
        </w:rPr>
        <w:t xml:space="preserve"> de julho de 2010:</w:t>
      </w:r>
    </w:p>
    <w:p w:rsidR="00A6493D" w:rsidRPr="00653421" w:rsidRDefault="00A6493D" w:rsidP="00EF2279">
      <w:pPr>
        <w:pStyle w:val="ListParagraph"/>
        <w:tabs>
          <w:tab w:val="left" w:pos="1260"/>
        </w:tabs>
        <w:ind w:left="1260"/>
        <w:contextualSpacing w:val="0"/>
        <w:rPr>
          <w:rFonts w:ascii="Tahoma" w:hAnsi="Tahoma" w:cs="Tahoma"/>
          <w:sz w:val="18"/>
          <w:szCs w:val="18"/>
        </w:rPr>
      </w:pPr>
    </w:p>
    <w:p w:rsidR="00113634" w:rsidRPr="00653421"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653421">
        <w:rPr>
          <w:rFonts w:ascii="Tahoma" w:hAnsi="Tahoma" w:cs="Tahoma"/>
          <w:sz w:val="18"/>
          <w:szCs w:val="18"/>
        </w:rPr>
        <w:t>Para cada EBS 2008 CAL Suite com cobertura do Software Assurance ativa a partir de 1</w:t>
      </w:r>
      <w:r w:rsidRPr="00653421">
        <w:rPr>
          <w:rFonts w:ascii="Tahoma" w:hAnsi="Tahoma" w:cs="Tahoma"/>
          <w:sz w:val="18"/>
          <w:szCs w:val="18"/>
          <w:vertAlign w:val="superscript"/>
        </w:rPr>
        <w:t>°</w:t>
      </w:r>
      <w:r w:rsidR="00180D14" w:rsidRPr="00653421">
        <w:rPr>
          <w:rFonts w:ascii="Tahoma" w:hAnsi="Tahoma" w:cs="Tahoma"/>
          <w:sz w:val="18"/>
          <w:szCs w:val="18"/>
        </w:rPr>
        <w:t> </w:t>
      </w:r>
      <w:r w:rsidRPr="00653421">
        <w:rPr>
          <w:rFonts w:ascii="Tahoma" w:hAnsi="Tahoma" w:cs="Tahoma"/>
          <w:sz w:val="18"/>
          <w:szCs w:val="18"/>
        </w:rPr>
        <w:t>de</w:t>
      </w:r>
      <w:r w:rsidR="00180D14" w:rsidRPr="00653421">
        <w:rPr>
          <w:rFonts w:ascii="Tahoma" w:hAnsi="Tahoma" w:cs="Tahoma"/>
          <w:sz w:val="18"/>
          <w:szCs w:val="18"/>
        </w:rPr>
        <w:t> </w:t>
      </w:r>
      <w:r w:rsidRPr="00653421">
        <w:rPr>
          <w:rFonts w:ascii="Tahoma" w:hAnsi="Tahoma" w:cs="Tahoma"/>
          <w:sz w:val="18"/>
          <w:szCs w:val="18"/>
        </w:rPr>
        <w:t>julho</w:t>
      </w:r>
      <w:r w:rsidR="00180D14" w:rsidRPr="00653421">
        <w:rPr>
          <w:rFonts w:ascii="Tahoma" w:hAnsi="Tahoma" w:cs="Tahoma"/>
          <w:sz w:val="18"/>
          <w:szCs w:val="18"/>
        </w:rPr>
        <w:t> </w:t>
      </w:r>
      <w:r w:rsidRPr="00653421">
        <w:rPr>
          <w:rFonts w:ascii="Tahoma" w:hAnsi="Tahoma" w:cs="Tahoma"/>
          <w:sz w:val="18"/>
          <w:szCs w:val="18"/>
        </w:rPr>
        <w:t>de 2010 que tiver, o cliente estará qualificado para as seguintes licenças gratuitas:</w:t>
      </w:r>
    </w:p>
    <w:p w:rsidR="00113634" w:rsidRPr="0065342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653421">
        <w:rPr>
          <w:rFonts w:ascii="Tahoma" w:hAnsi="Tahoma" w:cs="Tahoma"/>
          <w:sz w:val="18"/>
          <w:szCs w:val="18"/>
        </w:rPr>
        <w:t>1 CAL do Windows Server 2008</w:t>
      </w:r>
    </w:p>
    <w:p w:rsidR="00113634" w:rsidRPr="0065342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653421">
        <w:rPr>
          <w:rFonts w:ascii="Tahoma" w:hAnsi="Tahoma" w:cs="Tahoma"/>
          <w:sz w:val="18"/>
          <w:szCs w:val="18"/>
        </w:rPr>
        <w:t>1 CAL do Exchange Server 2010 Standard</w:t>
      </w:r>
    </w:p>
    <w:p w:rsidR="00113634" w:rsidRPr="0065342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653421">
        <w:rPr>
          <w:rFonts w:ascii="Tahoma" w:hAnsi="Tahoma" w:cs="Tahoma"/>
          <w:sz w:val="18"/>
          <w:szCs w:val="18"/>
        </w:rPr>
        <w:t>1 licença de assinatura de dispositivo ou usuário para o Forefront Protection for Exchange Server 2010</w:t>
      </w:r>
    </w:p>
    <w:p w:rsidR="00A6493D" w:rsidRPr="00653421" w:rsidRDefault="00A6493D" w:rsidP="00A434A4">
      <w:pPr>
        <w:pStyle w:val="ListParagraph"/>
        <w:tabs>
          <w:tab w:val="num" w:pos="1800"/>
        </w:tabs>
        <w:spacing w:after="60"/>
        <w:ind w:left="1800"/>
        <w:contextualSpacing w:val="0"/>
        <w:rPr>
          <w:rFonts w:ascii="Tahoma" w:hAnsi="Tahoma" w:cs="Tahoma"/>
          <w:sz w:val="18"/>
          <w:szCs w:val="18"/>
        </w:rPr>
      </w:pPr>
    </w:p>
    <w:p w:rsidR="00113634" w:rsidRPr="00653421"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653421">
        <w:rPr>
          <w:rFonts w:ascii="Tahoma" w:hAnsi="Tahoma" w:cs="Tahoma"/>
          <w:sz w:val="18"/>
          <w:szCs w:val="18"/>
        </w:rPr>
        <w:t>Para cada EBS 2008 CAL Suite para Usuários e Dispositivos Premium com cobertura do Software Assurance ativa a partir de 1° de julho de 2010 que tiver, o cliente estará qualificado para as seguintes licenças gratuitas:</w:t>
      </w:r>
    </w:p>
    <w:p w:rsidR="00113634" w:rsidRPr="0065342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653421">
        <w:rPr>
          <w:rFonts w:ascii="Tahoma" w:hAnsi="Tahoma" w:cs="Tahoma"/>
          <w:sz w:val="18"/>
          <w:szCs w:val="18"/>
        </w:rPr>
        <w:t>CAL do Windows Server 2008</w:t>
      </w:r>
    </w:p>
    <w:p w:rsidR="00113634" w:rsidRPr="0065342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653421">
        <w:rPr>
          <w:rFonts w:ascii="Tahoma" w:hAnsi="Tahoma" w:cs="Tahoma"/>
          <w:sz w:val="18"/>
          <w:szCs w:val="18"/>
        </w:rPr>
        <w:t>CAL do Exchange Server 2010 Standard</w:t>
      </w:r>
    </w:p>
    <w:p w:rsidR="002512D3" w:rsidRPr="00653421" w:rsidRDefault="00113634" w:rsidP="003165D6">
      <w:pPr>
        <w:pStyle w:val="ListParagraph"/>
        <w:numPr>
          <w:ilvl w:val="1"/>
          <w:numId w:val="147"/>
        </w:numPr>
        <w:tabs>
          <w:tab w:val="clear" w:pos="720"/>
        </w:tabs>
        <w:spacing w:after="60"/>
        <w:ind w:left="1980"/>
        <w:contextualSpacing w:val="0"/>
        <w:rPr>
          <w:rFonts w:ascii="Tahoma" w:hAnsi="Tahoma" w:cs="Tahoma"/>
          <w:sz w:val="18"/>
          <w:szCs w:val="18"/>
        </w:rPr>
      </w:pPr>
      <w:r w:rsidRPr="00653421">
        <w:rPr>
          <w:rFonts w:ascii="Tahoma" w:hAnsi="Tahoma" w:cs="Tahoma"/>
          <w:sz w:val="18"/>
          <w:szCs w:val="18"/>
        </w:rPr>
        <w:t>CAL do SQL Server 2008 R2</w:t>
      </w:r>
    </w:p>
    <w:p w:rsidR="00113634" w:rsidRPr="0065342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653421">
        <w:rPr>
          <w:rFonts w:ascii="Tahoma" w:hAnsi="Tahoma" w:cs="Tahoma"/>
          <w:sz w:val="18"/>
          <w:szCs w:val="18"/>
        </w:rPr>
        <w:t>1 licença de assinatura de dispositivo ou usuário para o Forefront Protection for Exchange Server 2010</w:t>
      </w:r>
    </w:p>
    <w:p w:rsidR="00113634" w:rsidRPr="00653421" w:rsidRDefault="00113634" w:rsidP="00A434A4">
      <w:pPr>
        <w:pStyle w:val="ListParagraph"/>
        <w:spacing w:after="60"/>
        <w:ind w:left="1980"/>
        <w:contextualSpacing w:val="0"/>
        <w:rPr>
          <w:rFonts w:ascii="Tahoma" w:hAnsi="Tahoma" w:cs="Tahoma"/>
          <w:sz w:val="18"/>
          <w:szCs w:val="18"/>
        </w:rPr>
      </w:pPr>
      <w:r w:rsidRPr="00653421">
        <w:rPr>
          <w:rFonts w:ascii="Tahoma" w:hAnsi="Tahoma" w:cs="Tahoma"/>
          <w:sz w:val="18"/>
          <w:szCs w:val="18"/>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p>
    <w:p w:rsidR="00113634" w:rsidRPr="00653421" w:rsidRDefault="00113634" w:rsidP="00113634">
      <w:pPr>
        <w:rPr>
          <w:rFonts w:cs="Tahoma"/>
          <w:szCs w:val="18"/>
        </w:rPr>
      </w:pPr>
    </w:p>
    <w:p w:rsidR="001E3F07" w:rsidRPr="00653421" w:rsidRDefault="00113634" w:rsidP="00A434A4">
      <w:pPr>
        <w:ind w:left="720"/>
        <w:rPr>
          <w:rFonts w:cs="Tahoma"/>
          <w:szCs w:val="18"/>
        </w:rPr>
      </w:pPr>
      <w:r w:rsidRPr="00653421">
        <w:rPr>
          <w:rFonts w:cs="Tahoma"/>
          <w:szCs w:val="18"/>
        </w:rPr>
        <w:t>O contrato de Licenciamento por Volume dos clientes e esta nota de condição do produto são evidências dessas CALs gratuitas.</w:t>
      </w:r>
      <w:r w:rsidR="005A52A2" w:rsidRPr="00653421">
        <w:rPr>
          <w:rFonts w:cs="Tahoma"/>
          <w:szCs w:val="18"/>
        </w:rPr>
        <w:t xml:space="preserve"> </w:t>
      </w:r>
      <w:r w:rsidRPr="00653421">
        <w:rPr>
          <w:rFonts w:cs="Tahoma"/>
          <w:szCs w:val="18"/>
        </w:rPr>
        <w:t>O uso do software sob as CALs gratuitas está sujeito aos termos e condições do contrato celebrado pelos clientes e aos direitos de uso dos produtos individuais.</w:t>
      </w:r>
      <w:r w:rsidR="005A52A2" w:rsidRPr="00653421">
        <w:rPr>
          <w:rFonts w:cs="Tahoma"/>
          <w:szCs w:val="18"/>
        </w:rPr>
        <w:t xml:space="preserve"> </w:t>
      </w:r>
      <w:r w:rsidRPr="00653421">
        <w:rPr>
          <w:rFonts w:cs="Tahoma"/>
          <w:szCs w:val="18"/>
        </w:rPr>
        <w:t>O direito de usar o software sob as CALs gratuitas expirará quando o direito de usar o software sob as CALs qualificadas expirar.</w:t>
      </w:r>
      <w:r w:rsidR="005A52A2" w:rsidRPr="00653421">
        <w:rPr>
          <w:rFonts w:cs="Tahoma"/>
          <w:szCs w:val="18"/>
        </w:rPr>
        <w:t xml:space="preserve"> </w:t>
      </w:r>
      <w:r w:rsidRPr="00653421">
        <w:rPr>
          <w:rFonts w:cs="Tahoma"/>
          <w:szCs w:val="18"/>
        </w:rPr>
        <w:t>Em todos os casos, as CALs gratuitas não poderão ser transferidas separadamente das CALs qualificadas.</w:t>
      </w:r>
      <w:bookmarkStart w:id="1557" w:name="_107_Windows_Azure"/>
      <w:bookmarkEnd w:id="1557"/>
    </w:p>
    <w:p w:rsidR="00862523" w:rsidRPr="00653421" w:rsidRDefault="00862523" w:rsidP="00113634"/>
    <w:p w:rsidR="00DE0D10" w:rsidRPr="00653421" w:rsidRDefault="00DE0D10" w:rsidP="00957DE8"/>
    <w:p w:rsidR="00023FE7" w:rsidRPr="00653421" w:rsidRDefault="00F66FB0" w:rsidP="00EF2279">
      <w:pPr>
        <w:pStyle w:val="Heading3"/>
      </w:pPr>
      <w:bookmarkStart w:id="1558" w:name="_99_Windows_HPC"/>
      <w:bookmarkStart w:id="1559" w:name="Srv_109HPCServer2008_R2Suite"/>
      <w:bookmarkStart w:id="1560" w:name="_Toc336338365"/>
      <w:bookmarkStart w:id="1561" w:name="_Toc353471005"/>
      <w:bookmarkStart w:id="1562" w:name="Srv_96WindowsHighPerfCompSvr08"/>
      <w:bookmarkStart w:id="1563" w:name="Srv_94HPCServer2008_R2Suite"/>
      <w:bookmarkStart w:id="1564" w:name="Srv_106HPCServer2008_R2Suite"/>
      <w:bookmarkEnd w:id="1558"/>
      <w:r w:rsidRPr="00653421">
        <w:rPr>
          <w:rFonts w:ascii="Tahoma" w:hAnsi="Tahoma"/>
          <w:caps/>
          <w:color w:val="F66400"/>
          <w:sz w:val="22"/>
          <w:vertAlign w:val="superscript"/>
        </w:rPr>
        <w:t>99</w:t>
      </w:r>
      <w:r w:rsidRPr="00653421">
        <w:rPr>
          <w:rFonts w:ascii="Tahoma" w:hAnsi="Tahoma"/>
          <w:caps/>
          <w:color w:val="F66400"/>
          <w:sz w:val="22"/>
        </w:rPr>
        <w:t xml:space="preserve"> </w:t>
      </w:r>
      <w:r w:rsidRPr="00653421">
        <w:rPr>
          <w:rFonts w:ascii="Tahoma" w:hAnsi="Tahoma"/>
          <w:color w:val="F66400"/>
          <w:sz w:val="22"/>
        </w:rPr>
        <w:t>Windows HPC Server 2008 R2 Suite</w:t>
      </w:r>
      <w:bookmarkEnd w:id="1559"/>
      <w:bookmarkEnd w:id="1560"/>
      <w:bookmarkEnd w:id="1561"/>
    </w:p>
    <w:bookmarkEnd w:id="1562"/>
    <w:bookmarkEnd w:id="1563"/>
    <w:bookmarkEnd w:id="1564"/>
    <w:p w:rsidR="00023FE7" w:rsidRPr="00653421" w:rsidRDefault="00023FE7" w:rsidP="00636FB6">
      <w:pPr>
        <w:pStyle w:val="EndnoteText"/>
        <w:spacing w:line="180" w:lineRule="exact"/>
        <w:ind w:left="907"/>
        <w:rPr>
          <w:rFonts w:ascii="Tahoma" w:hAnsi="Tahoma" w:cs="Tahoma"/>
          <w:sz w:val="18"/>
          <w:szCs w:val="18"/>
        </w:rPr>
      </w:pPr>
    </w:p>
    <w:p w:rsidR="00A434A4" w:rsidRPr="00653421" w:rsidRDefault="001978C7" w:rsidP="00A434A4">
      <w:pPr>
        <w:spacing w:after="60"/>
        <w:ind w:left="720"/>
      </w:pPr>
      <w:r w:rsidRPr="00653421">
        <w:rPr>
          <w:b/>
          <w:color w:val="000000"/>
        </w:rPr>
        <w:t>Outorgas de licença associadas ao término da validade da edição do HPC Server Suite</w:t>
      </w:r>
    </w:p>
    <w:p w:rsidR="001978C7" w:rsidRPr="00653421" w:rsidRDefault="001978C7" w:rsidP="00A434A4">
      <w:pPr>
        <w:ind w:left="720"/>
      </w:pPr>
      <w:r w:rsidRPr="00653421">
        <w:rPr>
          <w:color w:val="000000"/>
        </w:rPr>
        <w:t>O HPC Server Suite 2008 R2 será a última versão do HPC Server Suite. Os clientes de licenciamento por volume com Software Assurance ativo para licenças do HPC Server Suite em 1º de setembro de 2012 ou a</w:t>
      </w:r>
      <w:r w:rsidR="00525E3D" w:rsidRPr="00653421">
        <w:rPr>
          <w:color w:val="000000"/>
        </w:rPr>
        <w:t> </w:t>
      </w:r>
      <w:r w:rsidRPr="00653421">
        <w:rPr>
          <w:color w:val="000000"/>
        </w:rPr>
        <w:t>partir da data da primeira disponibilização do Windows Server 2012 para download no Volume Licensing Service Center (Centro de Atendimento de Licenciamento por Volume), o que ocorrer primeiro, (“Licenças Qualificadas”) poderão</w:t>
      </w:r>
      <w:r w:rsidRPr="00653421">
        <w:rPr>
          <w:rFonts w:eastAsia="Calibri" w:cs="Tahoma"/>
          <w:szCs w:val="18"/>
        </w:rPr>
        <w:t xml:space="preserve"> atualizar para e usar o software Windows Server 2012 Standard em vez do HPC Server Suite. Para facilitar essa atualização, para cada Licença Qualificada que o cliente possui, ele terá uma</w:t>
      </w:r>
      <w:r w:rsidR="00525E3D" w:rsidRPr="00653421">
        <w:rPr>
          <w:rFonts w:eastAsia="Calibri" w:cs="Tahoma"/>
          <w:szCs w:val="18"/>
        </w:rPr>
        <w:t> </w:t>
      </w:r>
      <w:r w:rsidRPr="00653421">
        <w:rPr>
          <w:rFonts w:eastAsia="Calibri" w:cs="Tahoma"/>
          <w:szCs w:val="18"/>
        </w:rPr>
        <w:t>licença do processador Windows Server 2012 Standard mediante a disponibilização do Windows Server</w:t>
      </w:r>
      <w:r w:rsidR="00525E3D" w:rsidRPr="00653421">
        <w:rPr>
          <w:rFonts w:eastAsia="Calibri" w:cs="Tahoma"/>
          <w:szCs w:val="18"/>
        </w:rPr>
        <w:t> </w:t>
      </w:r>
      <w:r w:rsidRPr="00653421">
        <w:rPr>
          <w:rFonts w:eastAsia="Calibri" w:cs="Tahoma"/>
          <w:szCs w:val="18"/>
        </w:rPr>
        <w:t>2012.</w:t>
      </w:r>
    </w:p>
    <w:p w:rsidR="00A434A4" w:rsidRPr="00653421" w:rsidRDefault="00A434A4" w:rsidP="00636FB6">
      <w:pPr>
        <w:spacing w:line="180" w:lineRule="exact"/>
        <w:ind w:left="907"/>
      </w:pPr>
    </w:p>
    <w:p w:rsidR="001978C7" w:rsidRPr="00653421" w:rsidRDefault="001978C7" w:rsidP="00A434A4">
      <w:pPr>
        <w:numPr>
          <w:ilvl w:val="0"/>
          <w:numId w:val="66"/>
        </w:numPr>
        <w:tabs>
          <w:tab w:val="left" w:pos="1440"/>
        </w:tabs>
        <w:spacing w:after="60"/>
        <w:ind w:left="1440"/>
      </w:pPr>
      <w:r w:rsidRPr="00653421">
        <w:rPr>
          <w:rFonts w:eastAsia="Calibri" w:cs="Tahoma"/>
          <w:szCs w:val="18"/>
        </w:rPr>
        <w:t>As licenças adquiridas sob esta concessão incluirão cobertura do Software Assurance.</w:t>
      </w:r>
      <w:r w:rsidR="005A52A2" w:rsidRPr="00653421">
        <w:rPr>
          <w:rFonts w:eastAsia="Calibri" w:cs="Tahoma"/>
          <w:szCs w:val="18"/>
        </w:rPr>
        <w:t xml:space="preserve"> </w:t>
      </w:r>
      <w:r w:rsidR="00071601">
        <w:rPr>
          <w:rFonts w:eastAsia="Calibri" w:cs="Tahoma"/>
          <w:szCs w:val="18"/>
        </w:rPr>
        <w:br/>
      </w:r>
      <w:r w:rsidRPr="00653421">
        <w:rPr>
          <w:rFonts w:eastAsia="Calibri" w:cs="Tahoma"/>
          <w:szCs w:val="18"/>
        </w:rPr>
        <w:t>Tal cobertura expira quando a cobertura correspondente nas Licenças Qualificadas expirar.</w:t>
      </w:r>
    </w:p>
    <w:p w:rsidR="001978C7" w:rsidRPr="00653421" w:rsidRDefault="001978C7" w:rsidP="00A434A4">
      <w:pPr>
        <w:numPr>
          <w:ilvl w:val="0"/>
          <w:numId w:val="66"/>
        </w:numPr>
        <w:tabs>
          <w:tab w:val="left" w:pos="1440"/>
        </w:tabs>
        <w:spacing w:after="60"/>
        <w:ind w:left="1440"/>
      </w:pPr>
      <w:r w:rsidRPr="00653421">
        <w:rPr>
          <w:rFonts w:eastAsia="Calibri" w:cs="Tahoma"/>
          <w:szCs w:val="18"/>
        </w:rPr>
        <w:t>Se os clientes adquiriram direitos perpétuos para usar o software sob as Licenças Qualificadas, as</w:t>
      </w:r>
      <w:r w:rsidR="00525E3D" w:rsidRPr="00653421">
        <w:rPr>
          <w:rFonts w:eastAsia="Calibri" w:cs="Tahoma"/>
          <w:szCs w:val="18"/>
        </w:rPr>
        <w:t> </w:t>
      </w:r>
      <w:r w:rsidRPr="00653421">
        <w:rPr>
          <w:rFonts w:eastAsia="Calibri" w:cs="Tahoma"/>
          <w:szCs w:val="18"/>
        </w:rPr>
        <w:t>licenças adquiridas sob essa concessão serão também perpétuas; caso contrário, as licenças adquiridas sob essa concessão expirarão quando as Licenças Qualificadas subjacentes expirarem.</w:t>
      </w:r>
    </w:p>
    <w:p w:rsidR="001978C7" w:rsidRPr="00653421" w:rsidRDefault="001978C7" w:rsidP="00A434A4">
      <w:pPr>
        <w:numPr>
          <w:ilvl w:val="0"/>
          <w:numId w:val="66"/>
        </w:numPr>
        <w:tabs>
          <w:tab w:val="left" w:pos="1440"/>
        </w:tabs>
        <w:spacing w:after="60"/>
        <w:ind w:left="1440"/>
      </w:pPr>
      <w:r w:rsidRPr="00653421">
        <w:rPr>
          <w:rFonts w:eastAsia="Calibri" w:cs="Tahoma"/>
          <w:szCs w:val="18"/>
        </w:rPr>
        <w:t>Na atualização para o Windows Server 2012 Standard sob essa concessão, as Licenças Qualificadas do HPC Server Suite existentes do cliente não serão mais válidas.</w:t>
      </w:r>
    </w:p>
    <w:p w:rsidR="001978C7" w:rsidRPr="00653421" w:rsidRDefault="001978C7" w:rsidP="00A434A4">
      <w:pPr>
        <w:numPr>
          <w:ilvl w:val="0"/>
          <w:numId w:val="70"/>
        </w:numPr>
        <w:tabs>
          <w:tab w:val="left" w:pos="1440"/>
        </w:tabs>
        <w:spacing w:after="60"/>
        <w:ind w:left="1440"/>
      </w:pPr>
      <w:r w:rsidRPr="00653421">
        <w:rPr>
          <w:color w:val="000000"/>
        </w:rPr>
        <w:t xml:space="preserve">As licenças do HPC Server Suite </w:t>
      </w:r>
      <w:r w:rsidRPr="00653421">
        <w:rPr>
          <w:rFonts w:cs="Tahoma"/>
          <w:bCs/>
          <w:color w:val="000000"/>
          <w:szCs w:val="18"/>
        </w:rPr>
        <w:t xml:space="preserve">adquiridas posteriormente no mesmo prazo de registro, como parte de um processo de adequação (“true-up”) programado do cliente Enterprise, Enterprise Subscription, Open Value Subscription ou EES também são Licenças Qualificadas para os propósitos da concessão supracitada. </w:t>
      </w:r>
    </w:p>
    <w:p w:rsidR="001978C7" w:rsidRPr="00653421" w:rsidRDefault="001978C7" w:rsidP="00A434A4">
      <w:pPr>
        <w:numPr>
          <w:ilvl w:val="0"/>
          <w:numId w:val="70"/>
        </w:numPr>
        <w:tabs>
          <w:tab w:val="left" w:pos="1440"/>
        </w:tabs>
        <w:spacing w:after="60"/>
        <w:ind w:left="1440"/>
      </w:pPr>
      <w:r w:rsidRPr="00653421">
        <w:rPr>
          <w:rFonts w:cs="Tahoma"/>
          <w:bCs/>
          <w:color w:val="000000"/>
          <w:szCs w:val="18"/>
        </w:rPr>
        <w:lastRenderedPageBreak/>
        <w:t>Não obstante a concessão das licenças do Windows Server 2012 Standard e qualquer atualização para esta versão, as obrigações de pagar montantes devidos e pendentes pelas Licenças Qualificadas e cobertura permanecem em pleno vigor e efeito.</w:t>
      </w:r>
    </w:p>
    <w:p w:rsidR="00DE4110" w:rsidRPr="00653421" w:rsidRDefault="001978C7" w:rsidP="00A434A4">
      <w:pPr>
        <w:numPr>
          <w:ilvl w:val="0"/>
          <w:numId w:val="70"/>
        </w:numPr>
        <w:tabs>
          <w:tab w:val="left" w:pos="1440"/>
        </w:tabs>
        <w:spacing w:after="60"/>
        <w:ind w:left="1440"/>
      </w:pPr>
      <w:r w:rsidRPr="00653421">
        <w:rPr>
          <w:rFonts w:cs="Tahoma"/>
          <w:bCs/>
          <w:color w:val="000000"/>
          <w:szCs w:val="18"/>
        </w:rPr>
        <w:t>Consulte as notas da lista de produtos relacionadas ao Windows Server 2008 R2 HPC Edition e</w:t>
      </w:r>
      <w:r w:rsidR="00525E3D" w:rsidRPr="00653421">
        <w:rPr>
          <w:rFonts w:cs="Tahoma"/>
          <w:bCs/>
          <w:color w:val="000000"/>
          <w:szCs w:val="18"/>
        </w:rPr>
        <w:t> </w:t>
      </w:r>
      <w:r w:rsidRPr="00653421">
        <w:rPr>
          <w:rFonts w:cs="Tahoma"/>
          <w:bCs/>
          <w:color w:val="000000"/>
          <w:szCs w:val="18"/>
        </w:rPr>
        <w:t>HPC</w:t>
      </w:r>
      <w:r w:rsidR="00525E3D" w:rsidRPr="00653421">
        <w:rPr>
          <w:rFonts w:cs="Tahoma"/>
          <w:bCs/>
          <w:color w:val="000000"/>
          <w:szCs w:val="18"/>
        </w:rPr>
        <w:t> </w:t>
      </w:r>
      <w:r w:rsidRPr="00653421">
        <w:rPr>
          <w:rFonts w:cs="Tahoma"/>
          <w:bCs/>
          <w:color w:val="000000"/>
          <w:szCs w:val="18"/>
        </w:rPr>
        <w:t>Pack 2008 R2 Enterprise.</w:t>
      </w:r>
      <w:bookmarkStart w:id="1565" w:name="_109_Windows®_Intune"/>
      <w:bookmarkEnd w:id="1565"/>
    </w:p>
    <w:p w:rsidR="00A434A4" w:rsidRPr="00653421" w:rsidRDefault="00A434A4" w:rsidP="00636FB6">
      <w:pPr>
        <w:tabs>
          <w:tab w:val="left" w:pos="1440"/>
        </w:tabs>
        <w:spacing w:line="180" w:lineRule="exact"/>
        <w:ind w:left="907"/>
      </w:pPr>
    </w:p>
    <w:p w:rsidR="00A434A4" w:rsidRPr="00653421" w:rsidRDefault="00A434A4" w:rsidP="00636FB6">
      <w:pPr>
        <w:spacing w:line="180" w:lineRule="exact"/>
        <w:ind w:left="907"/>
      </w:pPr>
    </w:p>
    <w:p w:rsidR="008779BC" w:rsidRPr="00653421" w:rsidRDefault="00F66FB0" w:rsidP="00A434A4">
      <w:pPr>
        <w:pStyle w:val="Heading2"/>
        <w:ind w:left="0"/>
      </w:pPr>
      <w:bookmarkStart w:id="1566" w:name="_100_Windows_Multipoint"/>
      <w:bookmarkStart w:id="1567" w:name="_Toc336338367"/>
      <w:bookmarkStart w:id="1568" w:name="_Toc353471006"/>
      <w:bookmarkEnd w:id="1566"/>
      <w:r w:rsidRPr="00653421">
        <w:rPr>
          <w:rFonts w:ascii="Tahoma" w:hAnsi="Tahoma" w:cs="Tahoma"/>
          <w:caps/>
          <w:color w:val="FA6500"/>
          <w:sz w:val="22"/>
          <w:vertAlign w:val="superscript"/>
        </w:rPr>
        <w:t>100</w:t>
      </w:r>
      <w:r w:rsidRPr="00653421">
        <w:rPr>
          <w:rFonts w:ascii="Tahoma" w:hAnsi="Tahoma" w:cs="Tahoma"/>
          <w:caps/>
          <w:color w:val="FA6500"/>
          <w:sz w:val="22"/>
        </w:rPr>
        <w:t xml:space="preserve"> </w:t>
      </w:r>
      <w:r w:rsidRPr="00653421">
        <w:rPr>
          <w:rFonts w:ascii="Tahoma" w:hAnsi="Tahoma" w:cs="Tahoma"/>
          <w:color w:val="FA6500"/>
          <w:sz w:val="22"/>
        </w:rPr>
        <w:t xml:space="preserve">Windows Multipoint Server </w:t>
      </w:r>
      <w:bookmarkEnd w:id="1567"/>
      <w:r w:rsidRPr="00653421">
        <w:rPr>
          <w:rFonts w:ascii="Tahoma" w:hAnsi="Tahoma" w:cs="Tahoma"/>
          <w:color w:val="FA6500"/>
          <w:sz w:val="22"/>
        </w:rPr>
        <w:t>2012 Standard</w:t>
      </w:r>
      <w:bookmarkEnd w:id="1568"/>
      <w:r w:rsidRPr="00653421">
        <w:rPr>
          <w:rFonts w:ascii="Tahoma" w:hAnsi="Tahoma" w:cs="Tahoma"/>
          <w:color w:val="FA6500"/>
          <w:sz w:val="22"/>
        </w:rPr>
        <w:t xml:space="preserve"> </w:t>
      </w:r>
    </w:p>
    <w:p w:rsidR="00A434A4" w:rsidRPr="00653421" w:rsidRDefault="00A434A4" w:rsidP="00636FB6">
      <w:pPr>
        <w:spacing w:line="180" w:lineRule="exact"/>
        <w:ind w:left="907"/>
      </w:pPr>
    </w:p>
    <w:p w:rsidR="00F745E1" w:rsidRPr="00653421" w:rsidRDefault="008779BC" w:rsidP="00A434A4">
      <w:pPr>
        <w:ind w:left="720"/>
      </w:pPr>
      <w:r w:rsidRPr="00653421">
        <w:rPr>
          <w:rFonts w:eastAsia="Calibri" w:cs="Tahoma"/>
          <w:color w:val="000000"/>
          <w:szCs w:val="18"/>
        </w:rPr>
        <w:t>O Windows Multipoint Server 2012 Standard é a próxima versão do Windows Multipoint Server</w:t>
      </w:r>
      <w:r w:rsidR="00525E3D" w:rsidRPr="00653421">
        <w:rPr>
          <w:rFonts w:eastAsia="Calibri" w:cs="Tahoma"/>
          <w:color w:val="000000"/>
          <w:szCs w:val="18"/>
        </w:rPr>
        <w:t> </w:t>
      </w:r>
      <w:r w:rsidRPr="00653421">
        <w:rPr>
          <w:rFonts w:eastAsia="Calibri" w:cs="Tahoma"/>
          <w:color w:val="000000"/>
          <w:szCs w:val="18"/>
        </w:rPr>
        <w:t>2011</w:t>
      </w:r>
      <w:r w:rsidR="00525E3D" w:rsidRPr="00653421">
        <w:rPr>
          <w:rFonts w:eastAsia="Calibri" w:cs="Tahoma"/>
          <w:color w:val="000000"/>
          <w:szCs w:val="18"/>
        </w:rPr>
        <w:t> </w:t>
      </w:r>
      <w:r w:rsidRPr="00653421">
        <w:rPr>
          <w:rFonts w:eastAsia="Calibri" w:cs="Tahoma"/>
          <w:color w:val="000000"/>
          <w:szCs w:val="18"/>
        </w:rPr>
        <w:t>Standard.</w:t>
      </w:r>
    </w:p>
    <w:p w:rsidR="00A434A4" w:rsidRPr="00653421" w:rsidRDefault="00A434A4" w:rsidP="00636FB6">
      <w:pPr>
        <w:spacing w:line="180" w:lineRule="exact"/>
        <w:ind w:left="907"/>
      </w:pPr>
    </w:p>
    <w:p w:rsidR="00A434A4" w:rsidRPr="00653421" w:rsidRDefault="00A434A4" w:rsidP="00636FB6">
      <w:pPr>
        <w:spacing w:line="180" w:lineRule="exact"/>
        <w:ind w:left="907"/>
      </w:pPr>
    </w:p>
    <w:p w:rsidR="00092F30" w:rsidRPr="00653421" w:rsidRDefault="00F66FB0" w:rsidP="00A434A4">
      <w:pPr>
        <w:pStyle w:val="Heading2"/>
        <w:ind w:left="0"/>
      </w:pPr>
      <w:bookmarkStart w:id="1569" w:name="_101_Windows_Multipoint"/>
      <w:bookmarkStart w:id="1570" w:name="_Toc336338368"/>
      <w:bookmarkStart w:id="1571" w:name="_Toc353471007"/>
      <w:bookmarkStart w:id="1572" w:name="Srv_103WinMultipointSvr2011Premium"/>
      <w:bookmarkStart w:id="1573" w:name="Srv_107WinMultipointSvr2011Premium"/>
      <w:bookmarkStart w:id="1574" w:name="Srv_111WinMultipointSvr2011Premium"/>
      <w:bookmarkEnd w:id="1569"/>
      <w:r w:rsidRPr="00653421">
        <w:rPr>
          <w:rFonts w:ascii="Tahoma" w:hAnsi="Tahoma" w:cs="Tahoma"/>
          <w:caps/>
          <w:color w:val="FA6500"/>
          <w:sz w:val="22"/>
          <w:szCs w:val="22"/>
          <w:vertAlign w:val="superscript"/>
        </w:rPr>
        <w:t>101</w:t>
      </w:r>
      <w:r w:rsidRPr="00653421">
        <w:rPr>
          <w:rFonts w:ascii="Tahoma" w:hAnsi="Tahoma" w:cs="Tahoma"/>
          <w:caps/>
          <w:color w:val="FA6500"/>
          <w:sz w:val="22"/>
        </w:rPr>
        <w:t xml:space="preserve"> </w:t>
      </w:r>
      <w:r w:rsidRPr="00653421">
        <w:rPr>
          <w:rFonts w:ascii="Tahoma" w:hAnsi="Tahoma" w:cs="Tahoma"/>
          <w:color w:val="FA6500"/>
          <w:sz w:val="22"/>
        </w:rPr>
        <w:t xml:space="preserve">Windows Multipoint Server </w:t>
      </w:r>
      <w:bookmarkEnd w:id="1570"/>
      <w:r w:rsidRPr="00653421">
        <w:rPr>
          <w:rFonts w:ascii="Tahoma" w:hAnsi="Tahoma" w:cs="Tahoma"/>
          <w:color w:val="FA6500"/>
          <w:sz w:val="22"/>
        </w:rPr>
        <w:t>2012 Premium</w:t>
      </w:r>
      <w:bookmarkEnd w:id="1571"/>
      <w:r w:rsidRPr="00653421">
        <w:rPr>
          <w:rFonts w:ascii="Tahoma" w:hAnsi="Tahoma" w:cs="Tahoma"/>
          <w:color w:val="FA6500"/>
          <w:sz w:val="22"/>
        </w:rPr>
        <w:t xml:space="preserve"> </w:t>
      </w:r>
      <w:bookmarkEnd w:id="1572"/>
      <w:bookmarkEnd w:id="1573"/>
      <w:bookmarkEnd w:id="1574"/>
    </w:p>
    <w:p w:rsidR="00A434A4" w:rsidRPr="00653421" w:rsidRDefault="00A434A4" w:rsidP="00636FB6">
      <w:pPr>
        <w:spacing w:line="180" w:lineRule="exact"/>
        <w:ind w:left="907"/>
      </w:pPr>
    </w:p>
    <w:p w:rsidR="00F745E1" w:rsidRPr="00653421" w:rsidRDefault="00092F30" w:rsidP="00A434A4">
      <w:pPr>
        <w:ind w:left="720"/>
      </w:pPr>
      <w:r w:rsidRPr="00653421">
        <w:rPr>
          <w:rFonts w:eastAsia="Calibri" w:cs="Tahoma"/>
          <w:color w:val="000000"/>
          <w:szCs w:val="18"/>
        </w:rPr>
        <w:t>O Windows MultiPoint Server 2012 Premium é a próxima versão do Windows MultiPoint Server</w:t>
      </w:r>
      <w:r w:rsidR="00525E3D" w:rsidRPr="00653421">
        <w:rPr>
          <w:rFonts w:eastAsia="Calibri" w:cs="Tahoma"/>
          <w:color w:val="000000"/>
          <w:szCs w:val="18"/>
        </w:rPr>
        <w:t> </w:t>
      </w:r>
      <w:r w:rsidRPr="00653421">
        <w:rPr>
          <w:rFonts w:eastAsia="Calibri" w:cs="Tahoma"/>
          <w:color w:val="000000"/>
          <w:szCs w:val="18"/>
        </w:rPr>
        <w:t>2011</w:t>
      </w:r>
      <w:r w:rsidR="00525E3D" w:rsidRPr="00653421">
        <w:rPr>
          <w:rFonts w:eastAsia="Calibri" w:cs="Tahoma"/>
          <w:color w:val="000000"/>
          <w:szCs w:val="18"/>
        </w:rPr>
        <w:t> </w:t>
      </w:r>
      <w:r w:rsidRPr="00653421">
        <w:rPr>
          <w:rFonts w:eastAsia="Calibri" w:cs="Tahoma"/>
          <w:color w:val="000000"/>
          <w:szCs w:val="18"/>
        </w:rPr>
        <w:t>Premium.</w:t>
      </w:r>
      <w:bookmarkStart w:id="1575" w:name="_Toc280612355"/>
    </w:p>
    <w:p w:rsidR="00A434A4" w:rsidRPr="00653421" w:rsidRDefault="00A434A4" w:rsidP="00636FB6">
      <w:pPr>
        <w:spacing w:line="180" w:lineRule="exact"/>
        <w:ind w:left="907"/>
      </w:pPr>
    </w:p>
    <w:p w:rsidR="00525E3D" w:rsidRPr="00653421" w:rsidRDefault="00525E3D" w:rsidP="00636FB6">
      <w:pPr>
        <w:spacing w:line="180" w:lineRule="exact"/>
        <w:ind w:left="907"/>
      </w:pPr>
    </w:p>
    <w:p w:rsidR="00092F30" w:rsidRPr="00653421" w:rsidRDefault="00F66FB0" w:rsidP="00092F30">
      <w:pPr>
        <w:pStyle w:val="Heading2"/>
        <w:ind w:left="0"/>
      </w:pPr>
      <w:bookmarkStart w:id="1576" w:name="_102_CAL_do"/>
      <w:bookmarkStart w:id="1577" w:name="_Toc353471008"/>
      <w:bookmarkStart w:id="1578" w:name="Srv_104WinMultipointSvr2011CAL"/>
      <w:bookmarkStart w:id="1579" w:name="Srv_108WinMultipointSvr2011CAL"/>
      <w:bookmarkStart w:id="1580" w:name="Srv_112WinMultipointSvr2011CAL"/>
      <w:bookmarkEnd w:id="1576"/>
      <w:r w:rsidRPr="00653421">
        <w:rPr>
          <w:rFonts w:ascii="Tahoma" w:hAnsi="Tahoma" w:cs="Tahoma"/>
          <w:caps/>
          <w:color w:val="FA6500"/>
          <w:sz w:val="22"/>
          <w:szCs w:val="22"/>
          <w:vertAlign w:val="superscript"/>
        </w:rPr>
        <w:t>102</w:t>
      </w:r>
      <w:r w:rsidRPr="00653421">
        <w:rPr>
          <w:rFonts w:ascii="Tahoma" w:hAnsi="Tahoma" w:cs="Tahoma"/>
          <w:color w:val="FA6500"/>
          <w:sz w:val="22"/>
          <w:szCs w:val="22"/>
        </w:rPr>
        <w:t xml:space="preserve"> CAL do Windows </w:t>
      </w:r>
      <w:bookmarkEnd w:id="1575"/>
      <w:r w:rsidRPr="00653421">
        <w:rPr>
          <w:rFonts w:ascii="Tahoma" w:hAnsi="Tahoma" w:cs="Tahoma"/>
          <w:color w:val="FA6500"/>
          <w:sz w:val="22"/>
          <w:szCs w:val="22"/>
        </w:rPr>
        <w:t>Multipoint Server 2012</w:t>
      </w:r>
      <w:bookmarkEnd w:id="1577"/>
    </w:p>
    <w:bookmarkEnd w:id="1578"/>
    <w:bookmarkEnd w:id="1579"/>
    <w:bookmarkEnd w:id="1580"/>
    <w:p w:rsidR="00092F30" w:rsidRPr="00653421" w:rsidRDefault="00092F30" w:rsidP="00636FB6">
      <w:pPr>
        <w:spacing w:line="180" w:lineRule="exact"/>
        <w:ind w:left="907"/>
      </w:pPr>
    </w:p>
    <w:p w:rsidR="0008452D" w:rsidRPr="00653421" w:rsidRDefault="00092F30" w:rsidP="00A434A4">
      <w:pPr>
        <w:ind w:left="720"/>
      </w:pPr>
      <w:r w:rsidRPr="00653421">
        <w:rPr>
          <w:rFonts w:eastAsia="Calibri" w:cs="Tahoma"/>
          <w:color w:val="000000"/>
          <w:szCs w:val="18"/>
        </w:rPr>
        <w:t>A CAL do Windows MultiPoint Server 2012 é a próxima versão da CAL do Windows MultiPoint Server 2011.</w:t>
      </w:r>
    </w:p>
    <w:p w:rsidR="00A434A4" w:rsidRPr="00653421" w:rsidRDefault="00A434A4" w:rsidP="00636FB6">
      <w:pPr>
        <w:spacing w:line="180" w:lineRule="exact"/>
        <w:ind w:left="907"/>
      </w:pPr>
    </w:p>
    <w:p w:rsidR="00A434A4" w:rsidRPr="00653421" w:rsidRDefault="00A434A4" w:rsidP="00636FB6">
      <w:pPr>
        <w:spacing w:line="180" w:lineRule="exact"/>
        <w:ind w:left="907"/>
      </w:pPr>
    </w:p>
    <w:p w:rsidR="00023FE7" w:rsidRPr="00653421" w:rsidRDefault="00F66FB0" w:rsidP="00EF2279">
      <w:pPr>
        <w:pStyle w:val="Heading3"/>
        <w:ind w:left="360" w:hanging="360"/>
      </w:pPr>
      <w:bookmarkStart w:id="1581" w:name="_103_Windows_Server"/>
      <w:bookmarkStart w:id="1582" w:name="_Toc336338369"/>
      <w:bookmarkStart w:id="1583" w:name="_Toc353471009"/>
      <w:bookmarkStart w:id="1584" w:name="Srv_97WinSvr08HighPerfCompandHyperV"/>
      <w:bookmarkStart w:id="1585" w:name="Srv_98WinSvr08HighPerfCompandHyperV"/>
      <w:bookmarkStart w:id="1586" w:name="Srv_110WinSvr08R2HPC"/>
      <w:bookmarkStart w:id="1587" w:name="Srv_114WinSvr08R2HPC"/>
      <w:bookmarkEnd w:id="1581"/>
      <w:r w:rsidRPr="00653421">
        <w:rPr>
          <w:rFonts w:ascii="Tahoma" w:hAnsi="Tahoma"/>
          <w:caps/>
          <w:color w:val="F66400"/>
          <w:sz w:val="22"/>
          <w:vertAlign w:val="superscript"/>
        </w:rPr>
        <w:t>103</w:t>
      </w:r>
      <w:r w:rsidRPr="00653421">
        <w:rPr>
          <w:rFonts w:ascii="Tahoma" w:hAnsi="Tahoma"/>
          <w:color w:val="F66400"/>
          <w:sz w:val="22"/>
        </w:rPr>
        <w:t xml:space="preserve"> Windows Server 2008 R2 HPC</w:t>
      </w:r>
      <w:r w:rsidRPr="00653421">
        <w:rPr>
          <w:rStyle w:val="Heading3Char"/>
          <w:rFonts w:ascii="Tahoma" w:hAnsi="Tahoma"/>
          <w:b/>
          <w:color w:val="F66400"/>
          <w:sz w:val="22"/>
        </w:rPr>
        <w:t xml:space="preserve"> Edition</w:t>
      </w:r>
      <w:bookmarkEnd w:id="1582"/>
      <w:bookmarkEnd w:id="1583"/>
      <w:r w:rsidRPr="00653421">
        <w:rPr>
          <w:rStyle w:val="Heading3Char"/>
          <w:rFonts w:ascii="Tahoma" w:hAnsi="Tahoma"/>
          <w:b/>
          <w:color w:val="F66400"/>
          <w:sz w:val="22"/>
        </w:rPr>
        <w:t xml:space="preserve"> </w:t>
      </w:r>
    </w:p>
    <w:bookmarkEnd w:id="1584"/>
    <w:bookmarkEnd w:id="1585"/>
    <w:bookmarkEnd w:id="1586"/>
    <w:bookmarkEnd w:id="1587"/>
    <w:p w:rsidR="00023FE7" w:rsidRPr="00653421" w:rsidRDefault="00023FE7" w:rsidP="00636FB6">
      <w:pPr>
        <w:spacing w:line="180" w:lineRule="exact"/>
        <w:ind w:left="907"/>
      </w:pPr>
    </w:p>
    <w:p w:rsidR="00A434A4" w:rsidRPr="00653421" w:rsidRDefault="001978C7" w:rsidP="00A434A4">
      <w:pPr>
        <w:spacing w:after="60"/>
        <w:ind w:left="720"/>
      </w:pPr>
      <w:r w:rsidRPr="00653421">
        <w:rPr>
          <w:b/>
          <w:color w:val="000000"/>
        </w:rPr>
        <w:t>Outorgas de licença associadas ao término da validade da edição do Windows Server HPC</w:t>
      </w:r>
    </w:p>
    <w:p w:rsidR="001978C7" w:rsidRPr="00653421" w:rsidRDefault="001978C7" w:rsidP="00A434A4">
      <w:pPr>
        <w:ind w:left="720"/>
        <w:rPr>
          <w:spacing w:val="-2"/>
        </w:rPr>
      </w:pPr>
      <w:r w:rsidRPr="00653421">
        <w:rPr>
          <w:color w:val="000000"/>
          <w:spacing w:val="-2"/>
        </w:rPr>
        <w:t>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w:t>
      </w:r>
      <w:r w:rsidR="00525E3D" w:rsidRPr="00653421">
        <w:rPr>
          <w:color w:val="000000"/>
          <w:spacing w:val="-2"/>
        </w:rPr>
        <w:t> </w:t>
      </w:r>
      <w:r w:rsidRPr="00653421">
        <w:rPr>
          <w:color w:val="000000"/>
          <w:spacing w:val="-2"/>
        </w:rPr>
        <w:t xml:space="preserve">que ocorrer primeiro, (“Licenças Qualificadas”) poderão </w:t>
      </w:r>
      <w:r w:rsidRPr="00653421">
        <w:rPr>
          <w:rFonts w:eastAsia="Calibri" w:cs="Tahoma"/>
          <w:spacing w:val="-2"/>
          <w:szCs w:val="18"/>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rsidR="00A434A4" w:rsidRPr="00653421" w:rsidRDefault="00A434A4" w:rsidP="00636FB6">
      <w:pPr>
        <w:spacing w:line="180" w:lineRule="exact"/>
        <w:ind w:left="907"/>
      </w:pPr>
    </w:p>
    <w:p w:rsidR="001978C7" w:rsidRPr="00653421" w:rsidRDefault="001978C7" w:rsidP="00A434A4">
      <w:pPr>
        <w:numPr>
          <w:ilvl w:val="0"/>
          <w:numId w:val="70"/>
        </w:numPr>
        <w:tabs>
          <w:tab w:val="clear" w:pos="360"/>
          <w:tab w:val="num" w:pos="1440"/>
        </w:tabs>
        <w:spacing w:after="60"/>
        <w:ind w:left="1440"/>
      </w:pPr>
      <w:r w:rsidRPr="00653421">
        <w:rPr>
          <w:color w:val="000000"/>
        </w:rPr>
        <w:t>Se um cliente tiver um número ímpar de licenças do Windows Server HPC Edition, o cliente precisará arredondar para cima para o próximo número par para determinar sua concessão.</w:t>
      </w:r>
      <w:r w:rsidR="005A52A2" w:rsidRPr="00653421">
        <w:rPr>
          <w:color w:val="000000"/>
        </w:rPr>
        <w:t xml:space="preserve"> </w:t>
      </w:r>
      <w:r w:rsidRPr="00653421">
        <w:rPr>
          <w:color w:val="000000"/>
        </w:rPr>
        <w:t>Por</w:t>
      </w:r>
      <w:r w:rsidR="00525E3D" w:rsidRPr="00653421">
        <w:rPr>
          <w:color w:val="000000"/>
        </w:rPr>
        <w:t> </w:t>
      </w:r>
      <w:r w:rsidRPr="00653421">
        <w:rPr>
          <w:color w:val="000000"/>
        </w:rPr>
        <w:t>exemplo, um cliente que tenha três licenças do Windows Server HPC Edition receberá no total</w:t>
      </w:r>
      <w:r w:rsidR="00525E3D" w:rsidRPr="00653421">
        <w:rPr>
          <w:color w:val="000000"/>
        </w:rPr>
        <w:t> </w:t>
      </w:r>
      <w:r w:rsidRPr="00653421">
        <w:rPr>
          <w:color w:val="000000"/>
        </w:rPr>
        <w:t>duas licenças do Windows Server 2012 Standard.</w:t>
      </w:r>
    </w:p>
    <w:p w:rsidR="001978C7" w:rsidRPr="00653421" w:rsidRDefault="001978C7" w:rsidP="00A434A4">
      <w:pPr>
        <w:pStyle w:val="ListParagraph"/>
        <w:numPr>
          <w:ilvl w:val="0"/>
          <w:numId w:val="70"/>
        </w:numPr>
        <w:tabs>
          <w:tab w:val="clear" w:pos="360"/>
          <w:tab w:val="num" w:pos="1440"/>
        </w:tabs>
        <w:spacing w:after="60"/>
        <w:ind w:left="1440"/>
        <w:contextualSpacing w:val="0"/>
      </w:pPr>
      <w:r w:rsidRPr="00653421">
        <w:rPr>
          <w:rFonts w:ascii="Tahoma" w:eastAsia="Calibri" w:hAnsi="Tahoma" w:cs="Tahoma"/>
          <w:sz w:val="18"/>
          <w:szCs w:val="18"/>
        </w:rPr>
        <w:t>As licenças adquiridas sob esta concessão incluirão cobertura do Software Assurance.</w:t>
      </w:r>
      <w:r w:rsidR="005A52A2" w:rsidRPr="00653421">
        <w:rPr>
          <w:rFonts w:ascii="Tahoma" w:eastAsia="Calibri" w:hAnsi="Tahoma" w:cs="Tahoma"/>
          <w:sz w:val="18"/>
          <w:szCs w:val="18"/>
        </w:rPr>
        <w:t xml:space="preserve"> </w:t>
      </w:r>
      <w:r w:rsidRPr="00653421">
        <w:rPr>
          <w:rFonts w:ascii="Tahoma" w:eastAsia="Calibri" w:hAnsi="Tahoma" w:cs="Tahoma"/>
          <w:sz w:val="18"/>
          <w:szCs w:val="18"/>
        </w:rPr>
        <w:t>Tal cobertura expira quando a cobertura correspondente nas Licenças Qualificadas expirar.</w:t>
      </w:r>
    </w:p>
    <w:p w:rsidR="001978C7" w:rsidRPr="00653421" w:rsidRDefault="001978C7" w:rsidP="00A434A4">
      <w:pPr>
        <w:pStyle w:val="ListParagraph"/>
        <w:numPr>
          <w:ilvl w:val="0"/>
          <w:numId w:val="70"/>
        </w:numPr>
        <w:tabs>
          <w:tab w:val="clear" w:pos="360"/>
          <w:tab w:val="num" w:pos="1440"/>
        </w:tabs>
        <w:spacing w:after="60"/>
        <w:ind w:left="1440"/>
        <w:contextualSpacing w:val="0"/>
      </w:pPr>
      <w:r w:rsidRPr="00653421">
        <w:rPr>
          <w:rFonts w:ascii="Tahoma" w:eastAsia="Calibri" w:hAnsi="Tahoma" w:cs="Tahoma"/>
          <w:sz w:val="18"/>
          <w:szCs w:val="18"/>
        </w:rPr>
        <w:t>Se os clientes adquiriram direitos perpétuos para usar o software sob as Licenças Qualificadas, as</w:t>
      </w:r>
      <w:r w:rsidR="00525E3D" w:rsidRPr="00653421">
        <w:rPr>
          <w:rFonts w:ascii="Tahoma" w:eastAsia="Calibri" w:hAnsi="Tahoma" w:cs="Tahoma"/>
          <w:sz w:val="18"/>
          <w:szCs w:val="18"/>
        </w:rPr>
        <w:t> </w:t>
      </w:r>
      <w:r w:rsidRPr="00653421">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1978C7" w:rsidRPr="00653421" w:rsidRDefault="001978C7" w:rsidP="00A434A4">
      <w:pPr>
        <w:numPr>
          <w:ilvl w:val="0"/>
          <w:numId w:val="70"/>
        </w:numPr>
        <w:tabs>
          <w:tab w:val="clear" w:pos="360"/>
          <w:tab w:val="num" w:pos="1440"/>
          <w:tab w:val="left" w:pos="2160"/>
        </w:tabs>
        <w:spacing w:after="60"/>
        <w:ind w:left="1440"/>
      </w:pPr>
      <w:r w:rsidRPr="00653421">
        <w:rPr>
          <w:rFonts w:eastAsia="Calibri" w:cs="Tahoma"/>
          <w:szCs w:val="18"/>
        </w:rPr>
        <w:t xml:space="preserve">Na atualização para o Windows Server 2012 Standard sob essa concessão, as licenças existentes do </w:t>
      </w:r>
      <w:r w:rsidRPr="00653421">
        <w:rPr>
          <w:color w:val="000000"/>
        </w:rPr>
        <w:t>Windows Server 2008 R2 HPC Edition</w:t>
      </w:r>
      <w:r w:rsidRPr="00653421">
        <w:rPr>
          <w:rFonts w:eastAsia="Calibri" w:cs="Tahoma"/>
          <w:szCs w:val="18"/>
        </w:rPr>
        <w:t xml:space="preserve"> do cliente permanecerão válidas.</w:t>
      </w:r>
    </w:p>
    <w:p w:rsidR="001978C7" w:rsidRPr="00653421" w:rsidRDefault="001978C7" w:rsidP="00A434A4">
      <w:pPr>
        <w:numPr>
          <w:ilvl w:val="0"/>
          <w:numId w:val="70"/>
        </w:numPr>
        <w:tabs>
          <w:tab w:val="clear" w:pos="360"/>
          <w:tab w:val="num" w:pos="1440"/>
        </w:tabs>
        <w:spacing w:after="60"/>
        <w:ind w:left="1440"/>
      </w:pPr>
      <w:r w:rsidRPr="00653421">
        <w:rPr>
          <w:color w:val="000000"/>
        </w:rPr>
        <w:t>As licenças do Windows Server 2008 R2 HPC Edition a</w:t>
      </w:r>
      <w:r w:rsidRPr="00653421">
        <w:rPr>
          <w:rFonts w:cs="Tahoma"/>
          <w:bCs/>
          <w:color w:val="000000"/>
          <w:szCs w:val="18"/>
        </w:rPr>
        <w:t>dquiridas posteriormente no mesmo prazo</w:t>
      </w:r>
      <w:r w:rsidR="00525E3D" w:rsidRPr="00653421">
        <w:rPr>
          <w:rFonts w:cs="Tahoma"/>
          <w:bCs/>
          <w:color w:val="000000"/>
          <w:szCs w:val="18"/>
        </w:rPr>
        <w:t> </w:t>
      </w:r>
      <w:r w:rsidRPr="00653421">
        <w:rPr>
          <w:rFonts w:cs="Tahoma"/>
          <w:bCs/>
          <w:color w:val="000000"/>
          <w:szCs w:val="18"/>
        </w:rPr>
        <w:t>de</w:t>
      </w:r>
      <w:r w:rsidR="00525E3D" w:rsidRPr="00653421">
        <w:rPr>
          <w:rFonts w:cs="Tahoma"/>
          <w:bCs/>
          <w:color w:val="000000"/>
          <w:szCs w:val="18"/>
        </w:rPr>
        <w:t> </w:t>
      </w:r>
      <w:r w:rsidRPr="00653421">
        <w:rPr>
          <w:rFonts w:cs="Tahoma"/>
          <w:bCs/>
          <w:color w:val="000000"/>
          <w:szCs w:val="18"/>
        </w:rPr>
        <w:t>registro, como parte de um processo de adequação (“true-up”) programado do cliente</w:t>
      </w:r>
      <w:r w:rsidR="00525E3D" w:rsidRPr="00653421">
        <w:rPr>
          <w:rFonts w:cs="Tahoma"/>
          <w:bCs/>
          <w:color w:val="000000"/>
          <w:szCs w:val="18"/>
        </w:rPr>
        <w:t> </w:t>
      </w:r>
      <w:r w:rsidRPr="00653421">
        <w:rPr>
          <w:rFonts w:cs="Tahoma"/>
          <w:bCs/>
          <w:color w:val="000000"/>
          <w:szCs w:val="18"/>
        </w:rPr>
        <w:t>Enterprise, Enterprise Subscription, Open Value Subscription ou EES também são Licenças</w:t>
      </w:r>
      <w:r w:rsidR="00525E3D" w:rsidRPr="00653421">
        <w:rPr>
          <w:rFonts w:cs="Tahoma"/>
          <w:bCs/>
          <w:color w:val="000000"/>
          <w:szCs w:val="18"/>
        </w:rPr>
        <w:t> </w:t>
      </w:r>
      <w:r w:rsidRPr="00653421">
        <w:rPr>
          <w:rFonts w:cs="Tahoma"/>
          <w:bCs/>
          <w:color w:val="000000"/>
          <w:szCs w:val="18"/>
        </w:rPr>
        <w:t xml:space="preserve">Qualificadas para os propósitos da concessão supracitada. </w:t>
      </w:r>
    </w:p>
    <w:p w:rsidR="001978C7" w:rsidRPr="00653421" w:rsidRDefault="001978C7" w:rsidP="00A434A4">
      <w:pPr>
        <w:numPr>
          <w:ilvl w:val="0"/>
          <w:numId w:val="70"/>
        </w:numPr>
        <w:tabs>
          <w:tab w:val="clear" w:pos="360"/>
          <w:tab w:val="num" w:pos="1440"/>
        </w:tabs>
        <w:spacing w:after="60"/>
        <w:ind w:left="1440"/>
      </w:pPr>
      <w:r w:rsidRPr="00653421">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A434A4" w:rsidRPr="00653421" w:rsidRDefault="00A434A4" w:rsidP="008C1992">
      <w:pPr>
        <w:ind w:firstLine="360"/>
      </w:pPr>
    </w:p>
    <w:p w:rsidR="001A0F51" w:rsidRPr="00653421" w:rsidRDefault="001A0F51" w:rsidP="008C1992">
      <w:pPr>
        <w:ind w:firstLine="360"/>
      </w:pPr>
    </w:p>
    <w:p w:rsidR="001A0F51" w:rsidRPr="00653421" w:rsidRDefault="001A0F51" w:rsidP="008C1992">
      <w:pPr>
        <w:ind w:firstLine="360"/>
      </w:pPr>
    </w:p>
    <w:p w:rsidR="008C2FF8" w:rsidRPr="00653421" w:rsidRDefault="001978C7" w:rsidP="008C2FF8">
      <w:pPr>
        <w:spacing w:after="60"/>
        <w:ind w:left="720"/>
      </w:pPr>
      <w:r w:rsidRPr="00653421">
        <w:rPr>
          <w:rFonts w:eastAsia="Calibri" w:cs="Tahoma"/>
          <w:b/>
          <w:szCs w:val="18"/>
        </w:rPr>
        <w:lastRenderedPageBreak/>
        <w:t>Informações adicionais sobre o uso do Windows Server 2012 para High Performance Computing (HPC)</w:t>
      </w:r>
    </w:p>
    <w:p w:rsidR="002F7203" w:rsidRPr="00653421" w:rsidRDefault="001978C7" w:rsidP="008C2FF8">
      <w:pPr>
        <w:ind w:left="720"/>
        <w:contextualSpacing/>
      </w:pPr>
      <w:r w:rsidRPr="00653421">
        <w:rPr>
          <w:rFonts w:eastAsia="Calibri" w:cs="Tahoma"/>
          <w:szCs w:val="18"/>
        </w:rPr>
        <w:t>Quando o Windows Server 2012 Standard ou Datacenter é usado para High Performance Computing, você</w:t>
      </w:r>
      <w:r w:rsidR="00525E3D" w:rsidRPr="00653421">
        <w:rPr>
          <w:rFonts w:eastAsia="Calibri" w:cs="Tahoma"/>
          <w:szCs w:val="18"/>
        </w:rPr>
        <w:t> </w:t>
      </w:r>
      <w:r w:rsidRPr="00653421">
        <w:rPr>
          <w:rFonts w:eastAsia="Calibri" w:cs="Tahoma"/>
          <w:szCs w:val="18"/>
        </w:rPr>
        <w:t>não precisa de CALs para acessar o software. Uma “</w:t>
      </w:r>
      <w:r w:rsidRPr="00653421">
        <w:t>Carga de Trabalho High Performance Computing (“HPC”)”</w:t>
      </w:r>
      <w:r w:rsidRPr="00653421">
        <w:rPr>
          <w:b/>
          <w:bCs/>
        </w:rPr>
        <w:t xml:space="preserve"> </w:t>
      </w:r>
      <w:r w:rsidRPr="00653421">
        <w:t xml:space="preserve">significa uma carga de trabalho na qual o software para servidores </w:t>
      </w:r>
      <w:r w:rsidRPr="00653421">
        <w:rPr>
          <w:u w:val="single"/>
        </w:rPr>
        <w:t>é usado</w:t>
      </w:r>
      <w:r w:rsidRPr="00653421">
        <w:t xml:space="preserve"> para executar um Nó</w:t>
      </w:r>
      <w:r w:rsidR="00404928" w:rsidRPr="00653421">
        <w:t> </w:t>
      </w:r>
      <w:r w:rsidRPr="00653421">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653421">
        <w:rPr>
          <w:rFonts w:eastAsia="Calibri" w:cs="Tahoma"/>
          <w:szCs w:val="18"/>
        </w:rPr>
        <w:t xml:space="preserve"> Consulte os</w:t>
      </w:r>
      <w:r w:rsidR="00404928" w:rsidRPr="00653421">
        <w:rPr>
          <w:rFonts w:eastAsia="Calibri" w:cs="Tahoma"/>
          <w:szCs w:val="18"/>
        </w:rPr>
        <w:t> </w:t>
      </w:r>
      <w:r w:rsidRPr="00653421">
        <w:rPr>
          <w:rFonts w:eastAsia="Calibri" w:cs="Tahoma"/>
          <w:szCs w:val="18"/>
        </w:rPr>
        <w:t>Direitos de Uso de Produto para obter detalhes adicionais.</w:t>
      </w:r>
      <w:bookmarkStart w:id="1588" w:name="Srv_1120WinSvr08R2Enterprise"/>
    </w:p>
    <w:p w:rsidR="008C1992" w:rsidRPr="00653421" w:rsidRDefault="008C1992" w:rsidP="008C1992">
      <w:pPr>
        <w:ind w:firstLine="360"/>
      </w:pPr>
    </w:p>
    <w:p w:rsidR="002512D3" w:rsidRPr="00653421" w:rsidRDefault="002512D3" w:rsidP="008C1992">
      <w:pPr>
        <w:ind w:firstLine="360"/>
      </w:pPr>
      <w:bookmarkStart w:id="1589" w:name="_97_Windows_Server"/>
      <w:bookmarkStart w:id="1590" w:name="_98_Windows_Server"/>
      <w:bookmarkStart w:id="1591" w:name="_Toc336338370"/>
      <w:bookmarkStart w:id="1592" w:name="Srv_116WinSvr08R2Enterprise"/>
      <w:bookmarkStart w:id="1593" w:name="Srv_100WinSvr08R2Enterprise"/>
      <w:bookmarkEnd w:id="1589"/>
      <w:bookmarkEnd w:id="1590"/>
    </w:p>
    <w:p w:rsidR="006D0B36" w:rsidRPr="00653421" w:rsidRDefault="00F66FB0" w:rsidP="00EF2279">
      <w:pPr>
        <w:pStyle w:val="Heading3"/>
        <w:ind w:left="360" w:hanging="360"/>
      </w:pPr>
      <w:bookmarkStart w:id="1594" w:name="_Toc353471010"/>
      <w:r w:rsidRPr="00653421">
        <w:rPr>
          <w:rFonts w:ascii="Tahoma" w:hAnsi="Tahoma"/>
          <w:caps/>
          <w:color w:val="F66400"/>
          <w:sz w:val="22"/>
          <w:vertAlign w:val="superscript"/>
        </w:rPr>
        <w:t>104</w:t>
      </w:r>
      <w:r w:rsidRPr="00653421">
        <w:rPr>
          <w:rFonts w:ascii="Tahoma" w:hAnsi="Tahoma"/>
          <w:color w:val="F66400"/>
          <w:sz w:val="22"/>
        </w:rPr>
        <w:t xml:space="preserve"> Windows Server 2008 R2 Enterprise</w:t>
      </w:r>
      <w:bookmarkEnd w:id="1591"/>
      <w:bookmarkEnd w:id="1594"/>
      <w:r w:rsidRPr="00653421">
        <w:rPr>
          <w:rFonts w:ascii="Tahoma" w:hAnsi="Tahoma"/>
          <w:color w:val="F66400"/>
          <w:sz w:val="22"/>
        </w:rPr>
        <w:t xml:space="preserve"> </w:t>
      </w:r>
      <w:bookmarkEnd w:id="1592"/>
    </w:p>
    <w:bookmarkEnd w:id="1588"/>
    <w:bookmarkEnd w:id="1593"/>
    <w:p w:rsidR="00156AE7" w:rsidRPr="00653421" w:rsidRDefault="00156AE7" w:rsidP="008C1992">
      <w:pPr>
        <w:ind w:firstLine="360"/>
      </w:pPr>
    </w:p>
    <w:p w:rsidR="00171927" w:rsidRPr="00653421" w:rsidRDefault="00156AE7" w:rsidP="00171927">
      <w:pPr>
        <w:spacing w:after="60"/>
        <w:ind w:left="720"/>
      </w:pPr>
      <w:r w:rsidRPr="00653421">
        <w:rPr>
          <w:b/>
          <w:color w:val="000000"/>
        </w:rPr>
        <w:t>Outorgas de licença associadas ao término da validade da edição do Windows Server Enterprise</w:t>
      </w:r>
    </w:p>
    <w:p w:rsidR="00156AE7" w:rsidRPr="00653421" w:rsidRDefault="00156AE7" w:rsidP="008C2FF8">
      <w:pPr>
        <w:ind w:left="720"/>
      </w:pPr>
      <w:r w:rsidRPr="00653421">
        <w:rPr>
          <w:color w:val="000000"/>
        </w:rPr>
        <w:t>O Windows Server 2008 R2 será a última versão da edição do Windows Server Enterprise.</w:t>
      </w:r>
      <w:r w:rsidR="005A52A2" w:rsidRPr="00653421">
        <w:rPr>
          <w:color w:val="000000"/>
        </w:rPr>
        <w:t xml:space="preserve"> </w:t>
      </w:r>
      <w:r w:rsidRPr="00653421">
        <w:rPr>
          <w:color w:val="000000"/>
        </w:rPr>
        <w:t>Os clientes de</w:t>
      </w:r>
      <w:r w:rsidR="00404928" w:rsidRPr="00653421">
        <w:rPr>
          <w:color w:val="000000"/>
        </w:rPr>
        <w:t> </w:t>
      </w:r>
      <w:r w:rsidRPr="00653421">
        <w:rPr>
          <w:color w:val="000000"/>
        </w:rPr>
        <w:t>licenciamento por volume com Software Assurance ativo para licenças do Windows Server 2008 R2 Enterprise em 1</w:t>
      </w:r>
      <w:r w:rsidRPr="00653421">
        <w:rPr>
          <w:color w:val="000000"/>
          <w:vertAlign w:val="superscript"/>
        </w:rPr>
        <w:t>º</w:t>
      </w:r>
      <w:r w:rsidRPr="00653421">
        <w:rPr>
          <w:color w:val="000000"/>
        </w:rPr>
        <w:t xml:space="preserve"> de setembro de 2012 ou a partir da data da primeira disponibilização do Windows Server</w:t>
      </w:r>
      <w:r w:rsidR="00404928" w:rsidRPr="00653421">
        <w:rPr>
          <w:color w:val="000000"/>
        </w:rPr>
        <w:t> </w:t>
      </w:r>
      <w:r w:rsidRPr="00653421">
        <w:rPr>
          <w:color w:val="000000"/>
        </w:rPr>
        <w:t xml:space="preserve">2012 para download no Volume Licensing Service Center (Centro de Atendimento de Licenciamento por Volume), o que ocorrer primeiro, (“Licenças Qualificadas”) </w:t>
      </w:r>
      <w:r w:rsidRPr="00653421">
        <w:rPr>
          <w:rFonts w:eastAsia="Calibri" w:cs="Tahoma"/>
          <w:szCs w:val="18"/>
        </w:rPr>
        <w:t>poderão atualizar para e usar o software Windows Server 2012 Standard em vez do Windows Server 2008 R2 Enterprise. Para facilitar essa atualização, para cada Licença Qualificada que o cliente possui, ele terá, mediante a disponibilização do Windows Server 2012:</w:t>
      </w:r>
    </w:p>
    <w:p w:rsidR="00171927" w:rsidRPr="00653421" w:rsidRDefault="00171927" w:rsidP="00171927">
      <w:pPr>
        <w:spacing w:after="60"/>
        <w:ind w:left="720"/>
      </w:pPr>
    </w:p>
    <w:p w:rsidR="00156AE7" w:rsidRPr="00653421" w:rsidRDefault="00156AE7" w:rsidP="00171927">
      <w:pPr>
        <w:numPr>
          <w:ilvl w:val="0"/>
          <w:numId w:val="66"/>
        </w:numPr>
        <w:spacing w:after="60"/>
        <w:ind w:left="1440"/>
      </w:pPr>
      <w:r w:rsidRPr="00653421">
        <w:rPr>
          <w:rFonts w:eastAsia="Calibri" w:cs="Tahoma"/>
          <w:szCs w:val="18"/>
        </w:rPr>
        <w:t>Duas licenças do Windows Server 2012 Standard OU</w:t>
      </w:r>
    </w:p>
    <w:p w:rsidR="00156AE7" w:rsidRPr="00653421" w:rsidRDefault="00156AE7" w:rsidP="00171927">
      <w:pPr>
        <w:numPr>
          <w:ilvl w:val="0"/>
          <w:numId w:val="66"/>
        </w:numPr>
        <w:spacing w:after="60"/>
        <w:ind w:left="1440"/>
      </w:pPr>
      <w:r w:rsidRPr="00653421">
        <w:rPr>
          <w:rFonts w:eastAsia="Calibri" w:cs="Tahoma"/>
          <w:szCs w:val="18"/>
        </w:rPr>
        <w:t>Três, para Licenças de Qualificação adquiridas com SA ou renovadas entre 1º de abril de 2012 a</w:t>
      </w:r>
      <w:r w:rsidR="008C1992" w:rsidRPr="00653421">
        <w:rPr>
          <w:rFonts w:eastAsia="Calibri" w:cs="Tahoma"/>
          <w:szCs w:val="18"/>
        </w:rPr>
        <w:t> </w:t>
      </w:r>
      <w:r w:rsidRPr="00653421">
        <w:rPr>
          <w:rFonts w:eastAsia="Calibri" w:cs="Tahoma"/>
          <w:szCs w:val="18"/>
        </w:rPr>
        <w:t>31</w:t>
      </w:r>
      <w:r w:rsidR="008C1992" w:rsidRPr="00653421">
        <w:rPr>
          <w:rFonts w:eastAsia="Calibri" w:cs="Tahoma"/>
          <w:szCs w:val="18"/>
        </w:rPr>
        <w:t> </w:t>
      </w:r>
      <w:r w:rsidRPr="00653421">
        <w:rPr>
          <w:rFonts w:eastAsia="Calibri" w:cs="Tahoma"/>
          <w:szCs w:val="18"/>
        </w:rPr>
        <w:t>de agosto de 2012 OU</w:t>
      </w:r>
    </w:p>
    <w:p w:rsidR="00156AE7" w:rsidRPr="00653421" w:rsidRDefault="00156AE7" w:rsidP="00171927">
      <w:pPr>
        <w:numPr>
          <w:ilvl w:val="0"/>
          <w:numId w:val="66"/>
        </w:numPr>
        <w:spacing w:after="60"/>
        <w:ind w:left="1440"/>
      </w:pPr>
      <w:r w:rsidRPr="00653421">
        <w:rPr>
          <w:rFonts w:eastAsia="Calibri" w:cs="Tahoma"/>
          <w:szCs w:val="18"/>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rsidR="00156AE7" w:rsidRPr="00653421" w:rsidRDefault="00156AE7" w:rsidP="00171927">
      <w:pPr>
        <w:numPr>
          <w:ilvl w:val="0"/>
          <w:numId w:val="66"/>
        </w:numPr>
        <w:spacing w:after="60"/>
        <w:ind w:left="1440"/>
      </w:pPr>
      <w:r w:rsidRPr="00653421">
        <w:rPr>
          <w:rFonts w:eastAsia="Calibri" w:cs="Tahoma"/>
          <w:szCs w:val="18"/>
        </w:rPr>
        <w:t>As licenças adquiridas sob esta concessão incluirão cobertura do Software Assurance.</w:t>
      </w:r>
      <w:r w:rsidR="005A52A2" w:rsidRPr="00653421">
        <w:rPr>
          <w:rFonts w:eastAsia="Calibri" w:cs="Tahoma"/>
          <w:szCs w:val="18"/>
        </w:rPr>
        <w:t xml:space="preserve"> </w:t>
      </w:r>
      <w:r w:rsidRPr="00653421">
        <w:rPr>
          <w:rFonts w:eastAsia="Calibri" w:cs="Tahoma"/>
          <w:szCs w:val="18"/>
        </w:rPr>
        <w:t>Tal cobertura expira quando a cobertura correspondente nas Licenças Qualificadas expirar.</w:t>
      </w:r>
    </w:p>
    <w:p w:rsidR="00156AE7" w:rsidRPr="00653421" w:rsidRDefault="00156AE7" w:rsidP="00171927">
      <w:pPr>
        <w:numPr>
          <w:ilvl w:val="0"/>
          <w:numId w:val="66"/>
        </w:numPr>
        <w:spacing w:after="60"/>
        <w:ind w:left="1440"/>
      </w:pPr>
      <w:r w:rsidRPr="00653421">
        <w:rPr>
          <w:rFonts w:eastAsia="Calibri" w:cs="Tahoma"/>
          <w:szCs w:val="18"/>
        </w:rPr>
        <w:t>Se os clientes adquiriram direitos perpétuos para usar o software sob as Licenças Qualificadas, as</w:t>
      </w:r>
      <w:r w:rsidR="008C1992" w:rsidRPr="00653421">
        <w:rPr>
          <w:rFonts w:eastAsia="Calibri" w:cs="Tahoma"/>
          <w:szCs w:val="18"/>
        </w:rPr>
        <w:t> </w:t>
      </w:r>
      <w:r w:rsidRPr="00653421">
        <w:rPr>
          <w:rFonts w:eastAsia="Calibri" w:cs="Tahoma"/>
          <w:szCs w:val="18"/>
        </w:rPr>
        <w:t>licenças adquiridas sob essa concessão serão também perpétuas; caso contrário, as licenças adquiridas sob essa concessão expirarão quando as Licenças Qualificadas subjacentes expirarem.</w:t>
      </w:r>
      <w:r w:rsidR="005A52A2" w:rsidRPr="00653421">
        <w:rPr>
          <w:rFonts w:eastAsia="Calibri" w:cs="Tahoma"/>
          <w:szCs w:val="18"/>
        </w:rPr>
        <w:t xml:space="preserve"> </w:t>
      </w:r>
    </w:p>
    <w:p w:rsidR="00156AE7" w:rsidRPr="00653421" w:rsidRDefault="00156AE7" w:rsidP="00171927">
      <w:pPr>
        <w:numPr>
          <w:ilvl w:val="0"/>
          <w:numId w:val="66"/>
        </w:numPr>
        <w:spacing w:after="60"/>
        <w:ind w:left="1440"/>
      </w:pPr>
      <w:r w:rsidRPr="00653421">
        <w:rPr>
          <w:rFonts w:eastAsia="Calibri" w:cs="Tahoma"/>
          <w:szCs w:val="18"/>
        </w:rPr>
        <w:t>Na atualização para o Windows Server 2012 Standard sob essa concessão, as Licenças Qualificadas do Windows Server Enterprise existentes do cliente não serão mais válidas.</w:t>
      </w:r>
    </w:p>
    <w:p w:rsidR="00156AE7" w:rsidRPr="00653421" w:rsidRDefault="00156AE7" w:rsidP="00171927">
      <w:pPr>
        <w:numPr>
          <w:ilvl w:val="0"/>
          <w:numId w:val="66"/>
        </w:numPr>
        <w:spacing w:after="60"/>
        <w:ind w:left="1440"/>
      </w:pPr>
      <w:r w:rsidRPr="00653421">
        <w:rPr>
          <w:rFonts w:eastAsia="Calibri" w:cs="Tahoma"/>
          <w:szCs w:val="18"/>
        </w:rPr>
        <w:t>As licenças do Windows Server 2008 R2 Enterprise adquiridas posteriormente no mesmo prazo de</w:t>
      </w:r>
      <w:r w:rsidR="008C1992" w:rsidRPr="00653421">
        <w:rPr>
          <w:rFonts w:eastAsia="Calibri" w:cs="Tahoma"/>
          <w:szCs w:val="18"/>
        </w:rPr>
        <w:t> </w:t>
      </w:r>
      <w:r w:rsidRPr="00653421">
        <w:rPr>
          <w:rFonts w:eastAsia="Calibri" w:cs="Tahoma"/>
          <w:szCs w:val="18"/>
        </w:rPr>
        <w:t>registro, como parte de um processo de adequação (“true-up”) programado do cliente Enterprise, Enterprise Subscription, Open Value Subscription ou EES também são Licenças Qualificadas para os propósitos da outorga de licença supracitada.</w:t>
      </w:r>
      <w:r w:rsidR="005A52A2" w:rsidRPr="00653421">
        <w:rPr>
          <w:rFonts w:eastAsia="Calibri" w:cs="Tahoma"/>
          <w:szCs w:val="18"/>
        </w:rPr>
        <w:t xml:space="preserve"> </w:t>
      </w:r>
    </w:p>
    <w:p w:rsidR="00156AE7" w:rsidRPr="00653421" w:rsidRDefault="00156AE7" w:rsidP="00171927">
      <w:pPr>
        <w:numPr>
          <w:ilvl w:val="0"/>
          <w:numId w:val="66"/>
        </w:numPr>
        <w:spacing w:after="60"/>
        <w:ind w:left="1440"/>
      </w:pPr>
      <w:r w:rsidRPr="00653421">
        <w:rPr>
          <w:rFonts w:eastAsia="Calibri" w:cs="Tahoma"/>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047339" w:rsidRPr="00653421" w:rsidRDefault="00047339" w:rsidP="00636FB6">
      <w:pPr>
        <w:pStyle w:val="EndnoteText"/>
        <w:spacing w:line="180" w:lineRule="exact"/>
        <w:ind w:left="0"/>
        <w:rPr>
          <w:rFonts w:ascii="Tahoma" w:hAnsi="Tahoma" w:cs="Tahoma"/>
          <w:sz w:val="18"/>
          <w:szCs w:val="18"/>
        </w:rPr>
      </w:pPr>
    </w:p>
    <w:p w:rsidR="00171927" w:rsidRPr="00653421" w:rsidRDefault="00171927" w:rsidP="00636FB6">
      <w:pPr>
        <w:pStyle w:val="EndnoteText"/>
        <w:spacing w:line="180" w:lineRule="exact"/>
        <w:ind w:left="0"/>
        <w:rPr>
          <w:rFonts w:ascii="Tahoma" w:hAnsi="Tahoma" w:cs="Tahoma"/>
          <w:sz w:val="18"/>
          <w:szCs w:val="18"/>
        </w:rPr>
      </w:pPr>
    </w:p>
    <w:p w:rsidR="001A0F51" w:rsidRPr="00653421" w:rsidRDefault="001A0F51" w:rsidP="00636FB6">
      <w:pPr>
        <w:pStyle w:val="EndnoteText"/>
        <w:spacing w:line="180" w:lineRule="exact"/>
        <w:ind w:left="0"/>
        <w:rPr>
          <w:rFonts w:ascii="Tahoma" w:hAnsi="Tahoma" w:cs="Tahoma"/>
          <w:sz w:val="18"/>
          <w:szCs w:val="18"/>
        </w:rPr>
      </w:pPr>
    </w:p>
    <w:p w:rsidR="001A0F51" w:rsidRPr="00653421" w:rsidRDefault="001A0F51" w:rsidP="00636FB6">
      <w:pPr>
        <w:pStyle w:val="EndnoteText"/>
        <w:spacing w:line="180" w:lineRule="exact"/>
        <w:ind w:left="0"/>
        <w:rPr>
          <w:rFonts w:ascii="Tahoma" w:hAnsi="Tahoma" w:cs="Tahoma"/>
          <w:sz w:val="18"/>
          <w:szCs w:val="18"/>
        </w:rPr>
      </w:pPr>
    </w:p>
    <w:p w:rsidR="001A0F51" w:rsidRPr="00653421" w:rsidRDefault="001A0F51" w:rsidP="00636FB6">
      <w:pPr>
        <w:pStyle w:val="EndnoteText"/>
        <w:spacing w:line="180" w:lineRule="exact"/>
        <w:ind w:left="0"/>
        <w:rPr>
          <w:rFonts w:ascii="Tahoma" w:hAnsi="Tahoma" w:cs="Tahoma"/>
          <w:sz w:val="18"/>
          <w:szCs w:val="18"/>
        </w:rPr>
      </w:pPr>
    </w:p>
    <w:p w:rsidR="001A0F51" w:rsidRPr="00653421" w:rsidRDefault="001A0F51" w:rsidP="00636FB6">
      <w:pPr>
        <w:pStyle w:val="EndnoteText"/>
        <w:spacing w:line="180" w:lineRule="exact"/>
        <w:ind w:left="0"/>
        <w:rPr>
          <w:rFonts w:ascii="Tahoma" w:hAnsi="Tahoma" w:cs="Tahoma"/>
          <w:sz w:val="18"/>
          <w:szCs w:val="18"/>
        </w:rPr>
      </w:pPr>
    </w:p>
    <w:p w:rsidR="001A0F51" w:rsidRPr="00653421" w:rsidRDefault="001A0F51" w:rsidP="00636FB6">
      <w:pPr>
        <w:pStyle w:val="EndnoteText"/>
        <w:spacing w:line="180" w:lineRule="exact"/>
        <w:ind w:left="0"/>
        <w:rPr>
          <w:rFonts w:ascii="Tahoma" w:hAnsi="Tahoma" w:cs="Tahoma"/>
          <w:sz w:val="18"/>
          <w:szCs w:val="18"/>
        </w:rPr>
      </w:pPr>
    </w:p>
    <w:p w:rsidR="001A0F51" w:rsidRPr="00653421" w:rsidRDefault="001A0F51" w:rsidP="00636FB6">
      <w:pPr>
        <w:pStyle w:val="EndnoteText"/>
        <w:spacing w:line="180" w:lineRule="exact"/>
        <w:ind w:left="0"/>
        <w:rPr>
          <w:rFonts w:ascii="Tahoma" w:hAnsi="Tahoma" w:cs="Tahoma"/>
          <w:sz w:val="18"/>
          <w:szCs w:val="18"/>
        </w:rPr>
      </w:pPr>
    </w:p>
    <w:p w:rsidR="001A0F51" w:rsidRPr="00653421" w:rsidRDefault="001A0F51" w:rsidP="00636FB6">
      <w:pPr>
        <w:pStyle w:val="EndnoteText"/>
        <w:spacing w:line="180" w:lineRule="exact"/>
        <w:ind w:left="0"/>
        <w:rPr>
          <w:rFonts w:ascii="Tahoma" w:hAnsi="Tahoma" w:cs="Tahoma"/>
          <w:sz w:val="18"/>
          <w:szCs w:val="18"/>
        </w:rPr>
      </w:pPr>
    </w:p>
    <w:p w:rsidR="001A0F51" w:rsidRPr="00653421" w:rsidRDefault="001A0F51" w:rsidP="00636FB6">
      <w:pPr>
        <w:pStyle w:val="EndnoteText"/>
        <w:spacing w:line="180" w:lineRule="exact"/>
        <w:ind w:left="0"/>
        <w:rPr>
          <w:rFonts w:ascii="Tahoma" w:hAnsi="Tahoma" w:cs="Tahoma"/>
          <w:sz w:val="18"/>
          <w:szCs w:val="18"/>
        </w:rPr>
      </w:pPr>
    </w:p>
    <w:p w:rsidR="001A0F51" w:rsidRPr="00653421" w:rsidRDefault="001A0F51" w:rsidP="00636FB6">
      <w:pPr>
        <w:pStyle w:val="EndnoteText"/>
        <w:spacing w:line="180" w:lineRule="exact"/>
        <w:ind w:left="0"/>
        <w:rPr>
          <w:rFonts w:ascii="Tahoma" w:hAnsi="Tahoma" w:cs="Tahoma"/>
          <w:sz w:val="18"/>
          <w:szCs w:val="18"/>
        </w:rPr>
      </w:pPr>
    </w:p>
    <w:p w:rsidR="00EF1978" w:rsidRPr="00653421" w:rsidRDefault="00F66FB0" w:rsidP="00EF2279">
      <w:bookmarkStart w:id="1595" w:name="Srv_1102WinSvr08R2Itanium"/>
      <w:bookmarkStart w:id="1596" w:name="_Toc336338371"/>
      <w:bookmarkStart w:id="1597" w:name="_Toc353471011"/>
      <w:bookmarkStart w:id="1598" w:name="Srv_1132WinSvr08R2Itanium"/>
      <w:bookmarkStart w:id="1599" w:name="Srv_117WinSvr08R2Itanium"/>
      <w:bookmarkStart w:id="1600" w:name="Srv_98WinSvr08StdandHyperV"/>
      <w:bookmarkStart w:id="1601" w:name="Srv_99WinSvr08StdandHyperV"/>
      <w:r w:rsidRPr="00653421">
        <w:rPr>
          <w:rStyle w:val="Heading3Char"/>
          <w:rFonts w:ascii="Tahoma" w:hAnsi="Tahoma"/>
          <w:caps/>
          <w:color w:val="F66400"/>
          <w:sz w:val="22"/>
          <w:vertAlign w:val="superscript"/>
        </w:rPr>
        <w:lastRenderedPageBreak/>
        <w:t>105</w:t>
      </w:r>
      <w:r w:rsidRPr="00653421">
        <w:rPr>
          <w:rStyle w:val="Heading3Char"/>
          <w:rFonts w:ascii="Tahoma" w:hAnsi="Tahoma"/>
          <w:color w:val="F66400"/>
          <w:sz w:val="22"/>
        </w:rPr>
        <w:t xml:space="preserve"> Windows Server 2008 R2 para Sistemas Baseados no Itanium</w:t>
      </w:r>
      <w:bookmarkEnd w:id="1595"/>
      <w:bookmarkEnd w:id="1596"/>
      <w:bookmarkEnd w:id="1597"/>
    </w:p>
    <w:bookmarkEnd w:id="1598"/>
    <w:bookmarkEnd w:id="1599"/>
    <w:p w:rsidR="00376D4B" w:rsidRPr="00653421" w:rsidRDefault="00376D4B" w:rsidP="00636FB6">
      <w:pPr>
        <w:spacing w:line="180" w:lineRule="exact"/>
      </w:pPr>
    </w:p>
    <w:p w:rsidR="007E3162" w:rsidRPr="00653421" w:rsidRDefault="006533DF" w:rsidP="007E3162">
      <w:pPr>
        <w:spacing w:after="60"/>
        <w:ind w:left="720"/>
      </w:pPr>
      <w:r w:rsidRPr="00653421">
        <w:rPr>
          <w:b/>
          <w:color w:val="000000"/>
        </w:rPr>
        <w:t>Outorgas de licença associadas ao término da validade da edição do Windows Server para Sistemas Baseados em Itanium</w:t>
      </w:r>
    </w:p>
    <w:p w:rsidR="006533DF" w:rsidRPr="00653421" w:rsidRDefault="006533DF" w:rsidP="007E3162">
      <w:pPr>
        <w:ind w:left="720"/>
      </w:pPr>
      <w:r w:rsidRPr="00653421">
        <w:rPr>
          <w:color w:val="000000"/>
        </w:rPr>
        <w:t>O Windows Server 2008 R2 será a última versão do Windows Server para Sistemas Baseados em Itanium.</w:t>
      </w:r>
      <w:r w:rsidR="005A52A2" w:rsidRPr="00653421">
        <w:rPr>
          <w:color w:val="000000"/>
        </w:rPr>
        <w:t xml:space="preserve"> </w:t>
      </w:r>
      <w:r w:rsidRPr="00653421">
        <w:rPr>
          <w:color w:val="000000"/>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(“Licenças Qualificadas”) poderão</w:t>
      </w:r>
      <w:r w:rsidRPr="00653421">
        <w:rPr>
          <w:rFonts w:eastAsia="Calibri" w:cs="Tahoma"/>
          <w:szCs w:val="18"/>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disponibilização do Windows Server 2012. </w:t>
      </w:r>
    </w:p>
    <w:p w:rsidR="007E3162" w:rsidRPr="00653421" w:rsidRDefault="007E3162" w:rsidP="00636FB6">
      <w:pPr>
        <w:spacing w:line="180" w:lineRule="exact"/>
      </w:pPr>
    </w:p>
    <w:p w:rsidR="006533DF" w:rsidRPr="00653421" w:rsidRDefault="006533DF" w:rsidP="002A01C2">
      <w:pPr>
        <w:numPr>
          <w:ilvl w:val="0"/>
          <w:numId w:val="70"/>
        </w:numPr>
        <w:tabs>
          <w:tab w:val="clear" w:pos="360"/>
          <w:tab w:val="num" w:pos="1440"/>
        </w:tabs>
        <w:spacing w:after="60"/>
        <w:ind w:left="1440"/>
      </w:pPr>
      <w:r w:rsidRPr="00653421">
        <w:rPr>
          <w:color w:val="000000"/>
        </w:rPr>
        <w:t>Se um cliente tiver um número ímpar de Licenças Qualificadas, o cliente precisará arredondar para</w:t>
      </w:r>
      <w:r w:rsidR="008C1992" w:rsidRPr="00653421">
        <w:rPr>
          <w:color w:val="000000"/>
        </w:rPr>
        <w:t> </w:t>
      </w:r>
      <w:r w:rsidRPr="00653421">
        <w:rPr>
          <w:color w:val="000000"/>
        </w:rPr>
        <w:t>baixo para o próximo número par para determinar sua concessão.</w:t>
      </w:r>
      <w:r w:rsidR="005A52A2" w:rsidRPr="00653421">
        <w:rPr>
          <w:color w:val="000000"/>
        </w:rPr>
        <w:t xml:space="preserve"> </w:t>
      </w:r>
      <w:r w:rsidRPr="00653421">
        <w:rPr>
          <w:color w:val="000000"/>
        </w:rPr>
        <w:t>Por exemplo, um cliente</w:t>
      </w:r>
      <w:r w:rsidR="008C1992" w:rsidRPr="00653421">
        <w:rPr>
          <w:color w:val="000000"/>
        </w:rPr>
        <w:t> </w:t>
      </w:r>
      <w:r w:rsidRPr="00653421">
        <w:rPr>
          <w:color w:val="000000"/>
        </w:rPr>
        <w:t>que tenha três Licenças Qualificadas receberá no total uma licença do Windows Server</w:t>
      </w:r>
      <w:r w:rsidR="008C1992" w:rsidRPr="00653421">
        <w:rPr>
          <w:color w:val="000000"/>
        </w:rPr>
        <w:t> </w:t>
      </w:r>
      <w:r w:rsidRPr="00653421">
        <w:rPr>
          <w:color w:val="000000"/>
        </w:rPr>
        <w:t>2012</w:t>
      </w:r>
      <w:r w:rsidR="008C1992" w:rsidRPr="00653421">
        <w:rPr>
          <w:color w:val="000000"/>
        </w:rPr>
        <w:t> </w:t>
      </w:r>
      <w:r w:rsidRPr="00653421">
        <w:rPr>
          <w:color w:val="000000"/>
        </w:rPr>
        <w:t xml:space="preserve">Datacenter. </w:t>
      </w:r>
    </w:p>
    <w:p w:rsidR="006533DF" w:rsidRPr="00653421" w:rsidRDefault="006533DF" w:rsidP="002A01C2">
      <w:pPr>
        <w:pStyle w:val="ListParagraph"/>
        <w:numPr>
          <w:ilvl w:val="0"/>
          <w:numId w:val="70"/>
        </w:numPr>
        <w:tabs>
          <w:tab w:val="clear" w:pos="360"/>
          <w:tab w:val="num" w:pos="1440"/>
        </w:tabs>
        <w:spacing w:after="60"/>
        <w:ind w:left="1440"/>
        <w:contextualSpacing w:val="0"/>
      </w:pPr>
      <w:r w:rsidRPr="00653421">
        <w:rPr>
          <w:rFonts w:ascii="Tahoma" w:eastAsia="Calibri" w:hAnsi="Tahoma" w:cs="Tahoma"/>
          <w:sz w:val="18"/>
          <w:szCs w:val="18"/>
        </w:rPr>
        <w:t>As licenças adquiridas sob esta concessão incluirão cobertura do Software Assurance.</w:t>
      </w:r>
      <w:r w:rsidR="005A52A2" w:rsidRPr="00653421">
        <w:rPr>
          <w:rFonts w:ascii="Tahoma" w:eastAsia="Calibri" w:hAnsi="Tahoma" w:cs="Tahoma"/>
          <w:sz w:val="18"/>
          <w:szCs w:val="18"/>
        </w:rPr>
        <w:t xml:space="preserve"> </w:t>
      </w:r>
      <w:r w:rsidR="001A0F51" w:rsidRPr="00653421">
        <w:rPr>
          <w:rFonts w:ascii="Tahoma" w:eastAsia="Calibri" w:hAnsi="Tahoma" w:cs="Tahoma"/>
          <w:sz w:val="18"/>
          <w:szCs w:val="18"/>
        </w:rPr>
        <w:br/>
      </w:r>
      <w:r w:rsidRPr="00653421">
        <w:rPr>
          <w:rFonts w:ascii="Tahoma" w:eastAsia="Calibri" w:hAnsi="Tahoma" w:cs="Tahoma"/>
          <w:sz w:val="18"/>
          <w:szCs w:val="18"/>
        </w:rPr>
        <w:t>Tal cobertura expira quando a cobertura correspondente nas Licenças Qualificadas expirar.</w:t>
      </w:r>
    </w:p>
    <w:p w:rsidR="006533DF" w:rsidRPr="00653421" w:rsidRDefault="006533DF" w:rsidP="002A01C2">
      <w:pPr>
        <w:pStyle w:val="ListParagraph"/>
        <w:numPr>
          <w:ilvl w:val="0"/>
          <w:numId w:val="70"/>
        </w:numPr>
        <w:tabs>
          <w:tab w:val="clear" w:pos="360"/>
          <w:tab w:val="num" w:pos="1440"/>
        </w:tabs>
        <w:spacing w:after="60"/>
        <w:ind w:left="1440"/>
        <w:contextualSpacing w:val="0"/>
      </w:pPr>
      <w:r w:rsidRPr="00653421">
        <w:rPr>
          <w:rFonts w:ascii="Tahoma" w:eastAsia="Calibri" w:hAnsi="Tahoma" w:cs="Tahoma"/>
          <w:sz w:val="18"/>
          <w:szCs w:val="18"/>
        </w:rPr>
        <w:t>Se os clientes adquiriram direitos perpétuos para usar o software sob as Licenças Qualificadas, as</w:t>
      </w:r>
      <w:r w:rsidR="00BA137C" w:rsidRPr="00653421">
        <w:rPr>
          <w:rFonts w:ascii="Tahoma" w:eastAsia="Calibri" w:hAnsi="Tahoma" w:cs="Tahoma"/>
          <w:sz w:val="18"/>
          <w:szCs w:val="18"/>
        </w:rPr>
        <w:t> </w:t>
      </w:r>
      <w:r w:rsidRPr="00653421">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6533DF" w:rsidRPr="00653421" w:rsidRDefault="006533DF" w:rsidP="002A01C2">
      <w:pPr>
        <w:numPr>
          <w:ilvl w:val="0"/>
          <w:numId w:val="70"/>
        </w:numPr>
        <w:tabs>
          <w:tab w:val="clear" w:pos="360"/>
          <w:tab w:val="num" w:pos="1440"/>
        </w:tabs>
        <w:spacing w:after="60"/>
        <w:ind w:left="1440"/>
      </w:pPr>
      <w:r w:rsidRPr="00653421">
        <w:rPr>
          <w:rFonts w:eastAsia="Calibri" w:cs="Tahoma"/>
          <w:szCs w:val="18"/>
        </w:rPr>
        <w:t>Na atualização para o Windows Server 2012 Datacenter sob essa concessão, as Licenças Qualificadas do Windows Server 2008 R2 para Sistemas Baseados em Itanium existentes do</w:t>
      </w:r>
      <w:r w:rsidR="00BA137C" w:rsidRPr="00653421">
        <w:rPr>
          <w:rFonts w:eastAsia="Calibri" w:cs="Tahoma"/>
          <w:szCs w:val="18"/>
        </w:rPr>
        <w:t> </w:t>
      </w:r>
      <w:r w:rsidRPr="00653421">
        <w:rPr>
          <w:rFonts w:eastAsia="Calibri" w:cs="Tahoma"/>
          <w:szCs w:val="18"/>
        </w:rPr>
        <w:t>cliente</w:t>
      </w:r>
      <w:r w:rsidR="00BA137C" w:rsidRPr="00653421">
        <w:rPr>
          <w:rFonts w:eastAsia="Calibri" w:cs="Tahoma"/>
          <w:szCs w:val="18"/>
        </w:rPr>
        <w:t> </w:t>
      </w:r>
      <w:r w:rsidRPr="00653421">
        <w:rPr>
          <w:rFonts w:eastAsia="Calibri" w:cs="Tahoma"/>
          <w:szCs w:val="18"/>
        </w:rPr>
        <w:t>não serão mais válidas.</w:t>
      </w:r>
    </w:p>
    <w:p w:rsidR="006533DF" w:rsidRPr="00653421" w:rsidRDefault="006533DF" w:rsidP="002A01C2">
      <w:pPr>
        <w:numPr>
          <w:ilvl w:val="0"/>
          <w:numId w:val="70"/>
        </w:numPr>
        <w:tabs>
          <w:tab w:val="clear" w:pos="360"/>
          <w:tab w:val="num" w:pos="1440"/>
        </w:tabs>
        <w:spacing w:after="60"/>
        <w:ind w:left="1440"/>
      </w:pPr>
      <w:r w:rsidRPr="00653421">
        <w:rPr>
          <w:color w:val="000000"/>
        </w:rPr>
        <w:t xml:space="preserve">As licenças do Windows Server 2008 R2 para Sistemas Baseados em Itanium </w:t>
      </w:r>
      <w:r w:rsidRPr="00653421">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 propósitos da outorga de licença supracitada.</w:t>
      </w:r>
      <w:r w:rsidR="005A52A2" w:rsidRPr="00653421">
        <w:rPr>
          <w:rFonts w:cs="Tahoma"/>
          <w:bCs/>
          <w:color w:val="000000"/>
          <w:szCs w:val="18"/>
        </w:rPr>
        <w:t xml:space="preserve"> </w:t>
      </w:r>
    </w:p>
    <w:p w:rsidR="006533DF" w:rsidRPr="00653421" w:rsidRDefault="006533DF" w:rsidP="002A01C2">
      <w:pPr>
        <w:numPr>
          <w:ilvl w:val="0"/>
          <w:numId w:val="70"/>
        </w:numPr>
        <w:tabs>
          <w:tab w:val="clear" w:pos="360"/>
          <w:tab w:val="num" w:pos="1440"/>
        </w:tabs>
        <w:spacing w:after="60"/>
        <w:ind w:left="1440"/>
      </w:pPr>
      <w:r w:rsidRPr="00653421">
        <w:rPr>
          <w:rFonts w:cs="Tahoma"/>
          <w:bCs/>
          <w:color w:val="000000"/>
          <w:szCs w:val="18"/>
        </w:rPr>
        <w:t>Não obstante a concessão das licenças do Windows Server 2012 Datacenter e qualquer atualização</w:t>
      </w:r>
      <w:r w:rsidR="00BA137C" w:rsidRPr="00653421">
        <w:rPr>
          <w:rFonts w:cs="Tahoma"/>
          <w:bCs/>
          <w:color w:val="000000"/>
          <w:szCs w:val="18"/>
        </w:rPr>
        <w:t> </w:t>
      </w:r>
      <w:r w:rsidRPr="00653421">
        <w:rPr>
          <w:rFonts w:cs="Tahoma"/>
          <w:bCs/>
          <w:color w:val="000000"/>
          <w:szCs w:val="18"/>
        </w:rPr>
        <w:t>para esta versão, as obrigações de pagar montantes devidos e pendentes pelas</w:t>
      </w:r>
      <w:r w:rsidR="00BA137C" w:rsidRPr="00653421">
        <w:rPr>
          <w:rFonts w:cs="Tahoma"/>
          <w:bCs/>
          <w:color w:val="000000"/>
          <w:szCs w:val="18"/>
        </w:rPr>
        <w:t> </w:t>
      </w:r>
      <w:r w:rsidRPr="00653421">
        <w:rPr>
          <w:rFonts w:cs="Tahoma"/>
          <w:bCs/>
          <w:color w:val="000000"/>
          <w:szCs w:val="18"/>
        </w:rPr>
        <w:t>Licenças Qualificadas e cobertura permanecem em pleno vigor e efeito.</w:t>
      </w:r>
    </w:p>
    <w:p w:rsidR="00D63C1B" w:rsidRPr="00653421" w:rsidRDefault="00D63C1B" w:rsidP="00636FB6">
      <w:pPr>
        <w:spacing w:line="180" w:lineRule="exact"/>
      </w:pPr>
      <w:bookmarkStart w:id="1602" w:name="_117_Windows_Server"/>
      <w:bookmarkEnd w:id="1600"/>
      <w:bookmarkEnd w:id="1601"/>
      <w:bookmarkEnd w:id="1602"/>
    </w:p>
    <w:p w:rsidR="00586FCE" w:rsidRPr="00653421" w:rsidRDefault="00586FCE" w:rsidP="00636FB6">
      <w:pPr>
        <w:spacing w:line="180" w:lineRule="exact"/>
      </w:pPr>
    </w:p>
    <w:p w:rsidR="00FE1A01" w:rsidRPr="00653421" w:rsidRDefault="00F66FB0" w:rsidP="00EF2279">
      <w:pPr>
        <w:pStyle w:val="Heading3"/>
      </w:pPr>
      <w:bookmarkStart w:id="1603" w:name="_116_Windows_Server"/>
      <w:bookmarkStart w:id="1604" w:name="_Toc336338372"/>
      <w:bookmarkStart w:id="1605" w:name="_Toc353471012"/>
      <w:bookmarkStart w:id="1606" w:name="Srv_101Win2008RemoteCALandExtConn"/>
      <w:bookmarkStart w:id="1607" w:name="Srv_115Win2008RemoteCALandExtConn"/>
      <w:bookmarkStart w:id="1608" w:name="Srv_119Win2008RemoteCALandExtConn"/>
      <w:bookmarkStart w:id="1609" w:name="Srv_101WindowsSvr2008RemoteDesktop"/>
      <w:bookmarkEnd w:id="1603"/>
      <w:r w:rsidRPr="00653421">
        <w:rPr>
          <w:rStyle w:val="Heading3Char"/>
          <w:rFonts w:ascii="Tahoma" w:hAnsi="Tahoma"/>
          <w:b/>
          <w:caps/>
          <w:color w:val="F66400"/>
          <w:sz w:val="22"/>
          <w:vertAlign w:val="superscript"/>
        </w:rPr>
        <w:t>106</w:t>
      </w:r>
      <w:r w:rsidRPr="00653421">
        <w:rPr>
          <w:rStyle w:val="Heading3Char"/>
          <w:rFonts w:ascii="Tahoma" w:hAnsi="Tahoma"/>
          <w:b/>
          <w:caps/>
          <w:color w:val="F66400"/>
          <w:sz w:val="22"/>
        </w:rPr>
        <w:t xml:space="preserve"> </w:t>
      </w:r>
      <w:r w:rsidRPr="00653421">
        <w:rPr>
          <w:rFonts w:ascii="Tahoma" w:hAnsi="Tahoma"/>
          <w:color w:val="F66400"/>
          <w:sz w:val="22"/>
        </w:rPr>
        <w:t>CAL do Windows Server 2012</w:t>
      </w:r>
      <w:bookmarkEnd w:id="1604"/>
      <w:bookmarkEnd w:id="1605"/>
    </w:p>
    <w:p w:rsidR="00FE1A01" w:rsidRPr="00653421" w:rsidRDefault="00FE1A01" w:rsidP="00636FB6">
      <w:pPr>
        <w:spacing w:line="180" w:lineRule="exact"/>
      </w:pPr>
    </w:p>
    <w:p w:rsidR="00FE1A01" w:rsidRPr="00653421" w:rsidRDefault="00FE1A01" w:rsidP="002A01C2">
      <w:pPr>
        <w:ind w:left="720"/>
      </w:pPr>
      <w:r w:rsidRPr="00653421">
        <w:rPr>
          <w:rFonts w:cs="Tahoma"/>
          <w:szCs w:val="18"/>
        </w:rPr>
        <w:t>A CAL do Windows Server 2012 é a próxima versão da CAL do Windows Server 2008.</w:t>
      </w:r>
    </w:p>
    <w:p w:rsidR="002A01C2" w:rsidRPr="00653421" w:rsidRDefault="002A01C2" w:rsidP="00636FB6">
      <w:pPr>
        <w:spacing w:line="180" w:lineRule="exact"/>
      </w:pPr>
    </w:p>
    <w:p w:rsidR="002A01C2" w:rsidRPr="00653421" w:rsidRDefault="00FE1A01" w:rsidP="002A01C2">
      <w:pPr>
        <w:spacing w:after="60"/>
        <w:ind w:left="720"/>
      </w:pPr>
      <w:r w:rsidRPr="00653421">
        <w:rPr>
          <w:rFonts w:eastAsia="Calibri" w:cs="Tahoma"/>
          <w:b/>
          <w:szCs w:val="18"/>
        </w:rPr>
        <w:t>Usando o Windows Server 2012 como um Servidor Web</w:t>
      </w:r>
    </w:p>
    <w:p w:rsidR="00FE1A01" w:rsidRPr="00653421" w:rsidRDefault="00FE1A01" w:rsidP="002A01C2">
      <w:pPr>
        <w:ind w:left="720"/>
      </w:pPr>
      <w:r w:rsidRPr="00653421">
        <w:rPr>
          <w:rFonts w:cs="Tahoma"/>
          <w:color w:val="000000"/>
          <w:szCs w:val="18"/>
        </w:rPr>
        <w:t xml:space="preserve">Quando o Windows Server 2012 Standard ou Datacenter é usado como um Servidor Web, você não </w:t>
      </w:r>
      <w:r w:rsidR="00071601">
        <w:rPr>
          <w:rFonts w:cs="Tahoma"/>
          <w:color w:val="000000"/>
          <w:szCs w:val="18"/>
        </w:rPr>
        <w:br/>
      </w:r>
      <w:r w:rsidRPr="00653421">
        <w:rPr>
          <w:rFonts w:cs="Tahoma"/>
          <w:color w:val="000000"/>
          <w:szCs w:val="18"/>
        </w:rPr>
        <w:t>precisa de CALs para acessar o software. Uma “Carga de Trabalho da Web” significa:</w:t>
      </w:r>
    </w:p>
    <w:p w:rsidR="001A0F51" w:rsidRPr="00653421" w:rsidRDefault="001A0F51" w:rsidP="002A01C2">
      <w:pPr>
        <w:pStyle w:val="PURBody-Indented"/>
        <w:spacing w:after="60"/>
        <w:ind w:left="720"/>
        <w:rPr>
          <w:rFonts w:ascii="Tahoma" w:hAnsi="Tahoma" w:cs="Tahoma"/>
          <w:b/>
          <w:bCs/>
          <w:sz w:val="18"/>
          <w:szCs w:val="18"/>
        </w:rPr>
      </w:pPr>
    </w:p>
    <w:p w:rsidR="002A01C2" w:rsidRPr="00653421" w:rsidRDefault="006707A3" w:rsidP="002A01C2">
      <w:pPr>
        <w:pStyle w:val="PURBody-Indented"/>
        <w:spacing w:after="60"/>
        <w:ind w:left="720"/>
      </w:pPr>
      <w:r w:rsidRPr="00653421">
        <w:rPr>
          <w:rFonts w:ascii="Tahoma" w:hAnsi="Tahoma" w:cs="Tahoma"/>
          <w:b/>
          <w:bCs/>
          <w:sz w:val="18"/>
          <w:szCs w:val="18"/>
        </w:rPr>
        <w:t>Web Workload</w:t>
      </w:r>
      <w:r w:rsidRPr="00653421">
        <w:rPr>
          <w:rFonts w:ascii="Tahoma" w:hAnsi="Tahoma" w:cs="Tahoma"/>
          <w:b/>
          <w:sz w:val="18"/>
          <w:szCs w:val="18"/>
        </w:rPr>
        <w:t xml:space="preserve"> (Soluções da Web na Internet)</w:t>
      </w:r>
    </w:p>
    <w:p w:rsidR="006707A3" w:rsidRPr="00653421" w:rsidRDefault="006707A3" w:rsidP="002A01C2">
      <w:pPr>
        <w:pStyle w:val="PURBody-Indented"/>
        <w:spacing w:after="0"/>
        <w:ind w:left="720"/>
      </w:pPr>
      <w:r w:rsidRPr="00653421">
        <w:rPr>
          <w:rFonts w:ascii="Tahoma" w:hAnsi="Tahoma" w:cs="Tahoma"/>
          <w:sz w:val="18"/>
          <w:szCs w:val="18"/>
        </w:rPr>
        <w:t>As “Soluções de Web na Internet” são de conhecimento público e são compostas exclusivamente de páginas da Web, sites, aplicativos da Web, serviços da Web e/ou serviços de email do POP3. Esclarecendo melhor, o</w:t>
      </w:r>
      <w:r w:rsidR="00FA322D" w:rsidRPr="00653421">
        <w:rPr>
          <w:rFonts w:ascii="Tahoma" w:hAnsi="Tahoma" w:cs="Tahoma"/>
          <w:sz w:val="18"/>
          <w:szCs w:val="18"/>
        </w:rPr>
        <w:t> </w:t>
      </w:r>
      <w:r w:rsidRPr="00653421">
        <w:rPr>
          <w:rFonts w:ascii="Tahoma" w:hAnsi="Tahoma" w:cs="Tahoma"/>
          <w:sz w:val="18"/>
          <w:szCs w:val="18"/>
        </w:rPr>
        <w:t xml:space="preserve">acesso ao conteúdo, às informações e aos aplicativos oferecidos pelo software em uma solução de Web na Internet não está limitado aos funcionários de suas afiliadas. </w:t>
      </w:r>
    </w:p>
    <w:p w:rsidR="001A0F51" w:rsidRPr="00653421" w:rsidRDefault="001A0F51">
      <w:pPr>
        <w:rPr>
          <w:rFonts w:cs="Tahoma"/>
          <w:szCs w:val="18"/>
        </w:rPr>
      </w:pPr>
      <w:r w:rsidRPr="00653421">
        <w:rPr>
          <w:rFonts w:cs="Tahoma"/>
          <w:szCs w:val="18"/>
        </w:rPr>
        <w:br w:type="page"/>
      </w:r>
    </w:p>
    <w:p w:rsidR="006707A3" w:rsidRPr="00653421" w:rsidRDefault="006707A3" w:rsidP="002A01C2">
      <w:pPr>
        <w:pStyle w:val="PURBody-Indented"/>
        <w:spacing w:after="0"/>
        <w:ind w:firstLine="450"/>
      </w:pPr>
      <w:r w:rsidRPr="00653421">
        <w:rPr>
          <w:rFonts w:ascii="Tahoma" w:hAnsi="Tahoma" w:cs="Tahoma"/>
          <w:sz w:val="18"/>
          <w:szCs w:val="18"/>
        </w:rPr>
        <w:lastRenderedPageBreak/>
        <w:t>Você poderá usar o software nas “Soluções da Web na Internet” para executar:</w:t>
      </w:r>
    </w:p>
    <w:p w:rsidR="002A01C2" w:rsidRPr="00653421" w:rsidRDefault="002A01C2" w:rsidP="00834E9F">
      <w:pPr>
        <w:pStyle w:val="PURBody-Indented"/>
        <w:spacing w:after="0" w:line="180" w:lineRule="exact"/>
        <w:ind w:left="274" w:firstLine="446"/>
        <w:rPr>
          <w:rFonts w:ascii="Tahoma" w:hAnsi="Tahoma" w:cs="Tahoma"/>
          <w:sz w:val="18"/>
          <w:szCs w:val="18"/>
        </w:rPr>
      </w:pPr>
    </w:p>
    <w:p w:rsidR="006707A3" w:rsidRPr="00653421" w:rsidRDefault="006707A3" w:rsidP="002A01C2">
      <w:pPr>
        <w:pStyle w:val="PURBullet-Indented"/>
        <w:numPr>
          <w:ilvl w:val="0"/>
          <w:numId w:val="148"/>
        </w:numPr>
        <w:spacing w:after="60" w:line="240" w:lineRule="auto"/>
        <w:ind w:left="1440" w:hanging="360"/>
        <w:contextualSpacing w:val="0"/>
      </w:pPr>
      <w:r w:rsidRPr="00653421">
        <w:rPr>
          <w:rFonts w:ascii="Tahoma" w:hAnsi="Tahoma" w:cs="Tahoma"/>
          <w:sz w:val="18"/>
          <w:szCs w:val="18"/>
        </w:rPr>
        <w:t>software de servidor Web (por exemplo, o Microsoft Internet Information Services) e</w:t>
      </w:r>
      <w:r w:rsidR="00FA322D" w:rsidRPr="00653421">
        <w:rPr>
          <w:rFonts w:ascii="Tahoma" w:hAnsi="Tahoma" w:cs="Tahoma"/>
          <w:sz w:val="18"/>
          <w:szCs w:val="18"/>
        </w:rPr>
        <w:t> </w:t>
      </w:r>
      <w:r w:rsidRPr="00653421">
        <w:rPr>
          <w:rFonts w:ascii="Tahoma" w:hAnsi="Tahoma" w:cs="Tahoma"/>
          <w:sz w:val="18"/>
          <w:szCs w:val="18"/>
        </w:rPr>
        <w:t>gerenciamento de agentes de segurança (por exemplo, o agente System Center Operations</w:t>
      </w:r>
      <w:r w:rsidR="00FA322D" w:rsidRPr="00653421">
        <w:rPr>
          <w:rFonts w:ascii="Tahoma" w:hAnsi="Tahoma" w:cs="Tahoma"/>
          <w:sz w:val="18"/>
          <w:szCs w:val="18"/>
        </w:rPr>
        <w:t> </w:t>
      </w:r>
      <w:r w:rsidRPr="00653421">
        <w:rPr>
          <w:rFonts w:ascii="Tahoma" w:hAnsi="Tahoma" w:cs="Tahoma"/>
          <w:sz w:val="18"/>
          <w:szCs w:val="18"/>
        </w:rPr>
        <w:t>Manager).</w:t>
      </w:r>
    </w:p>
    <w:p w:rsidR="006707A3" w:rsidRPr="00653421" w:rsidRDefault="006707A3" w:rsidP="00E53811">
      <w:pPr>
        <w:pStyle w:val="PURBullet-Indented"/>
        <w:numPr>
          <w:ilvl w:val="0"/>
          <w:numId w:val="148"/>
        </w:numPr>
        <w:spacing w:after="60" w:line="240" w:lineRule="auto"/>
        <w:ind w:left="1440" w:hanging="360"/>
        <w:contextualSpacing w:val="0"/>
      </w:pPr>
      <w:r w:rsidRPr="00653421">
        <w:rPr>
          <w:rFonts w:ascii="Tahoma" w:hAnsi="Tahoma" w:cs="Tahoma"/>
          <w:sz w:val="18"/>
          <w:szCs w:val="18"/>
        </w:rPr>
        <w:t>software de mecanismo de banco de dados (por exemplo, Microsoft SQL Server) unicamente para</w:t>
      </w:r>
      <w:r w:rsidR="00FA322D" w:rsidRPr="00653421">
        <w:rPr>
          <w:rFonts w:ascii="Tahoma" w:hAnsi="Tahoma" w:cs="Tahoma"/>
          <w:sz w:val="18"/>
          <w:szCs w:val="18"/>
        </w:rPr>
        <w:t> </w:t>
      </w:r>
      <w:r w:rsidRPr="00653421">
        <w:rPr>
          <w:rFonts w:ascii="Tahoma" w:hAnsi="Tahoma" w:cs="Tahoma"/>
          <w:sz w:val="18"/>
          <w:szCs w:val="18"/>
        </w:rPr>
        <w:t xml:space="preserve">oferecer o suporte a soluções da Internet. </w:t>
      </w:r>
    </w:p>
    <w:p w:rsidR="006707A3" w:rsidRPr="00653421" w:rsidRDefault="006707A3" w:rsidP="002A01C2">
      <w:pPr>
        <w:pStyle w:val="PURBullet-Indented"/>
        <w:numPr>
          <w:ilvl w:val="0"/>
          <w:numId w:val="148"/>
        </w:numPr>
        <w:spacing w:after="60" w:line="240" w:lineRule="auto"/>
        <w:ind w:left="1440" w:hanging="360"/>
        <w:contextualSpacing w:val="0"/>
      </w:pPr>
      <w:r w:rsidRPr="00653421">
        <w:rPr>
          <w:rFonts w:ascii="Tahoma" w:hAnsi="Tahoma" w:cs="Tahoma"/>
          <w:sz w:val="18"/>
          <w:szCs w:val="18"/>
        </w:rPr>
        <w:t xml:space="preserve">serviço DNS (Domain Name System) para fornecer resolução de nomes da Internet aos </w:t>
      </w:r>
      <w:r w:rsidR="00071601">
        <w:rPr>
          <w:rFonts w:ascii="Tahoma" w:hAnsi="Tahoma" w:cs="Tahoma"/>
          <w:sz w:val="18"/>
          <w:szCs w:val="18"/>
        </w:rPr>
        <w:br/>
      </w:r>
      <w:r w:rsidRPr="00653421">
        <w:rPr>
          <w:rFonts w:ascii="Tahoma" w:hAnsi="Tahoma" w:cs="Tahoma"/>
          <w:sz w:val="18"/>
          <w:szCs w:val="18"/>
        </w:rPr>
        <w:t>endereços IP, desde que não seja a função exclusiva dessa instância do servidor.</w:t>
      </w:r>
    </w:p>
    <w:p w:rsidR="000D5F24" w:rsidRPr="00653421" w:rsidRDefault="000D5F24" w:rsidP="00834E9F">
      <w:pPr>
        <w:spacing w:line="180" w:lineRule="exact"/>
        <w:ind w:left="274" w:firstLine="446"/>
      </w:pPr>
    </w:p>
    <w:p w:rsidR="002A01C2" w:rsidRPr="00653421" w:rsidRDefault="00FE1A01" w:rsidP="002A01C2">
      <w:pPr>
        <w:spacing w:after="60"/>
        <w:ind w:left="720"/>
      </w:pPr>
      <w:r w:rsidRPr="00653421">
        <w:rPr>
          <w:rFonts w:eastAsia="Calibri" w:cs="Tahoma"/>
          <w:b/>
          <w:szCs w:val="18"/>
        </w:rPr>
        <w:t>Usando o Windows Server 2012 para High Performance Computing (HPC)</w:t>
      </w:r>
    </w:p>
    <w:p w:rsidR="00376D4B" w:rsidRPr="00653421" w:rsidRDefault="00FE1A01" w:rsidP="002A01C2">
      <w:pPr>
        <w:ind w:left="720"/>
      </w:pPr>
      <w:r w:rsidRPr="00653421">
        <w:rPr>
          <w:color w:val="000000"/>
        </w:rPr>
        <w:t>Quando o Windows Server 2012 Standard ou Datacenter é usado para High Performance Computing, você</w:t>
      </w:r>
      <w:r w:rsidR="00FA322D" w:rsidRPr="00653421">
        <w:rPr>
          <w:color w:val="000000"/>
        </w:rPr>
        <w:t> </w:t>
      </w:r>
      <w:r w:rsidRPr="00653421">
        <w:rPr>
          <w:color w:val="000000"/>
        </w:rPr>
        <w:t>não precisa de CALs para acessar o software. Uma “Carga de Trabalho High Performance Computing (“HPC”)” significa uma carga de trabalho na qual o software para servidores é usado para executar um Nó</w:t>
      </w:r>
      <w:r w:rsidR="00FA322D" w:rsidRPr="00653421">
        <w:rPr>
          <w:color w:val="000000"/>
        </w:rPr>
        <w:t> </w:t>
      </w:r>
      <w:r w:rsidRPr="00653421">
        <w:rPr>
          <w:color w:val="000000"/>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w:t>
      </w:r>
      <w:r w:rsidR="00FA322D" w:rsidRPr="00653421">
        <w:rPr>
          <w:color w:val="000000"/>
        </w:rPr>
        <w:t> </w:t>
      </w:r>
      <w:r w:rsidRPr="00653421">
        <w:rPr>
          <w:color w:val="000000"/>
        </w:rPr>
        <w:t>Direitos de Uso de Produto para obter detalhes adicionais.</w:t>
      </w:r>
      <w:bookmarkEnd w:id="1606"/>
      <w:bookmarkEnd w:id="1607"/>
      <w:bookmarkEnd w:id="1608"/>
    </w:p>
    <w:p w:rsidR="00FA322D" w:rsidRPr="00653421" w:rsidRDefault="00FA322D" w:rsidP="00834E9F">
      <w:pPr>
        <w:pStyle w:val="ListParagraph"/>
        <w:spacing w:line="180" w:lineRule="exact"/>
        <w:ind w:left="274" w:firstLine="446"/>
        <w:contextualSpacing w:val="0"/>
        <w:rPr>
          <w:rFonts w:ascii="Tahoma" w:hAnsi="Tahoma" w:cs="Tahoma"/>
          <w:sz w:val="18"/>
          <w:szCs w:val="18"/>
        </w:rPr>
      </w:pPr>
    </w:p>
    <w:p w:rsidR="00F745E1" w:rsidRPr="00653421" w:rsidRDefault="00F745E1" w:rsidP="00834E9F">
      <w:pPr>
        <w:spacing w:line="180" w:lineRule="exact"/>
        <w:ind w:left="274" w:firstLine="446"/>
        <w:rPr>
          <w:rFonts w:cs="Tahoma"/>
        </w:rPr>
      </w:pPr>
    </w:p>
    <w:p w:rsidR="00F745E1" w:rsidRPr="00653421" w:rsidRDefault="00F66FB0" w:rsidP="00F745E1">
      <w:pPr>
        <w:pStyle w:val="Heading3"/>
        <w:ind w:left="360" w:hanging="360"/>
      </w:pPr>
      <w:bookmarkStart w:id="1610" w:name="_114_Windows_Server"/>
      <w:bookmarkStart w:id="1611" w:name="_Toc336338373"/>
      <w:bookmarkStart w:id="1612" w:name="_Toc353471013"/>
      <w:bookmarkStart w:id="1613" w:name="Srv_111WinSvr08R2Datacenter"/>
      <w:bookmarkStart w:id="1614" w:name="Srv_115WinSvr08R2Datacenter"/>
      <w:bookmarkEnd w:id="1610"/>
      <w:r w:rsidRPr="00653421">
        <w:rPr>
          <w:rFonts w:ascii="Tahoma" w:hAnsi="Tahoma"/>
          <w:caps/>
          <w:color w:val="F66400"/>
          <w:sz w:val="22"/>
          <w:vertAlign w:val="superscript"/>
        </w:rPr>
        <w:t>107</w:t>
      </w:r>
      <w:r w:rsidRPr="00653421">
        <w:rPr>
          <w:rFonts w:ascii="Tahoma" w:hAnsi="Tahoma"/>
          <w:caps/>
          <w:color w:val="F66400"/>
          <w:sz w:val="22"/>
        </w:rPr>
        <w:t xml:space="preserve"> </w:t>
      </w:r>
      <w:r w:rsidRPr="00653421">
        <w:rPr>
          <w:rFonts w:ascii="Tahoma" w:hAnsi="Tahoma"/>
          <w:color w:val="F66400"/>
          <w:sz w:val="22"/>
        </w:rPr>
        <w:t>Windows Server 2008 R2 Datacenter</w:t>
      </w:r>
      <w:bookmarkEnd w:id="1611"/>
      <w:bookmarkEnd w:id="1612"/>
      <w:r w:rsidRPr="00653421">
        <w:rPr>
          <w:rFonts w:ascii="Tahoma" w:hAnsi="Tahoma"/>
          <w:color w:val="F66400"/>
          <w:sz w:val="22"/>
        </w:rPr>
        <w:t xml:space="preserve"> </w:t>
      </w:r>
    </w:p>
    <w:bookmarkEnd w:id="1613"/>
    <w:bookmarkEnd w:id="1614"/>
    <w:p w:rsidR="00F745E1" w:rsidRPr="00653421" w:rsidRDefault="00F745E1" w:rsidP="00834E9F">
      <w:pPr>
        <w:spacing w:line="180" w:lineRule="exact"/>
        <w:ind w:left="274" w:firstLine="446"/>
      </w:pPr>
    </w:p>
    <w:p w:rsidR="002A01C2" w:rsidRPr="00653421" w:rsidRDefault="00F745E1" w:rsidP="002A01C2">
      <w:pPr>
        <w:spacing w:after="60"/>
        <w:ind w:left="720"/>
      </w:pPr>
      <w:r w:rsidRPr="00653421">
        <w:rPr>
          <w:b/>
          <w:color w:val="000000"/>
        </w:rPr>
        <w:t>Outorgas de licença associadas à alteração no modelo de licenciamento para Windows Server</w:t>
      </w:r>
      <w:r w:rsidR="00B74C34" w:rsidRPr="00653421">
        <w:rPr>
          <w:b/>
          <w:color w:val="000000"/>
        </w:rPr>
        <w:t> </w:t>
      </w:r>
      <w:r w:rsidRPr="00653421">
        <w:rPr>
          <w:b/>
          <w:color w:val="000000"/>
        </w:rPr>
        <w:t>Datacenter</w:t>
      </w:r>
    </w:p>
    <w:p w:rsidR="00F745E1" w:rsidRPr="00653421" w:rsidRDefault="00F745E1" w:rsidP="00F745E1">
      <w:pPr>
        <w:spacing w:after="200"/>
        <w:ind w:left="720"/>
      </w:pPr>
      <w:r w:rsidRPr="00653421">
        <w:rPr>
          <w:color w:val="000000"/>
        </w:rPr>
        <w:t>O Windows Server 2012 Datacenter será licenciado sob um novo modelo de licenciamento no qual cada licença poderá abranger até dois processadores físicos. Os clientes de licenciamento por volume com Software Assurance ativo para licenças do Windows Server 2008 R2 Datacenter em 1º de setembro de</w:t>
      </w:r>
      <w:r w:rsidR="00CC6362" w:rsidRPr="00653421">
        <w:rPr>
          <w:color w:val="000000"/>
        </w:rPr>
        <w:t> </w:t>
      </w:r>
      <w:r w:rsidRPr="00653421">
        <w:rPr>
          <w:color w:val="000000"/>
        </w:rPr>
        <w:t>2012</w:t>
      </w:r>
      <w:r w:rsidR="00AE23CB" w:rsidRPr="00653421">
        <w:rPr>
          <w:color w:val="000000"/>
        </w:rPr>
        <w:t> </w:t>
      </w:r>
      <w:r w:rsidRPr="00653421">
        <w:rPr>
          <w:color w:val="000000"/>
        </w:rPr>
        <w:t>ou a partir da data da primeira disponibilização do Windows Server 2012 para download no Volume Licensing Service Center (Centro de Atendimento de Licenciamento por Volume), o que ocorrer primeiro, (“Licenças Qualificadas”) poderão</w:t>
      </w:r>
      <w:r w:rsidRPr="00653421">
        <w:rPr>
          <w:rFonts w:eastAsia="Calibri" w:cs="Tahoma"/>
          <w:szCs w:val="18"/>
        </w:rPr>
        <w:t xml:space="preserve"> atualizar para e usar o software Windows Server 2012 Datacenter em vez</w:t>
      </w:r>
      <w:r w:rsidR="00AE23CB" w:rsidRPr="00653421">
        <w:rPr>
          <w:rFonts w:eastAsia="Calibri" w:cs="Tahoma"/>
          <w:szCs w:val="18"/>
        </w:rPr>
        <w:t> </w:t>
      </w:r>
      <w:r w:rsidRPr="00653421">
        <w:rPr>
          <w:rFonts w:eastAsia="Calibri" w:cs="Tahoma"/>
          <w:szCs w:val="18"/>
        </w:rPr>
        <w:t xml:space="preserve">do Windows Server 2008 R2 Datacenter. Para facilitar essa atualização, para cada duas Licenças Qualificadas que o cliente possui, ele terá uma licença do processador Windows Server 2012 Datacenter mediante a disponibilização do Windows Server 2012. </w:t>
      </w:r>
    </w:p>
    <w:p w:rsidR="00F745E1" w:rsidRPr="00653421" w:rsidRDefault="00F745E1" w:rsidP="00EF36CE">
      <w:pPr>
        <w:numPr>
          <w:ilvl w:val="0"/>
          <w:numId w:val="66"/>
        </w:numPr>
        <w:spacing w:afterLines="60" w:after="144"/>
        <w:ind w:left="1440" w:hanging="274"/>
      </w:pPr>
      <w:r w:rsidRPr="00653421">
        <w:rPr>
          <w:color w:val="000000"/>
        </w:rPr>
        <w:t>Se um cliente tiver um número ímpar de Licenças Qualificadas, o cliente precisará arredondar para</w:t>
      </w:r>
      <w:r w:rsidR="00AE23CB" w:rsidRPr="00653421">
        <w:rPr>
          <w:color w:val="000000"/>
        </w:rPr>
        <w:t> </w:t>
      </w:r>
      <w:r w:rsidRPr="00653421">
        <w:rPr>
          <w:color w:val="000000"/>
        </w:rPr>
        <w:t>baixo para o próximo número par para determinar sua concessão.</w:t>
      </w:r>
      <w:r w:rsidR="005A52A2" w:rsidRPr="00653421">
        <w:rPr>
          <w:color w:val="000000"/>
        </w:rPr>
        <w:t xml:space="preserve"> </w:t>
      </w:r>
      <w:r w:rsidRPr="00653421">
        <w:rPr>
          <w:color w:val="000000"/>
        </w:rPr>
        <w:t>Por exemplo, um cliente</w:t>
      </w:r>
      <w:r w:rsidR="00AE23CB" w:rsidRPr="00653421">
        <w:rPr>
          <w:color w:val="000000"/>
        </w:rPr>
        <w:t> </w:t>
      </w:r>
      <w:r w:rsidRPr="00653421">
        <w:rPr>
          <w:color w:val="000000"/>
        </w:rPr>
        <w:t>que tenha três Licenças Qualificadas receberá no total uma licença do Windows Server</w:t>
      </w:r>
      <w:r w:rsidR="00AE23CB" w:rsidRPr="00653421">
        <w:rPr>
          <w:color w:val="000000"/>
        </w:rPr>
        <w:t> </w:t>
      </w:r>
      <w:r w:rsidRPr="00653421">
        <w:rPr>
          <w:color w:val="000000"/>
        </w:rPr>
        <w:t>2012</w:t>
      </w:r>
      <w:r w:rsidR="00AE23CB" w:rsidRPr="00653421">
        <w:rPr>
          <w:color w:val="000000"/>
        </w:rPr>
        <w:t> </w:t>
      </w:r>
      <w:r w:rsidRPr="00653421">
        <w:rPr>
          <w:color w:val="000000"/>
        </w:rPr>
        <w:t xml:space="preserve">Datacenter. </w:t>
      </w:r>
    </w:p>
    <w:p w:rsidR="00F745E1" w:rsidRPr="00653421" w:rsidRDefault="00F745E1" w:rsidP="00E53811">
      <w:pPr>
        <w:numPr>
          <w:ilvl w:val="0"/>
          <w:numId w:val="66"/>
        </w:numPr>
        <w:tabs>
          <w:tab w:val="left" w:pos="990"/>
        </w:tabs>
        <w:spacing w:after="60"/>
        <w:ind w:left="1440"/>
      </w:pPr>
      <w:r w:rsidRPr="00653421">
        <w:rPr>
          <w:rFonts w:eastAsia="Calibri" w:cs="Tahoma"/>
          <w:szCs w:val="18"/>
        </w:rPr>
        <w:t>As licenças adquiridas sob esta concessão incluirão cobertura do Software Assurance.</w:t>
      </w:r>
      <w:r w:rsidR="005A52A2" w:rsidRPr="00653421">
        <w:rPr>
          <w:rFonts w:eastAsia="Calibri" w:cs="Tahoma"/>
          <w:szCs w:val="18"/>
        </w:rPr>
        <w:t xml:space="preserve"> </w:t>
      </w:r>
      <w:r w:rsidR="00071601">
        <w:rPr>
          <w:rFonts w:eastAsia="Calibri" w:cs="Tahoma"/>
          <w:szCs w:val="18"/>
        </w:rPr>
        <w:br/>
      </w:r>
      <w:r w:rsidRPr="00653421">
        <w:rPr>
          <w:rFonts w:eastAsia="Calibri" w:cs="Tahoma"/>
          <w:szCs w:val="18"/>
        </w:rPr>
        <w:t>Tal cobertura expira quando a cobertura correspondente nas Licenças Qualificadas expirar.</w:t>
      </w:r>
    </w:p>
    <w:p w:rsidR="00F745E1" w:rsidRPr="00653421" w:rsidRDefault="00F745E1" w:rsidP="00E53811">
      <w:pPr>
        <w:numPr>
          <w:ilvl w:val="0"/>
          <w:numId w:val="66"/>
        </w:numPr>
        <w:tabs>
          <w:tab w:val="left" w:pos="990"/>
        </w:tabs>
        <w:spacing w:after="60"/>
        <w:ind w:left="1440"/>
      </w:pPr>
      <w:r w:rsidRPr="00653421">
        <w:rPr>
          <w:rFonts w:eastAsia="Calibri" w:cs="Tahoma"/>
          <w:szCs w:val="18"/>
        </w:rPr>
        <w:t>Se os clientes adquiriram direitos perpétuos para usar o software sob as Licenças Qualificadas, as</w:t>
      </w:r>
      <w:r w:rsidR="00AE23CB" w:rsidRPr="00653421">
        <w:rPr>
          <w:rFonts w:eastAsia="Calibri" w:cs="Tahoma"/>
          <w:szCs w:val="18"/>
        </w:rPr>
        <w:t> </w:t>
      </w:r>
      <w:r w:rsidRPr="00653421">
        <w:rPr>
          <w:rFonts w:eastAsia="Calibri" w:cs="Tahoma"/>
          <w:szCs w:val="18"/>
        </w:rPr>
        <w:t>licenças adquiridas sob essa concessão serão também perpétuas; caso contrário, as licenças adquiridas sob essa concessão expirarão quando as Licenças Qualificadas subjacentes expirarem.</w:t>
      </w:r>
    </w:p>
    <w:p w:rsidR="00F745E1" w:rsidRPr="00653421" w:rsidRDefault="00F745E1" w:rsidP="00E53811">
      <w:pPr>
        <w:numPr>
          <w:ilvl w:val="0"/>
          <w:numId w:val="70"/>
        </w:numPr>
        <w:spacing w:after="60"/>
        <w:ind w:left="1440"/>
      </w:pPr>
      <w:r w:rsidRPr="00653421">
        <w:rPr>
          <w:rFonts w:eastAsia="Calibri" w:cs="Tahoma"/>
          <w:szCs w:val="18"/>
        </w:rPr>
        <w:t>Na atualização para o Windows Server 2012 Datacenter sob essa concessão, as Licenças Qualificadas do Windows Server 2008 R2 Datacenter existentes do cliente não serão mais válidas.</w:t>
      </w:r>
    </w:p>
    <w:p w:rsidR="001A0F51" w:rsidRPr="00653421" w:rsidRDefault="00F745E1" w:rsidP="00E53811">
      <w:pPr>
        <w:numPr>
          <w:ilvl w:val="0"/>
          <w:numId w:val="70"/>
        </w:numPr>
        <w:spacing w:after="60"/>
        <w:ind w:left="1440"/>
      </w:pPr>
      <w:r w:rsidRPr="00E53811">
        <w:rPr>
          <w:color w:val="000000"/>
        </w:rPr>
        <w:t xml:space="preserve">As licenças do Windows Server 2008 R2 Datacenter </w:t>
      </w:r>
      <w:r w:rsidRPr="00E53811">
        <w:rPr>
          <w:rFonts w:cs="Tahoma"/>
          <w:bCs/>
          <w:color w:val="000000"/>
          <w:szCs w:val="18"/>
        </w:rPr>
        <w:t>adquiridas posteriormente no mesmo prazo de</w:t>
      </w:r>
      <w:r w:rsidR="00AE23CB" w:rsidRPr="00E53811">
        <w:rPr>
          <w:rFonts w:cs="Tahoma"/>
          <w:bCs/>
          <w:color w:val="000000"/>
          <w:szCs w:val="18"/>
        </w:rPr>
        <w:t> </w:t>
      </w:r>
      <w:r w:rsidRPr="00E53811">
        <w:rPr>
          <w:rFonts w:cs="Tahoma"/>
          <w:bCs/>
          <w:color w:val="000000"/>
          <w:szCs w:val="18"/>
        </w:rPr>
        <w:t>registro, como parte de um processo de adequação (“true-up”) programado do cliente Enterprise, Enterprise Subscription, Open Value Subscription ou EES também são Licenças Qualificadas para os propósitos da concessão supracitada.</w:t>
      </w:r>
      <w:r w:rsidR="005A52A2" w:rsidRPr="00E53811">
        <w:rPr>
          <w:rFonts w:cs="Tahoma"/>
          <w:bCs/>
          <w:color w:val="000000"/>
          <w:szCs w:val="18"/>
        </w:rPr>
        <w:t xml:space="preserve"> </w:t>
      </w:r>
    </w:p>
    <w:p w:rsidR="00FD1141" w:rsidRPr="00653421" w:rsidRDefault="00FD1141" w:rsidP="00E53811">
      <w:pPr>
        <w:numPr>
          <w:ilvl w:val="0"/>
          <w:numId w:val="70"/>
        </w:numPr>
        <w:spacing w:after="60"/>
        <w:ind w:left="1440"/>
      </w:pPr>
      <w:r w:rsidRPr="00653421">
        <w:rPr>
          <w:rFonts w:cs="Tahoma"/>
        </w:rPr>
        <w:t>Licenças de um único processador do Windows Server Datacenter adquiridas depois de 1º</w:t>
      </w:r>
      <w:r w:rsidR="00AE23CB" w:rsidRPr="00653421">
        <w:rPr>
          <w:rFonts w:cs="Tahoma"/>
        </w:rPr>
        <w:t> </w:t>
      </w:r>
      <w:r w:rsidRPr="00653421">
        <w:rPr>
          <w:rFonts w:cs="Tahoma"/>
        </w:rPr>
        <w:t>de</w:t>
      </w:r>
      <w:r w:rsidR="00AE23CB" w:rsidRPr="00653421">
        <w:rPr>
          <w:rFonts w:cs="Tahoma"/>
        </w:rPr>
        <w:t> </w:t>
      </w:r>
      <w:r w:rsidRPr="00653421">
        <w:rPr>
          <w:rFonts w:cs="Tahoma"/>
        </w:rPr>
        <w:t>setembro de 2012 com cobertura de Software Assurance também são Licenças Qualificadas</w:t>
      </w:r>
      <w:r w:rsidR="00AE23CB" w:rsidRPr="00653421">
        <w:rPr>
          <w:rFonts w:cs="Tahoma"/>
        </w:rPr>
        <w:t> </w:t>
      </w:r>
      <w:r w:rsidRPr="00653421">
        <w:rPr>
          <w:rFonts w:cs="Tahoma"/>
        </w:rPr>
        <w:t xml:space="preserve">para os propósitos da concessão supracitada. </w:t>
      </w:r>
    </w:p>
    <w:p w:rsidR="00F745E1" w:rsidRPr="00653421" w:rsidRDefault="00F745E1" w:rsidP="00E53811">
      <w:pPr>
        <w:numPr>
          <w:ilvl w:val="0"/>
          <w:numId w:val="70"/>
        </w:numPr>
        <w:spacing w:after="60"/>
        <w:ind w:left="1440"/>
      </w:pPr>
      <w:r w:rsidRPr="00653421">
        <w:rPr>
          <w:rFonts w:cs="Tahoma"/>
          <w:bCs/>
          <w:color w:val="000000"/>
          <w:szCs w:val="18"/>
        </w:rPr>
        <w:t>Não obstante a concessão das licenças do Windows Server 2012 Datacenter e qualquer atualização para esta versão, as obrigações de pagar montantes devidos e pendentes pelas Licenças Qualificadas e cobertura permanecem em pleno vigor e efeito.</w:t>
      </w:r>
    </w:p>
    <w:p w:rsidR="00376D4B" w:rsidRPr="00653421" w:rsidRDefault="00376D4B" w:rsidP="00376D4B">
      <w:pPr>
        <w:ind w:left="720"/>
      </w:pPr>
    </w:p>
    <w:p w:rsidR="00FD1141" w:rsidRPr="00653421" w:rsidRDefault="00BF7C75" w:rsidP="00FD1141">
      <w:pPr>
        <w:ind w:left="720"/>
      </w:pPr>
      <w:r w:rsidRPr="00653421">
        <w:rPr>
          <w:rFonts w:cs="Tahoma"/>
          <w:color w:val="000000"/>
          <w:szCs w:val="18"/>
        </w:rPr>
        <w:lastRenderedPageBreak/>
        <w:t>Windows Server 2012 Datacenter – 1 SKU de Licença de Processador; o Windows Server 2012 está mudando para um Processador mais o modelo de licenciamento de CAL, com cada licença abrangendo dois</w:t>
      </w:r>
      <w:r w:rsidR="00834E9F" w:rsidRPr="00653421">
        <w:rPr>
          <w:rFonts w:cs="Tahoma"/>
          <w:color w:val="000000"/>
          <w:szCs w:val="18"/>
        </w:rPr>
        <w:t xml:space="preserve"> </w:t>
      </w:r>
      <w:r w:rsidRPr="00653421">
        <w:rPr>
          <w:rFonts w:cs="Tahoma"/>
          <w:color w:val="000000"/>
          <w:szCs w:val="18"/>
        </w:rPr>
        <w:t>processadores.</w:t>
      </w:r>
      <w:r w:rsidR="005A52A2" w:rsidRPr="00653421">
        <w:rPr>
          <w:rFonts w:cs="Tahoma"/>
          <w:color w:val="000000"/>
          <w:szCs w:val="18"/>
        </w:rPr>
        <w:t xml:space="preserve"> </w:t>
      </w:r>
      <w:r w:rsidRPr="00653421">
        <w:rPr>
          <w:rFonts w:cs="Tahoma"/>
          <w:color w:val="000000"/>
          <w:szCs w:val="18"/>
        </w:rPr>
        <w:t>A oferta no. P71-01031 foi intencionalmente incluída na lista de preços de setembro e</w:t>
      </w:r>
      <w:r w:rsidR="00834E9F" w:rsidRPr="00653421">
        <w:rPr>
          <w:rFonts w:cs="Tahoma"/>
          <w:color w:val="000000"/>
          <w:szCs w:val="18"/>
        </w:rPr>
        <w:t xml:space="preserve"> </w:t>
      </w:r>
      <w:r w:rsidRPr="00653421">
        <w:rPr>
          <w:rFonts w:cs="Tahoma"/>
          <w:color w:val="000000"/>
          <w:szCs w:val="18"/>
        </w:rPr>
        <w:t>não deve ser usada para nenhum programa que não seja o SPLA.</w:t>
      </w:r>
      <w:r w:rsidR="005A52A2" w:rsidRPr="00653421">
        <w:rPr>
          <w:rFonts w:cs="Tahoma"/>
          <w:color w:val="000000"/>
          <w:szCs w:val="18"/>
        </w:rPr>
        <w:t xml:space="preserve"> </w:t>
      </w:r>
      <w:r w:rsidRPr="00653421">
        <w:rPr>
          <w:rFonts w:cs="Tahoma"/>
          <w:color w:val="000000"/>
          <w:szCs w:val="18"/>
        </w:rPr>
        <w:t>Essa oferta abrange um único processador; os clientes que a adquirirem não serão cobertos pelos direitos de uso atuais.</w:t>
      </w:r>
      <w:r w:rsidR="005A52A2" w:rsidRPr="00653421">
        <w:rPr>
          <w:rFonts w:cs="Tahoma"/>
          <w:color w:val="000000"/>
          <w:szCs w:val="18"/>
        </w:rPr>
        <w:t xml:space="preserve"> </w:t>
      </w:r>
      <w:r w:rsidRPr="00653421">
        <w:rPr>
          <w:rFonts w:cs="Tahoma"/>
          <w:color w:val="000000"/>
          <w:szCs w:val="18"/>
        </w:rPr>
        <w:t>Essa SKU só deve</w:t>
      </w:r>
      <w:r w:rsidR="00AE23CB" w:rsidRPr="00653421">
        <w:rPr>
          <w:rFonts w:cs="Tahoma"/>
          <w:color w:val="000000"/>
          <w:szCs w:val="18"/>
        </w:rPr>
        <w:t> </w:t>
      </w:r>
      <w:r w:rsidRPr="00653421">
        <w:rPr>
          <w:rFonts w:cs="Tahoma"/>
          <w:color w:val="000000"/>
          <w:szCs w:val="18"/>
        </w:rPr>
        <w:t xml:space="preserve">ser usada pelos clientes SPLA. A oferta correta para todos os programas </w:t>
      </w:r>
      <w:r w:rsidRPr="00653421">
        <w:rPr>
          <w:rFonts w:cs="Tahoma"/>
          <w:szCs w:val="18"/>
        </w:rPr>
        <w:t>que não sejam o SPLA é a</w:t>
      </w:r>
      <w:r w:rsidR="00AE23CB" w:rsidRPr="00653421">
        <w:rPr>
          <w:rFonts w:cs="Tahoma"/>
          <w:szCs w:val="18"/>
        </w:rPr>
        <w:t> </w:t>
      </w:r>
      <w:r w:rsidRPr="00653421">
        <w:rPr>
          <w:rFonts w:cs="Tahoma"/>
          <w:szCs w:val="18"/>
        </w:rPr>
        <w:t>oferta no. P71-07280. Os clientes que já adquiriram a oferta no. P71-01031, consulte a concessão de migração acima.</w:t>
      </w:r>
    </w:p>
    <w:p w:rsidR="00202A44" w:rsidRPr="00653421" w:rsidRDefault="00202A44" w:rsidP="00376D4B">
      <w:pPr>
        <w:ind w:left="720"/>
      </w:pPr>
    </w:p>
    <w:p w:rsidR="00F745E1" w:rsidRPr="00653421" w:rsidRDefault="00202A44" w:rsidP="00E53811">
      <w:pPr>
        <w:pStyle w:val="PURBody-Indented"/>
        <w:spacing w:after="0"/>
        <w:ind w:left="720"/>
      </w:pPr>
      <w:r w:rsidRPr="00653421">
        <w:rPr>
          <w:rFonts w:ascii="Tahoma" w:hAnsi="Tahoma" w:cs="Tahoma"/>
          <w:color w:val="000000"/>
          <w:sz w:val="18"/>
          <w:szCs w:val="18"/>
        </w:rPr>
        <w:t xml:space="preserve">Windows Server 2012 Datacenter: </w:t>
      </w:r>
      <w:r w:rsidRPr="00653421">
        <w:rPr>
          <w:rFonts w:ascii="Tahoma" w:hAnsi="Tahoma" w:cs="Tahoma"/>
          <w:sz w:val="18"/>
          <w:szCs w:val="18"/>
        </w:rPr>
        <w:t>Você poderá executar uma instância do Windows Server Datacenter, Enterprise, Standard ou Essentials (a mesma ou qualquer versão anterior) em vez do Windows Server 2012 Datacenter em qualquer OSE em seu servidor licenciado.</w:t>
      </w:r>
    </w:p>
    <w:p w:rsidR="00AE23CB" w:rsidRPr="00653421" w:rsidRDefault="00AE23CB" w:rsidP="00F745E1">
      <w:pPr>
        <w:pStyle w:val="ListParagraph"/>
        <w:ind w:left="0"/>
        <w:contextualSpacing w:val="0"/>
        <w:rPr>
          <w:rFonts w:ascii="Tahoma" w:hAnsi="Tahoma" w:cs="Tahoma"/>
          <w:sz w:val="18"/>
          <w:szCs w:val="18"/>
        </w:rPr>
      </w:pPr>
    </w:p>
    <w:p w:rsidR="00AE23CB" w:rsidRPr="00653421" w:rsidRDefault="00AE23CB" w:rsidP="00F745E1">
      <w:pPr>
        <w:pStyle w:val="ListParagraph"/>
        <w:ind w:left="0"/>
        <w:contextualSpacing w:val="0"/>
        <w:rPr>
          <w:rFonts w:ascii="Tahoma" w:hAnsi="Tahoma" w:cs="Tahoma"/>
          <w:sz w:val="18"/>
          <w:szCs w:val="18"/>
        </w:rPr>
      </w:pPr>
    </w:p>
    <w:p w:rsidR="00F745E1" w:rsidRPr="00653421" w:rsidRDefault="00F66FB0" w:rsidP="00F745E1">
      <w:pPr>
        <w:pStyle w:val="Heading3"/>
      </w:pPr>
      <w:bookmarkStart w:id="1615" w:name="_118_Windows_Server"/>
      <w:bookmarkStart w:id="1616" w:name="_Toc336338374"/>
      <w:bookmarkStart w:id="1617" w:name="_Toc353471014"/>
      <w:bookmarkStart w:id="1618" w:name="Srv_102WindowsSvr08R2Std"/>
      <w:bookmarkStart w:id="1619" w:name="Srv_114WindowsSvr08R2Std"/>
      <w:bookmarkStart w:id="1620" w:name="Srv_118WindowsSvr08R2Std"/>
      <w:bookmarkStart w:id="1621" w:name="Srv_99WindowsSvr08R2ItaniumSys"/>
      <w:bookmarkStart w:id="1622" w:name="Srv_100WindowsSvr08R2ItaniumSys"/>
      <w:bookmarkEnd w:id="1615"/>
      <w:r w:rsidRPr="00653421">
        <w:rPr>
          <w:rStyle w:val="Heading3Char"/>
          <w:rFonts w:ascii="Tahoma" w:hAnsi="Tahoma"/>
          <w:b/>
          <w:caps/>
          <w:color w:val="F66400"/>
          <w:sz w:val="22"/>
          <w:vertAlign w:val="superscript"/>
        </w:rPr>
        <w:t>108</w:t>
      </w:r>
      <w:r w:rsidRPr="00653421">
        <w:rPr>
          <w:rStyle w:val="Heading3Char"/>
          <w:rFonts w:ascii="Tahoma" w:hAnsi="Tahoma"/>
          <w:b/>
          <w:caps/>
          <w:color w:val="F66400"/>
          <w:sz w:val="22"/>
        </w:rPr>
        <w:t xml:space="preserve"> </w:t>
      </w:r>
      <w:r w:rsidRPr="00653421">
        <w:rPr>
          <w:rStyle w:val="Heading3Char"/>
          <w:rFonts w:ascii="Tahoma" w:hAnsi="Tahoma"/>
          <w:b/>
          <w:color w:val="F66400"/>
          <w:sz w:val="22"/>
        </w:rPr>
        <w:t>Windows Server 2008 R2 Standard</w:t>
      </w:r>
      <w:bookmarkEnd w:id="1616"/>
      <w:bookmarkEnd w:id="1617"/>
      <w:r w:rsidRPr="00653421">
        <w:rPr>
          <w:rStyle w:val="Heading3Char"/>
          <w:rFonts w:ascii="Tahoma" w:hAnsi="Tahoma"/>
          <w:b/>
          <w:color w:val="F66400"/>
          <w:sz w:val="22"/>
        </w:rPr>
        <w:t xml:space="preserve"> </w:t>
      </w:r>
    </w:p>
    <w:bookmarkEnd w:id="1618"/>
    <w:bookmarkEnd w:id="1619"/>
    <w:bookmarkEnd w:id="1620"/>
    <w:p w:rsidR="00376D4B" w:rsidRPr="00653421" w:rsidRDefault="00376D4B" w:rsidP="00AE23CB">
      <w:pPr>
        <w:tabs>
          <w:tab w:val="left" w:pos="360"/>
        </w:tabs>
        <w:spacing w:line="180" w:lineRule="exact"/>
        <w:ind w:left="360"/>
      </w:pPr>
    </w:p>
    <w:p w:rsidR="002A01C2" w:rsidRPr="00653421" w:rsidRDefault="00F745E1" w:rsidP="002A01C2">
      <w:pPr>
        <w:spacing w:after="60"/>
        <w:ind w:left="720"/>
      </w:pPr>
      <w:r w:rsidRPr="00653421">
        <w:rPr>
          <w:b/>
          <w:color w:val="000000"/>
        </w:rPr>
        <w:t>Outorgas de licença associadas à alteração no modelo de licenciamento para Windows Server</w:t>
      </w:r>
      <w:r w:rsidR="00AE23CB" w:rsidRPr="00653421">
        <w:rPr>
          <w:b/>
          <w:color w:val="000000"/>
        </w:rPr>
        <w:t> </w:t>
      </w:r>
      <w:r w:rsidRPr="00653421">
        <w:rPr>
          <w:b/>
          <w:color w:val="000000"/>
        </w:rPr>
        <w:t>Standard</w:t>
      </w:r>
    </w:p>
    <w:p w:rsidR="00F745E1" w:rsidRPr="00653421" w:rsidRDefault="00F745E1" w:rsidP="002A01C2">
      <w:pPr>
        <w:numPr>
          <w:ilvl w:val="0"/>
          <w:numId w:val="66"/>
        </w:numPr>
        <w:tabs>
          <w:tab w:val="left" w:pos="1260"/>
          <w:tab w:val="left" w:pos="1440"/>
        </w:tabs>
        <w:ind w:left="1440"/>
      </w:pPr>
      <w:r w:rsidRPr="00653421">
        <w:rPr>
          <w:color w:val="000000"/>
        </w:rPr>
        <w:t>O Windows Server 2008 R2 Standard será a última versão do Windows Server licenciada sob o modelo de licenciamento de Servidor/CAL. O Windows Server 2012 Standard será licenciado sob um novo modelo de licenciamento no qual cada licença poderá licenciar até dois processadores físicos. Os clientes de licenciamento por volume com Software Assurance ativo para licenças do Windows Server 2008 R2 Standard em 1º de setembro de 2012 ou a partir da data da primeira disponibilização do Windows Server 2012 para download no Volume Licensing Service Center (Centro de Atendimento de Licenciamento por Volume), o que ocorrer primeiro, (“Licenças Qualificadas”) poderão</w:t>
      </w:r>
      <w:r w:rsidRPr="00653421">
        <w:rPr>
          <w:rFonts w:eastAsia="Calibri" w:cs="Tahoma"/>
          <w:szCs w:val="18"/>
        </w:rPr>
        <w:t xml:space="preserve"> atualizar para e usar o software Windows Server 2012 Standard em vez do Windows Server 2008 R2 Standard. Para facilitar essa atualização, para cada Licença Qualificada que o cliente possui, ele terá, mediante a disponibilização do Windows Server 2012:</w:t>
      </w:r>
    </w:p>
    <w:p w:rsidR="00F745E1" w:rsidRPr="00653421" w:rsidRDefault="00F745E1" w:rsidP="002A01C2">
      <w:pPr>
        <w:numPr>
          <w:ilvl w:val="0"/>
          <w:numId w:val="66"/>
        </w:numPr>
        <w:tabs>
          <w:tab w:val="left" w:pos="1260"/>
          <w:tab w:val="left" w:pos="1440"/>
        </w:tabs>
        <w:ind w:left="1440"/>
      </w:pPr>
      <w:r w:rsidRPr="00653421">
        <w:rPr>
          <w:rFonts w:eastAsia="Calibri" w:cs="Tahoma"/>
          <w:szCs w:val="18"/>
        </w:rPr>
        <w:t>Uma licença do Windows Server 2012 Standard OU</w:t>
      </w:r>
    </w:p>
    <w:p w:rsidR="00F745E1" w:rsidRPr="00653421" w:rsidRDefault="00F745E1" w:rsidP="002A01C2">
      <w:pPr>
        <w:numPr>
          <w:ilvl w:val="0"/>
          <w:numId w:val="66"/>
        </w:numPr>
        <w:tabs>
          <w:tab w:val="left" w:pos="1260"/>
          <w:tab w:val="left" w:pos="1440"/>
        </w:tabs>
        <w:ind w:left="1440"/>
      </w:pPr>
      <w:r w:rsidRPr="00653421">
        <w:rPr>
          <w:rFonts w:eastAsia="Calibri" w:cs="Tahoma"/>
          <w:szCs w:val="18"/>
        </w:rPr>
        <w:t>Duas licenças do Windows Server 2012 Standard se o número real de processadores físicos no servidor no qual a Licença Qualificada está atribuída exceder duas. (Em tais casos, os clientes devem criar um registro de configuração do hardware físico oferecendo suporte ao software antes</w:t>
      </w:r>
      <w:r w:rsidR="00AE23CB" w:rsidRPr="00653421">
        <w:rPr>
          <w:rFonts w:eastAsia="Calibri" w:cs="Tahoma"/>
          <w:szCs w:val="18"/>
        </w:rPr>
        <w:t> </w:t>
      </w:r>
      <w:r w:rsidRPr="00653421">
        <w:rPr>
          <w:rFonts w:eastAsia="Calibri" w:cs="Tahoma"/>
          <w:szCs w:val="18"/>
        </w:rPr>
        <w:t>da expiração da cobertura de Software Assurance sob o contrato atual, quer usando a ferramenta Microsoft MAP ou qualquer software equivalente. Essa concessão está disponível somente para uma Licença Qualificada por servidor.)</w:t>
      </w:r>
    </w:p>
    <w:p w:rsidR="00F745E1" w:rsidRPr="00653421" w:rsidRDefault="00F745E1" w:rsidP="002A01C2">
      <w:pPr>
        <w:numPr>
          <w:ilvl w:val="0"/>
          <w:numId w:val="66"/>
        </w:numPr>
        <w:tabs>
          <w:tab w:val="left" w:pos="1260"/>
          <w:tab w:val="left" w:pos="1440"/>
        </w:tabs>
        <w:ind w:left="1440"/>
      </w:pPr>
      <w:r w:rsidRPr="00653421">
        <w:rPr>
          <w:rFonts w:eastAsia="Calibri" w:cs="Tahoma"/>
          <w:szCs w:val="18"/>
        </w:rPr>
        <w:t>As licenças adquiridas sob esta concessão incluirão cobertura do Software Assurance.</w:t>
      </w:r>
      <w:r w:rsidR="005A52A2" w:rsidRPr="00653421">
        <w:rPr>
          <w:rFonts w:eastAsia="Calibri" w:cs="Tahoma"/>
          <w:szCs w:val="18"/>
        </w:rPr>
        <w:t xml:space="preserve"> </w:t>
      </w:r>
      <w:r w:rsidRPr="00653421">
        <w:rPr>
          <w:rFonts w:eastAsia="Calibri" w:cs="Tahoma"/>
          <w:szCs w:val="18"/>
        </w:rPr>
        <w:t>Tal cobertura expira quando a cobertura correspondente nas Licenças Qualificadas expirar.</w:t>
      </w:r>
    </w:p>
    <w:p w:rsidR="00F745E1" w:rsidRPr="00653421" w:rsidRDefault="00F745E1" w:rsidP="002A01C2">
      <w:pPr>
        <w:numPr>
          <w:ilvl w:val="0"/>
          <w:numId w:val="66"/>
        </w:numPr>
        <w:tabs>
          <w:tab w:val="left" w:pos="1260"/>
          <w:tab w:val="left" w:pos="1440"/>
        </w:tabs>
        <w:ind w:left="1440"/>
      </w:pPr>
      <w:r w:rsidRPr="00653421">
        <w:rPr>
          <w:rFonts w:eastAsia="Calibri" w:cs="Tahoma"/>
          <w:szCs w:val="18"/>
        </w:rPr>
        <w:t>Se os clientes adquiriram direitos perpétuos para usar o software sob as Licenças Qualificadas, as</w:t>
      </w:r>
      <w:r w:rsidR="00AE23CB" w:rsidRPr="00653421">
        <w:rPr>
          <w:rFonts w:eastAsia="Calibri" w:cs="Tahoma"/>
          <w:szCs w:val="18"/>
        </w:rPr>
        <w:t> </w:t>
      </w:r>
      <w:r w:rsidRPr="00653421">
        <w:rPr>
          <w:rFonts w:eastAsia="Calibri" w:cs="Tahoma"/>
          <w:szCs w:val="18"/>
        </w:rPr>
        <w:t>licenças adquiridas sob essa concessão serão também perpétuas; caso contrário, as licenças adquiridas sob essa concessão expirarão quando as Licenças Qualificadas subjacentes expirarem.</w:t>
      </w:r>
    </w:p>
    <w:p w:rsidR="00F745E1" w:rsidRPr="00653421" w:rsidRDefault="00F745E1" w:rsidP="002A01C2">
      <w:pPr>
        <w:numPr>
          <w:ilvl w:val="0"/>
          <w:numId w:val="66"/>
        </w:numPr>
        <w:tabs>
          <w:tab w:val="left" w:pos="1260"/>
          <w:tab w:val="left" w:pos="1440"/>
        </w:tabs>
        <w:ind w:left="1440"/>
      </w:pPr>
      <w:r w:rsidRPr="00653421">
        <w:rPr>
          <w:rFonts w:eastAsia="Calibri" w:cs="Tahoma"/>
          <w:szCs w:val="18"/>
        </w:rPr>
        <w:t>Na atualização para o Windows Server 2012 Standard sob essa concessão, as licenças do Windows Server 2008 R2 Standard existentes do cliente não serão mais válidas.</w:t>
      </w:r>
    </w:p>
    <w:p w:rsidR="00F745E1" w:rsidRPr="00653421" w:rsidRDefault="00F745E1" w:rsidP="002A01C2">
      <w:pPr>
        <w:numPr>
          <w:ilvl w:val="0"/>
          <w:numId w:val="70"/>
        </w:numPr>
        <w:tabs>
          <w:tab w:val="left" w:pos="1440"/>
        </w:tabs>
        <w:ind w:left="1440"/>
      </w:pPr>
      <w:r w:rsidRPr="00653421">
        <w:rPr>
          <w:color w:val="000000"/>
        </w:rPr>
        <w:t xml:space="preserve">As licenças do Windows Server 2008 R2 Standard </w:t>
      </w:r>
      <w:r w:rsidRPr="00653421">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w:t>
      </w:r>
      <w:r w:rsidR="00AE23CB" w:rsidRPr="00653421">
        <w:rPr>
          <w:rFonts w:cs="Tahoma"/>
          <w:bCs/>
          <w:color w:val="000000"/>
          <w:szCs w:val="18"/>
        </w:rPr>
        <w:t> </w:t>
      </w:r>
      <w:r w:rsidRPr="00653421">
        <w:rPr>
          <w:rFonts w:cs="Tahoma"/>
          <w:bCs/>
          <w:color w:val="000000"/>
          <w:szCs w:val="18"/>
        </w:rPr>
        <w:t>propósitos da outorga de licença supracitada.</w:t>
      </w:r>
    </w:p>
    <w:p w:rsidR="00F745E1" w:rsidRPr="00653421" w:rsidRDefault="00F745E1" w:rsidP="002A01C2">
      <w:pPr>
        <w:numPr>
          <w:ilvl w:val="0"/>
          <w:numId w:val="70"/>
        </w:numPr>
        <w:tabs>
          <w:tab w:val="left" w:pos="1440"/>
        </w:tabs>
        <w:ind w:left="1440"/>
      </w:pPr>
      <w:r w:rsidRPr="00653421">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834E9F" w:rsidRPr="00653421" w:rsidRDefault="00834E9F" w:rsidP="00AE23CB">
      <w:pPr>
        <w:tabs>
          <w:tab w:val="left" w:pos="1440"/>
        </w:tabs>
        <w:spacing w:line="180" w:lineRule="exact"/>
        <w:ind w:left="360"/>
      </w:pPr>
    </w:p>
    <w:bookmarkEnd w:id="1621"/>
    <w:bookmarkEnd w:id="1622"/>
    <w:p w:rsidR="002A01C2" w:rsidRPr="00653421" w:rsidRDefault="005403C8" w:rsidP="002A01C2">
      <w:pPr>
        <w:pStyle w:val="PURBody-Indented"/>
        <w:spacing w:after="60"/>
        <w:ind w:left="720"/>
      </w:pPr>
      <w:r w:rsidRPr="00653421">
        <w:rPr>
          <w:rFonts w:ascii="Tahoma" w:hAnsi="Tahoma" w:cs="Tahoma"/>
          <w:b/>
          <w:color w:val="000000"/>
          <w:sz w:val="18"/>
          <w:szCs w:val="18"/>
        </w:rPr>
        <w:t>Windows Server 2012 Standard</w:t>
      </w:r>
    </w:p>
    <w:p w:rsidR="005403C8" w:rsidRPr="00653421" w:rsidRDefault="005403C8" w:rsidP="002A01C2">
      <w:pPr>
        <w:pStyle w:val="PURBody-Indented"/>
        <w:spacing w:after="0"/>
        <w:ind w:left="720"/>
      </w:pPr>
      <w:r w:rsidRPr="00653421">
        <w:rPr>
          <w:rFonts w:ascii="Tahoma" w:hAnsi="Tahoma" w:cs="Tahoma"/>
          <w:sz w:val="18"/>
        </w:rPr>
        <w:t>Você poderá executar uma instância do Windows Server Enterprise, Standard ou Essentials (a mesma ou qualquer versão anterior) em vez do Windows Server 2012 Standard em qualquer OSE em seu servidor licenciado.</w:t>
      </w:r>
    </w:p>
    <w:p w:rsidR="00F745E1" w:rsidRDefault="00F745E1" w:rsidP="00AE23CB">
      <w:pPr>
        <w:pStyle w:val="ListParagraph"/>
        <w:spacing w:line="180" w:lineRule="exact"/>
        <w:ind w:left="360"/>
        <w:contextualSpacing w:val="0"/>
        <w:rPr>
          <w:rFonts w:ascii="Tahoma" w:hAnsi="Tahoma" w:cs="Tahoma"/>
          <w:sz w:val="18"/>
          <w:szCs w:val="18"/>
        </w:rPr>
      </w:pPr>
    </w:p>
    <w:p w:rsidR="00E53811" w:rsidRDefault="00E53811" w:rsidP="00AE23CB">
      <w:pPr>
        <w:pStyle w:val="ListParagraph"/>
        <w:spacing w:line="180" w:lineRule="exact"/>
        <w:ind w:left="360"/>
        <w:contextualSpacing w:val="0"/>
        <w:rPr>
          <w:rFonts w:ascii="Tahoma" w:hAnsi="Tahoma" w:cs="Tahoma"/>
          <w:sz w:val="18"/>
          <w:szCs w:val="18"/>
        </w:rPr>
      </w:pPr>
    </w:p>
    <w:p w:rsidR="00E53811" w:rsidRDefault="00E53811" w:rsidP="00AE23CB">
      <w:pPr>
        <w:pStyle w:val="ListParagraph"/>
        <w:spacing w:line="180" w:lineRule="exact"/>
        <w:ind w:left="360"/>
        <w:contextualSpacing w:val="0"/>
        <w:rPr>
          <w:rFonts w:ascii="Tahoma" w:hAnsi="Tahoma" w:cs="Tahoma"/>
          <w:sz w:val="18"/>
          <w:szCs w:val="18"/>
        </w:rPr>
      </w:pPr>
    </w:p>
    <w:p w:rsidR="00E53811" w:rsidRDefault="00E53811" w:rsidP="00AE23CB">
      <w:pPr>
        <w:pStyle w:val="ListParagraph"/>
        <w:spacing w:line="180" w:lineRule="exact"/>
        <w:ind w:left="360"/>
        <w:contextualSpacing w:val="0"/>
        <w:rPr>
          <w:rFonts w:ascii="Tahoma" w:hAnsi="Tahoma" w:cs="Tahoma"/>
          <w:sz w:val="18"/>
          <w:szCs w:val="18"/>
        </w:rPr>
      </w:pPr>
    </w:p>
    <w:p w:rsidR="00E53811" w:rsidRPr="00653421" w:rsidRDefault="00E53811" w:rsidP="00AE23CB">
      <w:pPr>
        <w:pStyle w:val="ListParagraph"/>
        <w:spacing w:line="180" w:lineRule="exact"/>
        <w:ind w:left="360"/>
        <w:contextualSpacing w:val="0"/>
        <w:rPr>
          <w:rFonts w:ascii="Tahoma" w:hAnsi="Tahoma" w:cs="Tahoma"/>
          <w:sz w:val="18"/>
          <w:szCs w:val="18"/>
        </w:rPr>
      </w:pPr>
    </w:p>
    <w:p w:rsidR="00103AD5" w:rsidRPr="00653421" w:rsidRDefault="00103AD5" w:rsidP="00AE23CB">
      <w:pPr>
        <w:pStyle w:val="ListParagraph"/>
        <w:spacing w:line="180" w:lineRule="exact"/>
        <w:ind w:left="360"/>
        <w:contextualSpacing w:val="0"/>
        <w:rPr>
          <w:rFonts w:ascii="Tahoma" w:hAnsi="Tahoma" w:cs="Tahoma"/>
          <w:sz w:val="18"/>
          <w:szCs w:val="18"/>
        </w:rPr>
      </w:pPr>
    </w:p>
    <w:p w:rsidR="00816F76" w:rsidRPr="00653421" w:rsidRDefault="00F66FB0" w:rsidP="00EF2279">
      <w:pPr>
        <w:pStyle w:val="Heading3"/>
      </w:pPr>
      <w:bookmarkStart w:id="1623" w:name="_119_Windows_Web"/>
      <w:bookmarkStart w:id="1624" w:name="_Toc336338375"/>
      <w:bookmarkStart w:id="1625" w:name="_Toc353471015"/>
      <w:bookmarkStart w:id="1626" w:name="Srv_111WinSmallBizSVR2011Addon"/>
      <w:bookmarkStart w:id="1627" w:name="Srv_116WinSmallBizSVR2011Addon"/>
      <w:bookmarkStart w:id="1628" w:name="Srv_120WinSmallBizSVR2011Addon"/>
      <w:bookmarkEnd w:id="1609"/>
      <w:bookmarkEnd w:id="1623"/>
      <w:r w:rsidRPr="00653421">
        <w:rPr>
          <w:rFonts w:ascii="Tahoma" w:hAnsi="Tahoma" w:cs="Tahoma"/>
          <w:caps/>
          <w:color w:val="EE6000"/>
          <w:sz w:val="22"/>
          <w:szCs w:val="18"/>
          <w:vertAlign w:val="superscript"/>
        </w:rPr>
        <w:lastRenderedPageBreak/>
        <w:t>109</w:t>
      </w:r>
      <w:r w:rsidRPr="00653421">
        <w:rPr>
          <w:rFonts w:ascii="Tahoma" w:hAnsi="Tahoma" w:cs="Tahoma"/>
          <w:color w:val="EE6000"/>
          <w:sz w:val="22"/>
          <w:szCs w:val="18"/>
        </w:rPr>
        <w:t xml:space="preserve"> </w:t>
      </w:r>
      <w:r w:rsidRPr="00653421">
        <w:rPr>
          <w:rFonts w:ascii="Tahoma" w:hAnsi="Tahoma"/>
          <w:color w:val="F66400"/>
          <w:sz w:val="22"/>
        </w:rPr>
        <w:t>Windows Web Server</w:t>
      </w:r>
      <w:r w:rsidRPr="00653421">
        <w:rPr>
          <w:rFonts w:ascii="Tahoma" w:hAnsi="Tahoma"/>
          <w:color w:val="F66400"/>
          <w:sz w:val="22"/>
          <w:vertAlign w:val="superscript"/>
        </w:rPr>
        <w:t>®</w:t>
      </w:r>
      <w:r w:rsidRPr="00653421">
        <w:rPr>
          <w:rFonts w:ascii="Tahoma" w:hAnsi="Tahoma"/>
          <w:color w:val="F66400"/>
          <w:sz w:val="22"/>
        </w:rPr>
        <w:t xml:space="preserve"> 2008 R2</w:t>
      </w:r>
      <w:bookmarkEnd w:id="1624"/>
      <w:bookmarkEnd w:id="1625"/>
    </w:p>
    <w:p w:rsidR="00816F76" w:rsidRPr="00653421" w:rsidRDefault="00816F76" w:rsidP="00AE23CB">
      <w:pPr>
        <w:spacing w:line="180" w:lineRule="exact"/>
        <w:ind w:left="360"/>
      </w:pPr>
    </w:p>
    <w:p w:rsidR="00CE7FAD" w:rsidRPr="00653421" w:rsidRDefault="00816F76" w:rsidP="00CE7FAD">
      <w:pPr>
        <w:tabs>
          <w:tab w:val="left" w:pos="720"/>
        </w:tabs>
        <w:spacing w:after="60"/>
        <w:ind w:left="720"/>
      </w:pPr>
      <w:r w:rsidRPr="00653421">
        <w:rPr>
          <w:b/>
          <w:color w:val="000000"/>
        </w:rPr>
        <w:t>Outorgas de licença associadas ao término da validade do Windows Web Server</w:t>
      </w:r>
    </w:p>
    <w:p w:rsidR="00816F76" w:rsidRPr="00653421" w:rsidRDefault="00816F76" w:rsidP="00CE7FAD">
      <w:pPr>
        <w:tabs>
          <w:tab w:val="left" w:pos="720"/>
        </w:tabs>
        <w:ind w:left="720"/>
      </w:pPr>
      <w:r w:rsidRPr="00653421">
        <w:rPr>
          <w:color w:val="000000"/>
        </w:rPr>
        <w:t>O Windows Server 2008 R2 será a última versão da edição do Windows Web Server. Os clientes de licenciamento por volume com Software Assurance ativo para licenças do Windows Web Server 2008 R2 em</w:t>
      </w:r>
      <w:r w:rsidR="00834E9F" w:rsidRPr="00653421">
        <w:rPr>
          <w:color w:val="000000"/>
        </w:rPr>
        <w:t> </w:t>
      </w:r>
      <w:r w:rsidRPr="00653421">
        <w:rPr>
          <w:color w:val="000000"/>
        </w:rPr>
        <w:t>1</w:t>
      </w:r>
      <w:r w:rsidRPr="00653421">
        <w:rPr>
          <w:color w:val="000000"/>
          <w:vertAlign w:val="superscript"/>
        </w:rPr>
        <w:t>º</w:t>
      </w:r>
      <w:r w:rsidRPr="00653421">
        <w:rPr>
          <w:color w:val="000000"/>
        </w:rPr>
        <w:t xml:space="preserve"> de setembro de 2012 ou a partir da data da primeira disponibilização do Windows Server 2012 para download no Volume Licensing Service Center (Centro de Atendimento de Licenciamento por Volume), o que ocorrer primeiro, (“Licenças Qualificadas”) poderão </w:t>
      </w:r>
      <w:r w:rsidRPr="00653421">
        <w:rPr>
          <w:rFonts w:eastAsia="Calibri" w:cs="Tahoma"/>
          <w:szCs w:val="18"/>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rsidR="00CE7FAD" w:rsidRPr="00653421" w:rsidRDefault="00CE7FAD" w:rsidP="00AE23CB">
      <w:pPr>
        <w:tabs>
          <w:tab w:val="left" w:pos="720"/>
        </w:tabs>
        <w:spacing w:line="180" w:lineRule="exact"/>
        <w:ind w:left="360"/>
      </w:pPr>
    </w:p>
    <w:p w:rsidR="00816F76" w:rsidRPr="00653421" w:rsidRDefault="00816F76" w:rsidP="00CE7FAD">
      <w:pPr>
        <w:numPr>
          <w:ilvl w:val="0"/>
          <w:numId w:val="70"/>
        </w:numPr>
        <w:tabs>
          <w:tab w:val="clear" w:pos="360"/>
          <w:tab w:val="num" w:pos="1440"/>
        </w:tabs>
        <w:spacing w:after="60"/>
        <w:ind w:left="1440"/>
        <w:rPr>
          <w:spacing w:val="-2"/>
        </w:rPr>
      </w:pPr>
      <w:r w:rsidRPr="00653421">
        <w:rPr>
          <w:color w:val="000000"/>
          <w:spacing w:val="-2"/>
        </w:rPr>
        <w:t>Se um cliente tiver um número ímpar de licenças do Web Server, o cliente precisará arredondar para cima para o próximo número par para determinar sua concessão.</w:t>
      </w:r>
      <w:r w:rsidR="005A52A2" w:rsidRPr="00653421">
        <w:rPr>
          <w:color w:val="000000"/>
          <w:spacing w:val="-2"/>
        </w:rPr>
        <w:t xml:space="preserve"> </w:t>
      </w:r>
      <w:r w:rsidRPr="00653421">
        <w:rPr>
          <w:color w:val="000000"/>
          <w:spacing w:val="-2"/>
        </w:rPr>
        <w:t>Por exemplo, um cliente que tenha três licenças do Web Server receberá no total duas licenças do Windows Server 2012 Standard.</w:t>
      </w:r>
    </w:p>
    <w:p w:rsidR="00816F76" w:rsidRPr="00653421" w:rsidRDefault="00816F76" w:rsidP="00CE7FAD">
      <w:pPr>
        <w:numPr>
          <w:ilvl w:val="0"/>
          <w:numId w:val="70"/>
        </w:numPr>
        <w:tabs>
          <w:tab w:val="clear" w:pos="360"/>
          <w:tab w:val="num" w:pos="1440"/>
        </w:tabs>
        <w:spacing w:after="60"/>
        <w:ind w:left="1440"/>
      </w:pPr>
      <w:r w:rsidRPr="00653421">
        <w:rPr>
          <w:rFonts w:eastAsia="Calibri" w:cs="Tahoma"/>
          <w:szCs w:val="18"/>
        </w:rPr>
        <w:t>Na atualização para o Windows Server 2012 Standard sob essa concessão, as licenças existentes do Windows Web Server 2008 R2 do cliente permanecerão válidas.</w:t>
      </w:r>
    </w:p>
    <w:p w:rsidR="00816F76" w:rsidRPr="00653421" w:rsidRDefault="00816F76" w:rsidP="00CE7FAD">
      <w:pPr>
        <w:pStyle w:val="ListParagraph"/>
        <w:numPr>
          <w:ilvl w:val="0"/>
          <w:numId w:val="70"/>
        </w:numPr>
        <w:tabs>
          <w:tab w:val="clear" w:pos="360"/>
          <w:tab w:val="num" w:pos="1440"/>
        </w:tabs>
        <w:spacing w:after="60"/>
        <w:ind w:left="1440"/>
        <w:contextualSpacing w:val="0"/>
      </w:pPr>
      <w:r w:rsidRPr="00653421">
        <w:rPr>
          <w:rFonts w:ascii="Tahoma" w:eastAsia="Calibri" w:hAnsi="Tahoma" w:cs="Tahoma"/>
          <w:sz w:val="18"/>
          <w:szCs w:val="18"/>
        </w:rPr>
        <w:t>As licenças adquiridas sob esta concessão incluirão cobertura do Software Assurance.</w:t>
      </w:r>
      <w:r w:rsidR="005A52A2" w:rsidRPr="00653421">
        <w:rPr>
          <w:rFonts w:ascii="Tahoma" w:eastAsia="Calibri" w:hAnsi="Tahoma" w:cs="Tahoma"/>
          <w:sz w:val="18"/>
          <w:szCs w:val="18"/>
        </w:rPr>
        <w:t xml:space="preserve"> </w:t>
      </w:r>
      <w:r w:rsidRPr="00653421">
        <w:rPr>
          <w:rFonts w:ascii="Tahoma" w:eastAsia="Calibri" w:hAnsi="Tahoma" w:cs="Tahoma"/>
          <w:sz w:val="18"/>
          <w:szCs w:val="18"/>
        </w:rPr>
        <w:t>Tal cobertura expira quando a cobertura correspondente nas Licenças Qualificadas expirar.</w:t>
      </w:r>
    </w:p>
    <w:p w:rsidR="00816F76" w:rsidRPr="00653421" w:rsidRDefault="00816F76" w:rsidP="00CE7FAD">
      <w:pPr>
        <w:pStyle w:val="ListParagraph"/>
        <w:numPr>
          <w:ilvl w:val="0"/>
          <w:numId w:val="70"/>
        </w:numPr>
        <w:tabs>
          <w:tab w:val="clear" w:pos="360"/>
          <w:tab w:val="num" w:pos="1440"/>
        </w:tabs>
        <w:spacing w:after="60"/>
        <w:ind w:left="1440"/>
        <w:contextualSpacing w:val="0"/>
      </w:pPr>
      <w:r w:rsidRPr="00653421">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816F76" w:rsidRPr="00653421" w:rsidRDefault="00816F76" w:rsidP="00CE7FAD">
      <w:pPr>
        <w:numPr>
          <w:ilvl w:val="0"/>
          <w:numId w:val="70"/>
        </w:numPr>
        <w:tabs>
          <w:tab w:val="clear" w:pos="360"/>
          <w:tab w:val="num" w:pos="1440"/>
        </w:tabs>
        <w:spacing w:after="60"/>
        <w:ind w:left="1440"/>
      </w:pPr>
      <w:r w:rsidRPr="00653421">
        <w:rPr>
          <w:color w:val="000000"/>
        </w:rPr>
        <w:t xml:space="preserve">As licenças do Windows Web Server 2008 R2 </w:t>
      </w:r>
      <w:r w:rsidRPr="00653421">
        <w:rPr>
          <w:rFonts w:cs="Tahoma"/>
          <w:bCs/>
          <w:color w:val="000000"/>
          <w:szCs w:val="18"/>
        </w:rPr>
        <w:t xml:space="preserve">adquiridas posteriormente no mesmo prazo de registro, como parte de um processo de adequação (“true-up”) programado do cliente Enterprise, Enterprise Subscription, Open Value Subscription ou EES também são Licenças Qualificadas para os propósitos da concessão supracitada. </w:t>
      </w:r>
    </w:p>
    <w:p w:rsidR="00816F76" w:rsidRPr="00653421" w:rsidRDefault="00816F76" w:rsidP="00CE7FAD">
      <w:pPr>
        <w:numPr>
          <w:ilvl w:val="0"/>
          <w:numId w:val="70"/>
        </w:numPr>
        <w:tabs>
          <w:tab w:val="clear" w:pos="360"/>
          <w:tab w:val="num" w:pos="1440"/>
        </w:tabs>
        <w:spacing w:after="60"/>
        <w:ind w:left="1440"/>
      </w:pPr>
      <w:r w:rsidRPr="00653421">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CE7FAD" w:rsidRPr="00653421" w:rsidRDefault="00CE7FAD" w:rsidP="00AE23CB">
      <w:pPr>
        <w:spacing w:line="180" w:lineRule="exact"/>
        <w:ind w:left="1440"/>
      </w:pPr>
    </w:p>
    <w:p w:rsidR="00CE7FAD" w:rsidRPr="00653421" w:rsidRDefault="00816F76" w:rsidP="00CE7FAD">
      <w:pPr>
        <w:spacing w:after="60"/>
        <w:ind w:left="720"/>
      </w:pPr>
      <w:r w:rsidRPr="00653421">
        <w:rPr>
          <w:rFonts w:eastAsia="Calibri" w:cs="Tahoma"/>
          <w:b/>
          <w:szCs w:val="18"/>
        </w:rPr>
        <w:t>Informações adicionais sobre o uso do Windows Server 2012 como um Servidor Web</w:t>
      </w:r>
    </w:p>
    <w:p w:rsidR="00816F76" w:rsidRPr="00653421" w:rsidRDefault="00816F76" w:rsidP="00CE7FAD">
      <w:pPr>
        <w:ind w:left="720"/>
      </w:pPr>
      <w:r w:rsidRPr="00653421">
        <w:rPr>
          <w:rFonts w:eastAsia="Calibri" w:cs="Tahoma"/>
          <w:szCs w:val="18"/>
        </w:rPr>
        <w:t xml:space="preserve">Quando o Windows Server 2012 Standard ou Datacenter é usado como um Servidor Web, você não precisa de CALs para acessar o software. Uma </w:t>
      </w:r>
      <w:r w:rsidRPr="00653421">
        <w:t>“Carga de Trabalho da Web” significa uma carga de trabalho na qual</w:t>
      </w:r>
      <w:r w:rsidRPr="00653421">
        <w:rPr>
          <w:bCs/>
        </w:rPr>
        <w:t xml:space="preserve"> </w:t>
      </w:r>
      <w:r w:rsidRPr="00653421">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653421">
        <w:rPr>
          <w:u w:val="single"/>
        </w:rPr>
        <w:t xml:space="preserve"> </w:t>
      </w:r>
      <w:r w:rsidRPr="00653421">
        <w:t>limitado para seus funcionários.</w:t>
      </w:r>
      <w:r w:rsidR="005A52A2" w:rsidRPr="00653421">
        <w:t xml:space="preserve"> </w:t>
      </w:r>
      <w:r w:rsidRPr="00653421">
        <w:rPr>
          <w:rFonts w:eastAsia="Calibri" w:cs="Tahoma"/>
          <w:szCs w:val="18"/>
        </w:rPr>
        <w:t>Consulte os Direitos de Uso de Produto para obter detalhes adicionais.</w:t>
      </w:r>
      <w:r w:rsidR="005A52A2" w:rsidRPr="00653421">
        <w:rPr>
          <w:rFonts w:eastAsia="Calibri" w:cs="Tahoma"/>
          <w:szCs w:val="18"/>
        </w:rPr>
        <w:t xml:space="preserve"> </w:t>
      </w:r>
    </w:p>
    <w:p w:rsidR="00816F76" w:rsidRPr="00653421" w:rsidRDefault="00816F76" w:rsidP="00AE23CB">
      <w:pPr>
        <w:spacing w:line="180" w:lineRule="exact"/>
        <w:ind w:left="1440"/>
      </w:pPr>
    </w:p>
    <w:p w:rsidR="002512D3" w:rsidRPr="00653421" w:rsidRDefault="002512D3" w:rsidP="00AE23CB">
      <w:pPr>
        <w:spacing w:line="180" w:lineRule="exact"/>
        <w:ind w:left="1440"/>
      </w:pPr>
      <w:bookmarkStart w:id="1629" w:name="_Toc336338376"/>
    </w:p>
    <w:p w:rsidR="00532ABF" w:rsidRPr="00653421" w:rsidRDefault="00F66FB0" w:rsidP="00EF2279">
      <w:pPr>
        <w:pStyle w:val="Heading2"/>
        <w:ind w:hanging="720"/>
      </w:pPr>
      <w:bookmarkStart w:id="1630" w:name="_110_Windows_Small_1"/>
      <w:bookmarkStart w:id="1631" w:name="_Toc353471016"/>
      <w:bookmarkEnd w:id="1630"/>
      <w:r w:rsidRPr="00653421">
        <w:rPr>
          <w:rFonts w:ascii="Tahoma" w:hAnsi="Tahoma" w:cs="Tahoma"/>
          <w:caps/>
          <w:color w:val="F8701C"/>
          <w:sz w:val="22"/>
          <w:szCs w:val="22"/>
          <w:vertAlign w:val="superscript"/>
        </w:rPr>
        <w:t>110</w:t>
      </w:r>
      <w:r w:rsidRPr="00653421">
        <w:rPr>
          <w:rFonts w:ascii="Tahoma" w:hAnsi="Tahoma" w:cs="Tahoma"/>
          <w:color w:val="F8701C"/>
          <w:sz w:val="22"/>
          <w:szCs w:val="22"/>
        </w:rPr>
        <w:t xml:space="preserve"> Windows Small Business Server (SBS) 2008 Premium</w:t>
      </w:r>
      <w:bookmarkEnd w:id="1629"/>
      <w:bookmarkEnd w:id="1631"/>
    </w:p>
    <w:bookmarkEnd w:id="1626"/>
    <w:bookmarkEnd w:id="1627"/>
    <w:bookmarkEnd w:id="1628"/>
    <w:p w:rsidR="00515A83" w:rsidRPr="00653421" w:rsidRDefault="00515A83" w:rsidP="00AE23CB">
      <w:pPr>
        <w:spacing w:line="180" w:lineRule="exact"/>
        <w:ind w:left="1440"/>
      </w:pPr>
    </w:p>
    <w:p w:rsidR="00532ABF" w:rsidRPr="00653421" w:rsidRDefault="00532ABF" w:rsidP="00376D4B">
      <w:pPr>
        <w:ind w:left="720"/>
      </w:pPr>
      <w:r w:rsidRPr="00653421">
        <w:t>Os clientes com cobertura de Software Assurance ativa para licenças do SBS 2008 Premium, a partir de</w:t>
      </w:r>
      <w:r w:rsidR="00AE23CB" w:rsidRPr="00653421">
        <w:t> </w:t>
      </w:r>
      <w:r w:rsidRPr="00653421">
        <w:t>1º</w:t>
      </w:r>
      <w:r w:rsidR="00AE23CB" w:rsidRPr="00653421">
        <w:t> </w:t>
      </w:r>
      <w:r w:rsidRPr="00653421">
        <w:t>de janeiro de 2011, estarão qualificados para atualizar e usar os softwares SBS 2011 Standard e</w:t>
      </w:r>
      <w:r w:rsidR="00AE23CB" w:rsidRPr="00653421">
        <w:t> </w:t>
      </w:r>
      <w:r w:rsidRPr="00653421">
        <w:t>SBS</w:t>
      </w:r>
      <w:r w:rsidR="00AE23CB" w:rsidRPr="00653421">
        <w:t> </w:t>
      </w:r>
      <w:r w:rsidRPr="00653421">
        <w:t>2011 Premium Add-on (ou qualquer versão posterior desses softwares disponibilizada durante o</w:t>
      </w:r>
      <w:r w:rsidR="00AE23CB" w:rsidRPr="00653421">
        <w:t> </w:t>
      </w:r>
      <w:r w:rsidRPr="00653421">
        <w:t>prazo</w:t>
      </w:r>
      <w:r w:rsidR="00AE23CB" w:rsidRPr="00653421">
        <w:t> </w:t>
      </w:r>
      <w:r w:rsidRPr="00653421">
        <w:t>atual da cobertura de Software Assurance) em vez do software SBS 2008 Premium.</w:t>
      </w:r>
      <w:r w:rsidR="005A52A2" w:rsidRPr="00653421">
        <w:t xml:space="preserve"> </w:t>
      </w:r>
      <w:r w:rsidRPr="00653421">
        <w:t>A partir de 1º</w:t>
      </w:r>
      <w:r w:rsidR="00AE23CB" w:rsidRPr="00653421">
        <w:t> </w:t>
      </w:r>
      <w:r w:rsidRPr="00653421">
        <w:t>de janeiro de 2011 para cada licença qualificada do SBS 2008 Premium que possuir, o cliente será considerado possuidor de uma licença para cada SBS 2011 Standard e SBS 2011 Premium Add-on com cobertura de Software Assurance ativa.</w:t>
      </w:r>
      <w:r w:rsidR="005A52A2" w:rsidRPr="00653421">
        <w:t xml:space="preserve"> </w:t>
      </w:r>
    </w:p>
    <w:p w:rsidR="00834E9F" w:rsidRPr="00653421" w:rsidRDefault="00834E9F" w:rsidP="00AE23CB">
      <w:pPr>
        <w:spacing w:line="180" w:lineRule="exact"/>
        <w:ind w:left="1440"/>
      </w:pPr>
    </w:p>
    <w:p w:rsidR="00532ABF" w:rsidRPr="00653421" w:rsidRDefault="00532ABF" w:rsidP="00376D4B">
      <w:pPr>
        <w:ind w:left="720"/>
      </w:pPr>
      <w:r w:rsidRPr="00653421">
        <w:t>Os clientes com cobertura de Software Assurance ativa para Pacote de CALs do SBS 2008 para Usuários e</w:t>
      </w:r>
      <w:r w:rsidR="00AE23CB" w:rsidRPr="00653421">
        <w:t> </w:t>
      </w:r>
      <w:r w:rsidRPr="00653421">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5A52A2" w:rsidRPr="00653421">
        <w:t xml:space="preserve"> </w:t>
      </w:r>
      <w:r w:rsidRPr="00653421">
        <w:t>A partir de 1º de janeiro de</w:t>
      </w:r>
      <w:r w:rsidR="00CC6362" w:rsidRPr="00653421">
        <w:t> </w:t>
      </w:r>
      <w:r w:rsidRPr="00653421">
        <w:t>2011, para cada Pacote de CALs do SBS 2008 qualificada para Usuários e Dispositivos Premium, o cliente será considerado possuidor de um Pacote de CALs do SBS 2011 e um Pacote de CALS Complementares do</w:t>
      </w:r>
      <w:r w:rsidR="00AE23CB" w:rsidRPr="00653421">
        <w:t> </w:t>
      </w:r>
      <w:r w:rsidRPr="00653421">
        <w:t xml:space="preserve">SBS 2011 Premium com cobertura de Software Assurance ativa. </w:t>
      </w:r>
    </w:p>
    <w:p w:rsidR="00532ABF" w:rsidRPr="00653421" w:rsidRDefault="00532ABF" w:rsidP="00AE23CB">
      <w:pPr>
        <w:spacing w:line="180" w:lineRule="exact"/>
        <w:ind w:left="1440"/>
      </w:pPr>
    </w:p>
    <w:p w:rsidR="00532ABF" w:rsidRPr="00653421" w:rsidRDefault="00532ABF" w:rsidP="00376D4B">
      <w:pPr>
        <w:ind w:left="720"/>
      </w:pPr>
      <w:r w:rsidRPr="00653421">
        <w:lastRenderedPageBreak/>
        <w:t>O direito de usar o software sob esta oferta expirará quando o direito de usar o software sob as licenças qualificadas expirar.</w:t>
      </w:r>
      <w:r w:rsidR="005A52A2" w:rsidRPr="00653421">
        <w:t xml:space="preserve"> </w:t>
      </w:r>
      <w:r w:rsidRPr="00653421">
        <w:t>O uso do software do cliente sob esta oferta está sujeito aos termos e às condições do</w:t>
      </w:r>
      <w:r w:rsidR="00AE23CB" w:rsidRPr="00653421">
        <w:t> </w:t>
      </w:r>
      <w:r w:rsidRPr="00653421">
        <w:t>contrato de licenciamento por volume do cliente, aos direitos de uso de produto para SBS 2011 Standard e SBS 2011 Premium Add-on e estes termos e condições.</w:t>
      </w:r>
      <w:r w:rsidR="005A52A2" w:rsidRPr="00653421">
        <w:t xml:space="preserve"> </w:t>
      </w:r>
      <w:r w:rsidRPr="00653421">
        <w:t>Esta nota de condição do produto junto com a evidência das licenças qualificadas comprovam os direitos concedidos sob esta oferta.</w:t>
      </w:r>
      <w:r w:rsidR="005A52A2" w:rsidRPr="00653421">
        <w:t xml:space="preserve"> </w:t>
      </w:r>
      <w:r w:rsidRPr="00653421">
        <w:t>Quando a cobertura sobre a licença qualificada expirar na licença qualificada, o cliente estará qualificado para renovar o Software Assurance para licenças do SBS Premium Add-on e CAL Suites.</w:t>
      </w:r>
    </w:p>
    <w:p w:rsidR="00296B89" w:rsidRPr="00653421" w:rsidRDefault="00296B89" w:rsidP="00AE23CB">
      <w:pPr>
        <w:spacing w:line="180" w:lineRule="exact"/>
        <w:ind w:left="1440"/>
      </w:pPr>
    </w:p>
    <w:p w:rsidR="00586FCE" w:rsidRPr="00653421" w:rsidRDefault="00586FCE" w:rsidP="00AE23CB">
      <w:pPr>
        <w:spacing w:line="180" w:lineRule="exact"/>
        <w:ind w:left="1440"/>
      </w:pPr>
    </w:p>
    <w:p w:rsidR="00296B89" w:rsidRPr="00653421" w:rsidRDefault="00F66FB0" w:rsidP="00EF2279">
      <w:pPr>
        <w:pStyle w:val="Heading3"/>
      </w:pPr>
      <w:bookmarkStart w:id="1632" w:name="_119_Windows_Small"/>
      <w:bookmarkStart w:id="1633" w:name="_111_Windows_Small"/>
      <w:bookmarkStart w:id="1634" w:name="_Toc336338377"/>
      <w:bookmarkStart w:id="1635" w:name="_Toc353471017"/>
      <w:bookmarkStart w:id="1636" w:name="Srv_117WinSmallBizSVR2011Addon"/>
      <w:bookmarkStart w:id="1637" w:name="Srv_121WinSmallBizSVR2011Addon"/>
      <w:bookmarkEnd w:id="1632"/>
      <w:bookmarkEnd w:id="1633"/>
      <w:r w:rsidRPr="00653421">
        <w:rPr>
          <w:rFonts w:ascii="Tahoma" w:hAnsi="Tahoma" w:cs="Tahoma"/>
          <w:caps/>
          <w:color w:val="FF6D09"/>
          <w:sz w:val="22"/>
          <w:vertAlign w:val="superscript"/>
        </w:rPr>
        <w:t>111</w:t>
      </w:r>
      <w:r w:rsidRPr="00653421">
        <w:rPr>
          <w:rFonts w:ascii="Tahoma" w:hAnsi="Tahoma" w:cs="Tahoma"/>
          <w:color w:val="FF6D09"/>
          <w:sz w:val="22"/>
        </w:rPr>
        <w:t xml:space="preserve"> Windows Small Business Server (SBS) 2011 Standard</w:t>
      </w:r>
      <w:bookmarkEnd w:id="1634"/>
      <w:bookmarkEnd w:id="1635"/>
    </w:p>
    <w:bookmarkEnd w:id="1636"/>
    <w:bookmarkEnd w:id="1637"/>
    <w:p w:rsidR="00296B89" w:rsidRPr="00653421" w:rsidRDefault="00296B89" w:rsidP="00AE23CB">
      <w:pPr>
        <w:spacing w:line="180" w:lineRule="exact"/>
        <w:ind w:left="1440"/>
      </w:pPr>
    </w:p>
    <w:p w:rsidR="00CE7FAD" w:rsidRPr="00653421" w:rsidRDefault="00836655" w:rsidP="00CE7FAD">
      <w:pPr>
        <w:spacing w:after="60"/>
        <w:ind w:left="720"/>
      </w:pPr>
      <w:r w:rsidRPr="00653421">
        <w:rPr>
          <w:b/>
          <w:color w:val="000000"/>
        </w:rPr>
        <w:t>Outorgas de licença associadas ao término da validade do SBS 2011 Standard</w:t>
      </w:r>
    </w:p>
    <w:p w:rsidR="00F1020A" w:rsidRPr="00653421" w:rsidRDefault="00836655" w:rsidP="00CE7FAD">
      <w:pPr>
        <w:ind w:left="720"/>
        <w:rPr>
          <w:rFonts w:eastAsia="Calibri" w:cs="Tahoma"/>
          <w:szCs w:val="18"/>
        </w:rPr>
      </w:pPr>
      <w:r w:rsidRPr="00653421">
        <w:rPr>
          <w:color w:val="000000"/>
        </w:rPr>
        <w:t xml:space="preserve">O SBS 2011 Standard será a última versão do SBS Standard. Os clientes de licenciamento por volume com Software Assurance para licenças Padrão do SBS 2011 ativas (“Licenças Qualificadas”) terão permissão para atualizar e </w:t>
      </w:r>
      <w:r w:rsidRPr="00653421">
        <w:rPr>
          <w:rFonts w:eastAsia="Calibri" w:cs="Tahoma"/>
          <w:szCs w:val="18"/>
        </w:rPr>
        <w:t xml:space="preserve">usar o software Windows Server Standard e Exchange Server Standard no lugar do SBS 2011. Para facilitar tal uso, para cada Licença Qualificada que o cliente possui, o cliente receberá duas licenças para cada licença do Windows Server Standard e uma licença para Exchange Server 2010 Standard, conforme pode ser visto na tabela abaixo. </w:t>
      </w:r>
    </w:p>
    <w:p w:rsidR="00F55573" w:rsidRPr="00653421" w:rsidRDefault="00F55573" w:rsidP="00CE7FAD">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6"/>
        <w:gridCol w:w="4866"/>
      </w:tblGrid>
      <w:tr w:rsidR="009E5BF9" w:rsidRPr="00653421" w:rsidTr="00AE23CB">
        <w:tc>
          <w:tcPr>
            <w:tcW w:w="3753"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53421" w:rsidRDefault="00836655" w:rsidP="000A5032">
            <w:pPr>
              <w:spacing w:after="200" w:line="276" w:lineRule="auto"/>
              <w:rPr>
                <w:rFonts w:eastAsia="Calibri" w:cs="Tahoma"/>
                <w:szCs w:val="18"/>
              </w:rPr>
            </w:pPr>
            <w:r w:rsidRPr="00653421">
              <w:rPr>
                <w:b/>
                <w:color w:val="000000"/>
              </w:rPr>
              <w:t>Licenças Qualificadas</w:t>
            </w:r>
          </w:p>
        </w:tc>
        <w:tc>
          <w:tcPr>
            <w:tcW w:w="4995"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53421" w:rsidRDefault="00836655" w:rsidP="000A5032">
            <w:pPr>
              <w:spacing w:after="200" w:line="276" w:lineRule="auto"/>
              <w:rPr>
                <w:rFonts w:eastAsia="Calibri" w:cs="Tahoma"/>
                <w:szCs w:val="18"/>
              </w:rPr>
            </w:pPr>
            <w:r w:rsidRPr="00653421">
              <w:rPr>
                <w:b/>
                <w:color w:val="000000"/>
              </w:rPr>
              <w:t>Outorga de Licença</w:t>
            </w:r>
          </w:p>
        </w:tc>
      </w:tr>
      <w:tr w:rsidR="009E5BF9" w:rsidRPr="00653421" w:rsidTr="00AE23CB">
        <w:tc>
          <w:tcPr>
            <w:tcW w:w="3753"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0D5F24">
            <w:pPr>
              <w:spacing w:line="276" w:lineRule="auto"/>
              <w:rPr>
                <w:rFonts w:eastAsia="Calibri" w:cs="Tahoma"/>
                <w:szCs w:val="18"/>
              </w:rPr>
            </w:pPr>
            <w:r w:rsidRPr="00653421">
              <w:rPr>
                <w:rFonts w:eastAsia="Calibri" w:cs="Tahoma"/>
                <w:szCs w:val="18"/>
              </w:rPr>
              <w:t>SBS 2011 Standard com cobertura do Software Assurance até 31 de julho de 2012</w:t>
            </w:r>
          </w:p>
        </w:tc>
        <w:tc>
          <w:tcPr>
            <w:tcW w:w="4995"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9E5BF9" w:rsidP="000D5F24">
            <w:pPr>
              <w:spacing w:line="276" w:lineRule="auto"/>
            </w:pPr>
            <w:r w:rsidRPr="00653421">
              <w:rPr>
                <w:rFonts w:eastAsia="Calibri" w:cs="Tahoma"/>
                <w:szCs w:val="18"/>
              </w:rPr>
              <w:t>Duas licenças do Windows Server 2008 R2 com Software</w:t>
            </w:r>
            <w:r w:rsidR="003C5CC5" w:rsidRPr="00653421">
              <w:rPr>
                <w:rFonts w:eastAsia="Calibri" w:cs="Tahoma"/>
                <w:szCs w:val="18"/>
              </w:rPr>
              <w:t> </w:t>
            </w:r>
            <w:r w:rsidRPr="00653421">
              <w:rPr>
                <w:rFonts w:eastAsia="Calibri" w:cs="Tahoma"/>
                <w:szCs w:val="18"/>
              </w:rPr>
              <w:t>Assurance</w:t>
            </w:r>
          </w:p>
          <w:p w:rsidR="00836655" w:rsidRPr="00653421" w:rsidRDefault="009E5BF9" w:rsidP="000D5F24">
            <w:pPr>
              <w:spacing w:line="276" w:lineRule="auto"/>
              <w:rPr>
                <w:rFonts w:eastAsia="Calibri" w:cs="Tahoma"/>
                <w:szCs w:val="18"/>
              </w:rPr>
            </w:pPr>
            <w:r w:rsidRPr="00653421">
              <w:rPr>
                <w:rFonts w:eastAsia="Calibri" w:cs="Tahoma"/>
                <w:szCs w:val="18"/>
              </w:rPr>
              <w:t>Uma licença do Exchange Server 2010 Standard com Software Assurance</w:t>
            </w:r>
          </w:p>
        </w:tc>
      </w:tr>
      <w:tr w:rsidR="009E5BF9" w:rsidRPr="00653421" w:rsidTr="00AE23CB">
        <w:tc>
          <w:tcPr>
            <w:tcW w:w="3753"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AE23CB">
            <w:pPr>
              <w:spacing w:line="276" w:lineRule="auto"/>
              <w:rPr>
                <w:rFonts w:eastAsia="Calibri" w:cs="Tahoma"/>
                <w:szCs w:val="18"/>
              </w:rPr>
            </w:pPr>
            <w:r w:rsidRPr="00653421">
              <w:rPr>
                <w:rFonts w:eastAsia="Calibri" w:cs="Tahoma"/>
                <w:szCs w:val="18"/>
              </w:rPr>
              <w:t>SBS 2011 Standard com cobertura do Software Assurance em ou depois de 1</w:t>
            </w:r>
            <w:r w:rsidRPr="00653421">
              <w:rPr>
                <w:rFonts w:eastAsia="Calibri" w:cs="Tahoma"/>
                <w:szCs w:val="18"/>
                <w:vertAlign w:val="superscript"/>
              </w:rPr>
              <w:t>o</w:t>
            </w:r>
            <w:r w:rsidR="00AE23CB" w:rsidRPr="00653421">
              <w:rPr>
                <w:rFonts w:eastAsia="Calibri" w:cs="Tahoma"/>
                <w:szCs w:val="18"/>
              </w:rPr>
              <w:t> </w:t>
            </w:r>
            <w:r w:rsidRPr="00653421">
              <w:rPr>
                <w:rFonts w:eastAsia="Calibri" w:cs="Tahoma"/>
                <w:szCs w:val="18"/>
              </w:rPr>
              <w:t>de</w:t>
            </w:r>
            <w:r w:rsidR="00AE23CB" w:rsidRPr="00653421">
              <w:rPr>
                <w:rFonts w:eastAsia="Calibri" w:cs="Tahoma"/>
                <w:szCs w:val="18"/>
              </w:rPr>
              <w:t> </w:t>
            </w:r>
            <w:r w:rsidRPr="00653421">
              <w:rPr>
                <w:rFonts w:eastAsia="Calibri" w:cs="Tahoma"/>
                <w:szCs w:val="18"/>
              </w:rPr>
              <w:t>agosto de 2012</w:t>
            </w:r>
          </w:p>
        </w:tc>
        <w:tc>
          <w:tcPr>
            <w:tcW w:w="4995"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9E5BF9" w:rsidP="000D5F24">
            <w:pPr>
              <w:spacing w:line="276" w:lineRule="auto"/>
            </w:pPr>
            <w:r w:rsidRPr="00653421">
              <w:rPr>
                <w:rFonts w:eastAsia="Calibri" w:cs="Tahoma"/>
                <w:szCs w:val="18"/>
              </w:rPr>
              <w:t>Duas licenças do Windows Server 2012 com Software</w:t>
            </w:r>
            <w:r w:rsidR="003C5CC5" w:rsidRPr="00653421">
              <w:rPr>
                <w:rFonts w:eastAsia="Calibri" w:cs="Tahoma"/>
                <w:szCs w:val="18"/>
              </w:rPr>
              <w:t> </w:t>
            </w:r>
            <w:r w:rsidRPr="00653421">
              <w:rPr>
                <w:rFonts w:eastAsia="Calibri" w:cs="Tahoma"/>
                <w:szCs w:val="18"/>
              </w:rPr>
              <w:t>Assurance</w:t>
            </w:r>
          </w:p>
          <w:p w:rsidR="00836655" w:rsidRPr="00653421" w:rsidRDefault="009E5BF9" w:rsidP="000D5F24">
            <w:pPr>
              <w:spacing w:line="276" w:lineRule="auto"/>
              <w:rPr>
                <w:rFonts w:eastAsia="Calibri" w:cs="Tahoma"/>
                <w:szCs w:val="18"/>
              </w:rPr>
            </w:pPr>
            <w:r w:rsidRPr="00653421">
              <w:rPr>
                <w:rFonts w:eastAsia="Calibri" w:cs="Tahoma"/>
                <w:szCs w:val="18"/>
              </w:rPr>
              <w:t>Uma licença do Exchange Server 2010 Standard com Software Assurance</w:t>
            </w:r>
          </w:p>
        </w:tc>
      </w:tr>
    </w:tbl>
    <w:p w:rsidR="00CE7FAD" w:rsidRPr="00653421" w:rsidRDefault="00CE7FAD" w:rsidP="00CE7FAD">
      <w:pPr>
        <w:spacing w:after="100" w:afterAutospacing="1" w:line="276" w:lineRule="auto"/>
        <w:ind w:left="720"/>
        <w:contextualSpacing/>
      </w:pPr>
    </w:p>
    <w:p w:rsidR="00836655" w:rsidRPr="00653421" w:rsidRDefault="00836655" w:rsidP="00CE7FAD">
      <w:pPr>
        <w:ind w:left="720"/>
      </w:pPr>
      <w:r w:rsidRPr="00653421">
        <w:rPr>
          <w:rFonts w:eastAsia="Calibri" w:cs="Tahoma"/>
          <w:szCs w:val="18"/>
        </w:rPr>
        <w:t>A cobertura do Software Assurance incluída com a concessão supracitada expira quando a cobertura correspondente nas Licenças Qualificadas expirar. Como uma exceção, os clientes com Software Assurance em Licenças de Qualificação que expiram em agosto de 2012 poderão, até 31 de dezembro de 2012, renovar o Software Assurance nas licenças do Windows Server e Exchange Server concedidas sob esta</w:t>
      </w:r>
      <w:r w:rsidR="00834E9F" w:rsidRPr="00653421">
        <w:rPr>
          <w:rFonts w:eastAsia="Calibri" w:cs="Tahoma"/>
          <w:szCs w:val="18"/>
        </w:rPr>
        <w:t> </w:t>
      </w:r>
      <w:r w:rsidRPr="00653421">
        <w:rPr>
          <w:rFonts w:eastAsia="Calibri" w:cs="Tahoma"/>
          <w:szCs w:val="18"/>
        </w:rPr>
        <w:t>oferta.</w:t>
      </w:r>
    </w:p>
    <w:p w:rsidR="00CE7FAD" w:rsidRPr="00653421" w:rsidRDefault="00CE7FAD" w:rsidP="00CE7FAD">
      <w:pPr>
        <w:pStyle w:val="ListParagraph"/>
        <w:contextualSpacing w:val="0"/>
        <w:rPr>
          <w:rFonts w:ascii="Tahoma" w:hAnsi="Tahoma" w:cs="Tahoma"/>
          <w:sz w:val="18"/>
          <w:szCs w:val="18"/>
        </w:rPr>
      </w:pPr>
    </w:p>
    <w:p w:rsidR="00836655" w:rsidRPr="00653421" w:rsidRDefault="00836655" w:rsidP="00CE7FAD">
      <w:pPr>
        <w:pStyle w:val="ListParagraph"/>
        <w:contextualSpacing w:val="0"/>
      </w:pPr>
      <w:r w:rsidRPr="00653421">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CE7FAD" w:rsidRPr="00653421" w:rsidRDefault="00CE7FAD" w:rsidP="00CE7FAD">
      <w:pPr>
        <w:pStyle w:val="ListParagraph"/>
        <w:contextualSpacing w:val="0"/>
        <w:rPr>
          <w:rFonts w:ascii="Tahoma" w:hAnsi="Tahoma" w:cs="Tahoma"/>
          <w:sz w:val="18"/>
          <w:szCs w:val="18"/>
        </w:rPr>
      </w:pPr>
    </w:p>
    <w:p w:rsidR="00836655" w:rsidRPr="00653421" w:rsidRDefault="00836655" w:rsidP="00CE7FAD">
      <w:pPr>
        <w:pStyle w:val="ListParagraph"/>
        <w:contextualSpacing w:val="0"/>
      </w:pPr>
      <w:r w:rsidRPr="00653421">
        <w:rPr>
          <w:rFonts w:ascii="Tahoma" w:eastAsia="Calibri" w:hAnsi="Tahoma" w:cs="Tahoma"/>
          <w:sz w:val="18"/>
          <w:szCs w:val="18"/>
        </w:rPr>
        <w:t>Para cada Licença Qualificada adquirida sob Open Value Subscription, um cliente pode comprar uma licença do SBS 2011 Padrão, conforme cotado ou:</w:t>
      </w:r>
    </w:p>
    <w:p w:rsidR="00CE7FAD" w:rsidRPr="00653421" w:rsidRDefault="00CE7FAD" w:rsidP="00CE7FAD">
      <w:pPr>
        <w:pStyle w:val="ListParagraph"/>
        <w:contextualSpacing w:val="0"/>
        <w:rPr>
          <w:rFonts w:ascii="Tahoma" w:hAnsi="Tahoma" w:cs="Tahoma"/>
          <w:sz w:val="18"/>
          <w:szCs w:val="18"/>
        </w:rPr>
      </w:pPr>
    </w:p>
    <w:p w:rsidR="00836655" w:rsidRPr="00653421" w:rsidRDefault="009E5BF9" w:rsidP="00CE7FAD">
      <w:pPr>
        <w:pStyle w:val="ListParagraph"/>
        <w:numPr>
          <w:ilvl w:val="1"/>
          <w:numId w:val="123"/>
        </w:numPr>
        <w:tabs>
          <w:tab w:val="clear" w:pos="1440"/>
        </w:tabs>
        <w:contextualSpacing w:val="0"/>
      </w:pPr>
      <w:r w:rsidRPr="00653421">
        <w:rPr>
          <w:rFonts w:ascii="Tahoma" w:eastAsia="Calibri" w:hAnsi="Tahoma" w:cs="Tahoma"/>
          <w:sz w:val="18"/>
          <w:szCs w:val="18"/>
        </w:rPr>
        <w:t>Duas licenças do Windows Server 2012 Standard e uma licença do Exchange Server 2010 Standard para contratos que expiram em ou depois de 1</w:t>
      </w:r>
      <w:r w:rsidRPr="00653421">
        <w:rPr>
          <w:rFonts w:ascii="Tahoma" w:eastAsia="Calibri" w:hAnsi="Tahoma" w:cs="Tahoma"/>
          <w:sz w:val="18"/>
          <w:szCs w:val="18"/>
          <w:vertAlign w:val="superscript"/>
        </w:rPr>
        <w:t>º</w:t>
      </w:r>
      <w:r w:rsidRPr="00653421">
        <w:rPr>
          <w:rFonts w:ascii="Tahoma" w:eastAsia="Calibri" w:hAnsi="Tahoma" w:cs="Tahoma"/>
          <w:sz w:val="18"/>
          <w:szCs w:val="18"/>
        </w:rPr>
        <w:t xml:space="preserve"> de agosto de 2012 ou</w:t>
      </w:r>
    </w:p>
    <w:p w:rsidR="00836655" w:rsidRPr="00653421" w:rsidRDefault="009E5BF9" w:rsidP="00CE7FAD">
      <w:pPr>
        <w:pStyle w:val="ListParagraph"/>
        <w:numPr>
          <w:ilvl w:val="1"/>
          <w:numId w:val="123"/>
        </w:numPr>
        <w:tabs>
          <w:tab w:val="clear" w:pos="1440"/>
        </w:tabs>
        <w:contextualSpacing w:val="0"/>
      </w:pPr>
      <w:r w:rsidRPr="00653421">
        <w:rPr>
          <w:rFonts w:ascii="Tahoma" w:eastAsia="Calibri" w:hAnsi="Tahoma" w:cs="Tahoma"/>
          <w:sz w:val="18"/>
          <w:szCs w:val="18"/>
        </w:rPr>
        <w:t>Duas licenças do Windows Server 2008 R2 Standard e uma licença do Exchange Server 2010 Standard para contratos que expiram em julho de 2012.</w:t>
      </w:r>
    </w:p>
    <w:p w:rsidR="00CE7FAD" w:rsidRPr="00653421" w:rsidRDefault="00CE7FAD" w:rsidP="00CE7FAD">
      <w:pPr>
        <w:ind w:left="720"/>
      </w:pPr>
    </w:p>
    <w:p w:rsidR="001A0F51" w:rsidRPr="00653421" w:rsidRDefault="001A0F51" w:rsidP="00CE7FAD">
      <w:pPr>
        <w:ind w:left="720"/>
      </w:pPr>
    </w:p>
    <w:p w:rsidR="00836655" w:rsidRPr="00653421" w:rsidRDefault="00836655" w:rsidP="00CE7FAD">
      <w:pPr>
        <w:ind w:left="720"/>
      </w:pPr>
      <w:r w:rsidRPr="00653421">
        <w:rPr>
          <w:rFonts w:eastAsia="Calibri" w:cs="Tahoma"/>
          <w:szCs w:val="18"/>
        </w:rPr>
        <w:t>Na atualização para o Windows Server Standard e Exchange Server 2010 Standard sob essa concessão, as</w:t>
      </w:r>
      <w:r w:rsidR="00D003C1" w:rsidRPr="00653421">
        <w:rPr>
          <w:rFonts w:eastAsia="Calibri" w:cs="Tahoma"/>
          <w:szCs w:val="18"/>
        </w:rPr>
        <w:t> </w:t>
      </w:r>
      <w:r w:rsidRPr="00653421">
        <w:rPr>
          <w:rFonts w:eastAsia="Calibri" w:cs="Tahoma"/>
          <w:szCs w:val="18"/>
        </w:rPr>
        <w:t>Licenças Qualificadas do SBS Standard existentes do cliente não serão mais válidas.</w:t>
      </w:r>
    </w:p>
    <w:p w:rsidR="00836655" w:rsidRPr="00653421" w:rsidRDefault="00836655" w:rsidP="00CE7FAD">
      <w:pPr>
        <w:ind w:left="720"/>
      </w:pPr>
      <w:r w:rsidRPr="00653421">
        <w:rPr>
          <w:color w:val="000000"/>
        </w:rPr>
        <w:t xml:space="preserve">As licenças do SBS 2011 Standard </w:t>
      </w:r>
      <w:r w:rsidRPr="00653421">
        <w:rPr>
          <w:rFonts w:cs="Tahoma"/>
          <w:bCs/>
          <w:color w:val="000000"/>
          <w:szCs w:val="18"/>
        </w:rPr>
        <w:t>adquiridas posteriormente no mesmo prazo de registro, como parte de</w:t>
      </w:r>
      <w:r w:rsidR="00D003C1" w:rsidRPr="00653421">
        <w:rPr>
          <w:rFonts w:cs="Tahoma"/>
          <w:bCs/>
          <w:color w:val="000000"/>
          <w:szCs w:val="18"/>
        </w:rPr>
        <w:t> </w:t>
      </w:r>
      <w:r w:rsidRPr="00653421">
        <w:rPr>
          <w:rFonts w:cs="Tahoma"/>
          <w:bCs/>
          <w:color w:val="000000"/>
          <w:szCs w:val="18"/>
        </w:rPr>
        <w:t>um processo de adequação (“true-up”) programado do cliente Open Value Subscription ou EES também</w:t>
      </w:r>
      <w:r w:rsidR="00D003C1" w:rsidRPr="00653421">
        <w:rPr>
          <w:rFonts w:cs="Tahoma"/>
          <w:bCs/>
          <w:color w:val="000000"/>
          <w:szCs w:val="18"/>
        </w:rPr>
        <w:t> </w:t>
      </w:r>
      <w:r w:rsidRPr="00653421">
        <w:rPr>
          <w:rFonts w:cs="Tahoma"/>
          <w:bCs/>
          <w:color w:val="000000"/>
          <w:szCs w:val="18"/>
        </w:rPr>
        <w:t>são Licenças Qualificadas para os propósitos da concessão supracitada.</w:t>
      </w:r>
    </w:p>
    <w:p w:rsidR="00D16723" w:rsidRDefault="00D16723" w:rsidP="00983463">
      <w:pPr>
        <w:spacing w:line="180" w:lineRule="exact"/>
        <w:ind w:left="720"/>
      </w:pPr>
    </w:p>
    <w:p w:rsidR="00E53811" w:rsidRDefault="00E53811" w:rsidP="00983463">
      <w:pPr>
        <w:spacing w:line="180" w:lineRule="exact"/>
        <w:ind w:left="720"/>
      </w:pPr>
    </w:p>
    <w:p w:rsidR="00E53811" w:rsidRPr="00653421" w:rsidRDefault="00E53811" w:rsidP="00983463">
      <w:pPr>
        <w:spacing w:line="180" w:lineRule="exact"/>
        <w:ind w:left="720"/>
      </w:pPr>
    </w:p>
    <w:p w:rsidR="00D16723" w:rsidRPr="00653421" w:rsidRDefault="00D16723" w:rsidP="00983463">
      <w:pPr>
        <w:spacing w:line="180" w:lineRule="exact"/>
      </w:pPr>
      <w:bookmarkStart w:id="1638" w:name="_100_SBS_2008"/>
      <w:bookmarkStart w:id="1639" w:name="_101_SBS_2008"/>
      <w:bookmarkStart w:id="1640" w:name="_105_SBS_2008"/>
      <w:bookmarkStart w:id="1641" w:name="_125_Windows_Web"/>
      <w:bookmarkEnd w:id="1638"/>
      <w:bookmarkEnd w:id="1639"/>
      <w:bookmarkEnd w:id="1640"/>
      <w:bookmarkEnd w:id="1641"/>
    </w:p>
    <w:p w:rsidR="00E06578" w:rsidRPr="00653421" w:rsidRDefault="00F66FB0" w:rsidP="00EF2279">
      <w:pPr>
        <w:pStyle w:val="Heading2"/>
        <w:ind w:left="0"/>
      </w:pPr>
      <w:bookmarkStart w:id="1642" w:name="_122_Windows_Small"/>
      <w:bookmarkStart w:id="1643" w:name="_120_Windows_Small"/>
      <w:bookmarkStart w:id="1644" w:name="_110_Windows_Small"/>
      <w:bookmarkStart w:id="1645" w:name="_112_Pacote_de"/>
      <w:bookmarkStart w:id="1646" w:name="_Toc336338378"/>
      <w:bookmarkStart w:id="1647" w:name="_Toc353471018"/>
      <w:bookmarkEnd w:id="1642"/>
      <w:bookmarkEnd w:id="1643"/>
      <w:bookmarkEnd w:id="1644"/>
      <w:bookmarkEnd w:id="1645"/>
      <w:r w:rsidRPr="00653421">
        <w:rPr>
          <w:rFonts w:ascii="Tahoma" w:hAnsi="Tahoma" w:cs="Tahoma"/>
          <w:caps/>
          <w:color w:val="EE6000"/>
          <w:sz w:val="22"/>
          <w:szCs w:val="18"/>
          <w:vertAlign w:val="superscript"/>
        </w:rPr>
        <w:lastRenderedPageBreak/>
        <w:t>112</w:t>
      </w:r>
      <w:r w:rsidRPr="00653421">
        <w:rPr>
          <w:rFonts w:ascii="Tahoma" w:hAnsi="Tahoma" w:cs="Tahoma"/>
          <w:caps/>
          <w:color w:val="EE6000"/>
          <w:sz w:val="22"/>
          <w:szCs w:val="18"/>
        </w:rPr>
        <w:t xml:space="preserve"> </w:t>
      </w:r>
      <w:r w:rsidRPr="00653421">
        <w:rPr>
          <w:rFonts w:ascii="Tahoma" w:hAnsi="Tahoma" w:cs="Tahoma"/>
          <w:color w:val="F8701C"/>
          <w:sz w:val="22"/>
          <w:szCs w:val="22"/>
        </w:rPr>
        <w:t>Pacote de CALs do Windows Small Business Server (SBS) 2011</w:t>
      </w:r>
      <w:bookmarkEnd w:id="1646"/>
      <w:bookmarkEnd w:id="1647"/>
    </w:p>
    <w:p w:rsidR="00E06578" w:rsidRPr="00653421" w:rsidRDefault="00E06578" w:rsidP="00983463">
      <w:pPr>
        <w:spacing w:line="180" w:lineRule="exact"/>
        <w:ind w:left="900"/>
      </w:pPr>
    </w:p>
    <w:p w:rsidR="000F0F4D" w:rsidRPr="00653421" w:rsidRDefault="00836655" w:rsidP="000F0F4D">
      <w:pPr>
        <w:spacing w:after="60"/>
        <w:ind w:left="720"/>
      </w:pPr>
      <w:r w:rsidRPr="00653421">
        <w:rPr>
          <w:b/>
          <w:color w:val="000000"/>
        </w:rPr>
        <w:t>Outorgas de licença associadas ao término da validade do Pacote de CALs do SBS 2011</w:t>
      </w:r>
    </w:p>
    <w:p w:rsidR="00836655" w:rsidRPr="00653421" w:rsidRDefault="00836655" w:rsidP="000F0F4D">
      <w:pPr>
        <w:ind w:left="720"/>
      </w:pPr>
      <w:r w:rsidRPr="00653421">
        <w:t>Os clientes com cobertura do Software Assurance ativa para o Pacote de CALs do SBS 2011 (“CALs Qualificadas”) estão qualificados para acessar o software Windows Server Standard e Exchange Server 2010 Standard.</w:t>
      </w:r>
      <w:r w:rsidR="005A52A2" w:rsidRPr="00653421">
        <w:t xml:space="preserve"> </w:t>
      </w:r>
      <w:r w:rsidRPr="00653421">
        <w:rPr>
          <w:rFonts w:eastAsia="Calibri" w:cs="Tahoma"/>
          <w:szCs w:val="18"/>
        </w:rPr>
        <w:t xml:space="preserve">Para facilitar tal acesso, para cada CAL Qualificada que o cliente possui, ele receberá uma CAL para cada licença do Windows Server e Exchange Server 2010, como pode ser visto na tabela a seguir. </w:t>
      </w:r>
    </w:p>
    <w:p w:rsidR="000F0F4D" w:rsidRPr="00653421" w:rsidRDefault="000F0F4D" w:rsidP="00983463">
      <w:pPr>
        <w:spacing w:line="180" w:lineRule="exact"/>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27"/>
        <w:gridCol w:w="4495"/>
      </w:tblGrid>
      <w:tr w:rsidR="00836655" w:rsidRPr="00653421" w:rsidTr="00F55573">
        <w:tc>
          <w:tcPr>
            <w:tcW w:w="414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53421" w:rsidRDefault="00836655" w:rsidP="000A5032">
            <w:pPr>
              <w:spacing w:after="200" w:line="276" w:lineRule="auto"/>
              <w:rPr>
                <w:rFonts w:eastAsia="Calibri" w:cs="Tahoma"/>
                <w:szCs w:val="18"/>
              </w:rPr>
            </w:pPr>
            <w:r w:rsidRPr="00653421">
              <w:rPr>
                <w:b/>
                <w:color w:val="000000"/>
              </w:rPr>
              <w:t>Licenças Qualificadas</w:t>
            </w:r>
          </w:p>
        </w:tc>
        <w:tc>
          <w:tcPr>
            <w:tcW w:w="460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53421" w:rsidRDefault="00836655" w:rsidP="000A5032">
            <w:pPr>
              <w:spacing w:after="200" w:line="276" w:lineRule="auto"/>
              <w:rPr>
                <w:rFonts w:eastAsia="Calibri" w:cs="Tahoma"/>
                <w:szCs w:val="18"/>
              </w:rPr>
            </w:pPr>
            <w:r w:rsidRPr="00653421">
              <w:rPr>
                <w:b/>
                <w:color w:val="000000"/>
              </w:rPr>
              <w:t>Outorga de Licença</w:t>
            </w:r>
          </w:p>
        </w:tc>
      </w:tr>
      <w:tr w:rsidR="00836655" w:rsidRPr="00653421" w:rsidTr="00F55573">
        <w:tc>
          <w:tcPr>
            <w:tcW w:w="414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CA14C9">
            <w:pPr>
              <w:spacing w:line="276" w:lineRule="auto"/>
              <w:rPr>
                <w:rFonts w:eastAsia="Calibri" w:cs="Tahoma"/>
                <w:szCs w:val="18"/>
              </w:rPr>
            </w:pPr>
            <w:r w:rsidRPr="00653421">
              <w:rPr>
                <w:rFonts w:eastAsia="Calibri" w:cs="Tahoma"/>
                <w:szCs w:val="18"/>
              </w:rPr>
              <w:t>Pacote de CALs do SBS 2011 com cobertura do Software Assurance até 31 de julho de 2012</w:t>
            </w:r>
          </w:p>
        </w:tc>
        <w:tc>
          <w:tcPr>
            <w:tcW w:w="460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CA14C9">
            <w:pPr>
              <w:spacing w:line="276" w:lineRule="auto"/>
            </w:pPr>
            <w:r w:rsidRPr="00653421">
              <w:rPr>
                <w:rFonts w:eastAsia="Calibri" w:cs="Tahoma"/>
                <w:szCs w:val="18"/>
              </w:rPr>
              <w:t>CAL do Windows Server 2008 R2</w:t>
            </w:r>
          </w:p>
          <w:p w:rsidR="00836655" w:rsidRPr="00653421" w:rsidRDefault="00836655" w:rsidP="00CA14C9">
            <w:pPr>
              <w:spacing w:line="276" w:lineRule="auto"/>
              <w:rPr>
                <w:rFonts w:eastAsia="Calibri" w:cs="Tahoma"/>
                <w:szCs w:val="18"/>
              </w:rPr>
            </w:pPr>
            <w:r w:rsidRPr="00653421">
              <w:rPr>
                <w:rFonts w:eastAsia="Calibri" w:cs="Tahoma"/>
                <w:szCs w:val="18"/>
              </w:rPr>
              <w:t>CAL do Exchange Server 2010</w:t>
            </w:r>
          </w:p>
        </w:tc>
      </w:tr>
      <w:tr w:rsidR="00836655" w:rsidRPr="00653421" w:rsidTr="00F55573">
        <w:tc>
          <w:tcPr>
            <w:tcW w:w="414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F55573">
            <w:pPr>
              <w:spacing w:line="276" w:lineRule="auto"/>
              <w:rPr>
                <w:rFonts w:eastAsia="Calibri" w:cs="Tahoma"/>
                <w:szCs w:val="18"/>
              </w:rPr>
            </w:pPr>
            <w:r w:rsidRPr="00653421">
              <w:rPr>
                <w:rFonts w:eastAsia="Calibri" w:cs="Tahoma"/>
                <w:szCs w:val="18"/>
              </w:rPr>
              <w:t>Pacote de CALs do SBS 2011 com cobertura do</w:t>
            </w:r>
            <w:r w:rsidR="00F55573" w:rsidRPr="00653421">
              <w:rPr>
                <w:rFonts w:eastAsia="Calibri" w:cs="Tahoma"/>
                <w:szCs w:val="18"/>
              </w:rPr>
              <w:t> </w:t>
            </w:r>
            <w:r w:rsidRPr="00653421">
              <w:rPr>
                <w:rFonts w:eastAsia="Calibri" w:cs="Tahoma"/>
                <w:szCs w:val="18"/>
              </w:rPr>
              <w:t>Software Assurance em ou depois de 1</w:t>
            </w:r>
            <w:r w:rsidRPr="00653421">
              <w:rPr>
                <w:rFonts w:eastAsia="Calibri" w:cs="Tahoma"/>
                <w:szCs w:val="18"/>
                <w:vertAlign w:val="superscript"/>
              </w:rPr>
              <w:t>o</w:t>
            </w:r>
            <w:r w:rsidR="00F55573" w:rsidRPr="00653421">
              <w:rPr>
                <w:rFonts w:eastAsia="Calibri" w:cs="Tahoma"/>
                <w:szCs w:val="18"/>
              </w:rPr>
              <w:t> </w:t>
            </w:r>
            <w:r w:rsidRPr="00653421">
              <w:rPr>
                <w:rFonts w:eastAsia="Calibri" w:cs="Tahoma"/>
                <w:szCs w:val="18"/>
              </w:rPr>
              <w:t>de</w:t>
            </w:r>
            <w:r w:rsidR="00F55573" w:rsidRPr="00653421">
              <w:rPr>
                <w:rFonts w:eastAsia="Calibri" w:cs="Tahoma"/>
                <w:szCs w:val="18"/>
              </w:rPr>
              <w:t> </w:t>
            </w:r>
            <w:r w:rsidRPr="00653421">
              <w:rPr>
                <w:rFonts w:eastAsia="Calibri" w:cs="Tahoma"/>
                <w:szCs w:val="18"/>
              </w:rPr>
              <w:t>agosto de 2012</w:t>
            </w:r>
          </w:p>
        </w:tc>
        <w:tc>
          <w:tcPr>
            <w:tcW w:w="460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CA14C9">
            <w:pPr>
              <w:spacing w:line="276" w:lineRule="auto"/>
            </w:pPr>
            <w:r w:rsidRPr="00653421">
              <w:rPr>
                <w:rFonts w:eastAsia="Calibri" w:cs="Tahoma"/>
                <w:szCs w:val="18"/>
              </w:rPr>
              <w:t>CAL do Windows Server 2012 com Software Assurance</w:t>
            </w:r>
          </w:p>
          <w:p w:rsidR="00836655" w:rsidRPr="00653421" w:rsidRDefault="00836655" w:rsidP="00F55573">
            <w:pPr>
              <w:spacing w:line="276" w:lineRule="auto"/>
              <w:rPr>
                <w:rFonts w:eastAsia="Calibri" w:cs="Tahoma"/>
                <w:szCs w:val="18"/>
              </w:rPr>
            </w:pPr>
            <w:r w:rsidRPr="00653421">
              <w:rPr>
                <w:rFonts w:eastAsia="Calibri" w:cs="Tahoma"/>
                <w:szCs w:val="18"/>
              </w:rPr>
              <w:t>CAL do Exchange Server 2010 com Software</w:t>
            </w:r>
            <w:r w:rsidR="00F55573" w:rsidRPr="00653421">
              <w:rPr>
                <w:rFonts w:eastAsia="Calibri" w:cs="Tahoma"/>
                <w:szCs w:val="18"/>
              </w:rPr>
              <w:t> </w:t>
            </w:r>
            <w:r w:rsidRPr="00653421">
              <w:rPr>
                <w:rFonts w:eastAsia="Calibri" w:cs="Tahoma"/>
                <w:szCs w:val="18"/>
              </w:rPr>
              <w:t>Assurance</w:t>
            </w:r>
          </w:p>
        </w:tc>
      </w:tr>
    </w:tbl>
    <w:p w:rsidR="000F0F4D" w:rsidRPr="00653421" w:rsidRDefault="000F0F4D" w:rsidP="00983463">
      <w:pPr>
        <w:pStyle w:val="ListParagraph"/>
        <w:spacing w:line="180" w:lineRule="exact"/>
        <w:contextualSpacing w:val="0"/>
        <w:rPr>
          <w:rFonts w:ascii="Tahoma" w:hAnsi="Tahoma" w:cs="Tahoma"/>
          <w:sz w:val="18"/>
          <w:szCs w:val="18"/>
        </w:rPr>
      </w:pPr>
    </w:p>
    <w:p w:rsidR="00836655" w:rsidRPr="00653421" w:rsidRDefault="00836655" w:rsidP="000F0F4D">
      <w:pPr>
        <w:pStyle w:val="ListParagraph"/>
        <w:contextualSpacing w:val="0"/>
      </w:pPr>
      <w:r w:rsidRPr="00653421">
        <w:rPr>
          <w:rFonts w:ascii="Tahoma" w:eastAsia="Calibri" w:hAnsi="Tahoma" w:cs="Tahoma"/>
          <w:sz w:val="18"/>
          <w:szCs w:val="18"/>
        </w:rPr>
        <w:t>A cobertura do Software Assurance incluída com a concessão supracitada expira quando a cobertura correspondente nas CALs Qualificadas expirar. Como uma exceção, os clientes com Software Assurance em</w:t>
      </w:r>
      <w:r w:rsidR="00D003C1" w:rsidRPr="00653421">
        <w:rPr>
          <w:rFonts w:ascii="Tahoma" w:eastAsia="Calibri" w:hAnsi="Tahoma" w:cs="Tahoma"/>
          <w:sz w:val="18"/>
          <w:szCs w:val="18"/>
        </w:rPr>
        <w:t> </w:t>
      </w:r>
      <w:r w:rsidRPr="00653421">
        <w:rPr>
          <w:rFonts w:ascii="Tahoma" w:eastAsia="Calibri" w:hAnsi="Tahoma" w:cs="Tahoma"/>
          <w:sz w:val="18"/>
          <w:szCs w:val="18"/>
        </w:rPr>
        <w:t>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rsidR="000F0F4D" w:rsidRPr="00653421" w:rsidRDefault="000F0F4D" w:rsidP="00983463">
      <w:pPr>
        <w:pStyle w:val="ListParagraph"/>
        <w:spacing w:line="180" w:lineRule="exact"/>
        <w:contextualSpacing w:val="0"/>
        <w:rPr>
          <w:rFonts w:ascii="Tahoma" w:hAnsi="Tahoma" w:cs="Tahoma"/>
          <w:sz w:val="18"/>
          <w:szCs w:val="18"/>
        </w:rPr>
      </w:pPr>
    </w:p>
    <w:p w:rsidR="00836655" w:rsidRPr="00653421" w:rsidRDefault="00836655" w:rsidP="000F0F4D">
      <w:pPr>
        <w:pStyle w:val="ListParagraph"/>
        <w:contextualSpacing w:val="0"/>
      </w:pPr>
      <w:r w:rsidRPr="00653421">
        <w:rPr>
          <w:rFonts w:ascii="Tahoma" w:eastAsia="Calibri" w:hAnsi="Tahoma" w:cs="Tahoma"/>
          <w:sz w:val="18"/>
          <w:szCs w:val="18"/>
        </w:rPr>
        <w:t>Se os clientes adquiriram direitos perpétuos de acordo com CALs Qualificadas, as CALs adquiridas sob essa concessão serão também perpétuas; caso contrário, as CALs adquiridas sob essa concessão expirarão quando as CALs Qualificadas subjacentes expirarem.</w:t>
      </w:r>
    </w:p>
    <w:p w:rsidR="000F0F4D" w:rsidRPr="00653421" w:rsidRDefault="000F0F4D" w:rsidP="00983463">
      <w:pPr>
        <w:pStyle w:val="ListParagraph"/>
        <w:spacing w:line="180" w:lineRule="exact"/>
        <w:contextualSpacing w:val="0"/>
        <w:rPr>
          <w:rFonts w:ascii="Tahoma" w:hAnsi="Tahoma" w:cs="Tahoma"/>
          <w:sz w:val="18"/>
          <w:szCs w:val="18"/>
        </w:rPr>
      </w:pPr>
    </w:p>
    <w:p w:rsidR="00836655" w:rsidRPr="00653421" w:rsidRDefault="00836655" w:rsidP="000F0F4D">
      <w:pPr>
        <w:pStyle w:val="ListParagraph"/>
        <w:contextualSpacing w:val="0"/>
      </w:pPr>
      <w:r w:rsidRPr="00653421">
        <w:rPr>
          <w:rFonts w:ascii="Tahoma" w:eastAsia="Calibri" w:hAnsi="Tahoma" w:cs="Tahoma"/>
          <w:sz w:val="18"/>
          <w:szCs w:val="18"/>
        </w:rPr>
        <w:t>Para cada CAL Qualificada adquirida sob Open Value Subscription, um cliente pode comprar um Pacote de CALs do SBS 2011, conforme cotado ou:</w:t>
      </w:r>
    </w:p>
    <w:p w:rsidR="000F0F4D" w:rsidRPr="00653421" w:rsidRDefault="000F0F4D" w:rsidP="00983463">
      <w:pPr>
        <w:pStyle w:val="ListParagraph"/>
        <w:spacing w:line="180" w:lineRule="exact"/>
        <w:contextualSpacing w:val="0"/>
        <w:rPr>
          <w:rFonts w:ascii="Tahoma" w:hAnsi="Tahoma" w:cs="Tahoma"/>
          <w:sz w:val="18"/>
          <w:szCs w:val="18"/>
        </w:rPr>
      </w:pPr>
    </w:p>
    <w:p w:rsidR="00836655" w:rsidRPr="00653421" w:rsidRDefault="00836655" w:rsidP="000F0F4D">
      <w:pPr>
        <w:pStyle w:val="ListParagraph"/>
        <w:numPr>
          <w:ilvl w:val="1"/>
          <w:numId w:val="123"/>
        </w:numPr>
        <w:tabs>
          <w:tab w:val="clear" w:pos="1440"/>
        </w:tabs>
        <w:spacing w:after="60"/>
        <w:ind w:left="1800"/>
        <w:contextualSpacing w:val="0"/>
      </w:pPr>
      <w:r w:rsidRPr="00653421">
        <w:rPr>
          <w:rFonts w:ascii="Tahoma" w:eastAsia="Calibri" w:hAnsi="Tahoma" w:cs="Tahoma"/>
          <w:sz w:val="18"/>
          <w:szCs w:val="18"/>
        </w:rPr>
        <w:t>Uma CAL para cada Windows Server 2012 Standard e Exchange Server 2010 para contratos que expiram em ou depois de 1</w:t>
      </w:r>
      <w:r w:rsidRPr="00653421">
        <w:rPr>
          <w:rFonts w:ascii="Tahoma" w:eastAsia="Calibri" w:hAnsi="Tahoma" w:cs="Tahoma"/>
          <w:sz w:val="18"/>
          <w:szCs w:val="18"/>
          <w:vertAlign w:val="superscript"/>
        </w:rPr>
        <w:t>º</w:t>
      </w:r>
      <w:r w:rsidRPr="00653421">
        <w:rPr>
          <w:rFonts w:ascii="Tahoma" w:eastAsia="Calibri" w:hAnsi="Tahoma" w:cs="Tahoma"/>
          <w:sz w:val="18"/>
          <w:szCs w:val="18"/>
        </w:rPr>
        <w:t xml:space="preserve"> de agosto de 2012 e</w:t>
      </w:r>
    </w:p>
    <w:p w:rsidR="00836655" w:rsidRPr="00653421" w:rsidRDefault="00836655" w:rsidP="000F0F4D">
      <w:pPr>
        <w:pStyle w:val="ListParagraph"/>
        <w:numPr>
          <w:ilvl w:val="1"/>
          <w:numId w:val="123"/>
        </w:numPr>
        <w:tabs>
          <w:tab w:val="clear" w:pos="1440"/>
        </w:tabs>
        <w:spacing w:after="60"/>
        <w:ind w:left="1800"/>
        <w:contextualSpacing w:val="0"/>
      </w:pPr>
      <w:r w:rsidRPr="00653421">
        <w:rPr>
          <w:rFonts w:ascii="Tahoma" w:eastAsia="Calibri" w:hAnsi="Tahoma" w:cs="Tahoma"/>
          <w:sz w:val="18"/>
          <w:szCs w:val="18"/>
        </w:rPr>
        <w:t>Uma CAL para cada Windows Server 2008 e Exchange Server 2010 Standard para contratos que expiram em julho de 2012.</w:t>
      </w:r>
    </w:p>
    <w:p w:rsidR="000F0F4D" w:rsidRPr="00653421" w:rsidRDefault="000F0F4D" w:rsidP="00983463">
      <w:pPr>
        <w:spacing w:line="180" w:lineRule="exact"/>
        <w:ind w:left="720"/>
      </w:pPr>
    </w:p>
    <w:p w:rsidR="00836655" w:rsidRPr="00653421" w:rsidRDefault="00836655" w:rsidP="000F0F4D">
      <w:pPr>
        <w:ind w:left="720"/>
      </w:pPr>
      <w:r w:rsidRPr="00653421">
        <w:rPr>
          <w:rFonts w:eastAsia="Calibri" w:cs="Tahoma"/>
          <w:szCs w:val="18"/>
        </w:rPr>
        <w:t>No uso da CAL do Windows Server e CAL Padrão do Exchange Server 2010 sob essa concessão, as CALs Qualificadas do Pacote de CALs do SBS 2011 padrão existentes dos clientes não serão mais válidas.</w:t>
      </w:r>
    </w:p>
    <w:p w:rsidR="000F0F4D" w:rsidRPr="00653421" w:rsidRDefault="000F0F4D" w:rsidP="00983463">
      <w:pPr>
        <w:spacing w:line="180" w:lineRule="exact"/>
        <w:ind w:left="720"/>
      </w:pPr>
    </w:p>
    <w:p w:rsidR="00836655" w:rsidRPr="00653421" w:rsidRDefault="00836655" w:rsidP="000F0F4D">
      <w:pPr>
        <w:ind w:left="720"/>
      </w:pPr>
      <w:r w:rsidRPr="00653421">
        <w:rPr>
          <w:color w:val="000000"/>
        </w:rPr>
        <w:t>O Pacote de CAL do SBS 2011</w:t>
      </w:r>
      <w:r w:rsidRPr="00653421">
        <w:rPr>
          <w:rFonts w:cs="Tahoma"/>
          <w:bCs/>
          <w:color w:val="000000"/>
          <w:szCs w:val="18"/>
        </w:rPr>
        <w:t xml:space="preserve"> adquirido posteriormente no mesmo prazo de registro, como parte de um processo de adequação (“true-up”) programado do cliente Open Value Subscription ou EES também são CALs Qualificadas para os propósitos da concessão supracitada.</w:t>
      </w:r>
      <w:r w:rsidRPr="00653421">
        <w:rPr>
          <w:rFonts w:eastAsia="Calibri" w:cs="Tahoma"/>
          <w:szCs w:val="18"/>
        </w:rPr>
        <w:t xml:space="preserve"> </w:t>
      </w:r>
    </w:p>
    <w:p w:rsidR="009B1D83" w:rsidRPr="00653421" w:rsidRDefault="009B1D83" w:rsidP="00983463">
      <w:pPr>
        <w:spacing w:line="180" w:lineRule="exact"/>
        <w:ind w:left="900"/>
      </w:pPr>
    </w:p>
    <w:p w:rsidR="00586FCE" w:rsidRPr="00653421" w:rsidRDefault="00586FCE" w:rsidP="00983463">
      <w:pPr>
        <w:spacing w:line="180" w:lineRule="exact"/>
        <w:ind w:left="900"/>
      </w:pPr>
    </w:p>
    <w:p w:rsidR="009B1D83" w:rsidRPr="00653421" w:rsidRDefault="00F66FB0" w:rsidP="009B1D83">
      <w:pPr>
        <w:pStyle w:val="Heading2"/>
        <w:ind w:hanging="720"/>
      </w:pPr>
      <w:bookmarkStart w:id="1648" w:name="_113_Complemento_do"/>
      <w:bookmarkStart w:id="1649" w:name="Srv_122WinSmallBizSVR2011Addon"/>
      <w:bookmarkStart w:id="1650" w:name="_Toc336338379"/>
      <w:bookmarkStart w:id="1651" w:name="_Toc353471019"/>
      <w:bookmarkStart w:id="1652" w:name="Srv_112WinSmallBizSVR2011Addon"/>
      <w:bookmarkStart w:id="1653" w:name="Srv_118WinSmallBizSVR2011Addon"/>
      <w:bookmarkEnd w:id="1648"/>
      <w:r w:rsidRPr="00653421">
        <w:rPr>
          <w:rFonts w:ascii="Tahoma" w:hAnsi="Tahoma" w:cs="Tahoma"/>
          <w:caps/>
          <w:color w:val="EE6000"/>
          <w:sz w:val="22"/>
          <w:szCs w:val="18"/>
          <w:vertAlign w:val="superscript"/>
        </w:rPr>
        <w:t>113</w:t>
      </w:r>
      <w:r w:rsidRPr="00653421">
        <w:rPr>
          <w:rFonts w:ascii="Tahoma" w:hAnsi="Tahoma" w:cs="Tahoma"/>
          <w:caps/>
          <w:color w:val="EE6000"/>
          <w:sz w:val="22"/>
          <w:szCs w:val="18"/>
        </w:rPr>
        <w:t xml:space="preserve"> </w:t>
      </w:r>
      <w:r w:rsidRPr="00653421">
        <w:rPr>
          <w:rFonts w:ascii="Tahoma" w:hAnsi="Tahoma" w:cs="Tahoma"/>
          <w:color w:val="EE6000"/>
          <w:sz w:val="22"/>
          <w:szCs w:val="18"/>
        </w:rPr>
        <w:t>Complemento do Windows Small Business Server (SBS) 2011 Premium</w:t>
      </w:r>
      <w:bookmarkEnd w:id="1649"/>
      <w:bookmarkEnd w:id="1650"/>
      <w:bookmarkEnd w:id="1651"/>
    </w:p>
    <w:bookmarkEnd w:id="1652"/>
    <w:bookmarkEnd w:id="1653"/>
    <w:p w:rsidR="009B1D83" w:rsidRPr="00653421" w:rsidRDefault="009B1D83" w:rsidP="00983463">
      <w:pPr>
        <w:spacing w:line="180" w:lineRule="exact"/>
        <w:ind w:left="900"/>
      </w:pPr>
    </w:p>
    <w:p w:rsidR="000F0F4D" w:rsidRPr="00653421" w:rsidRDefault="00836655" w:rsidP="000F0F4D">
      <w:pPr>
        <w:spacing w:after="60"/>
        <w:ind w:left="720"/>
      </w:pPr>
      <w:r w:rsidRPr="00653421">
        <w:rPr>
          <w:b/>
          <w:color w:val="000000"/>
        </w:rPr>
        <w:t>Outorgas de licença associadas ao término da validade do Complemento do SBS 2011 Premium</w:t>
      </w:r>
    </w:p>
    <w:p w:rsidR="00836655" w:rsidRPr="00653421" w:rsidRDefault="00836655" w:rsidP="000F0F4D">
      <w:pPr>
        <w:ind w:left="720"/>
      </w:pPr>
      <w:r w:rsidRPr="00653421">
        <w:rPr>
          <w:color w:val="000000"/>
        </w:rPr>
        <w:t xml:space="preserve">O Complemento do SBS 2011 Premium será a última versão do Complemento do SBS Premium. Os clientes de licenciamento por volume com Software Assurance ativo para licenças do Complemento do SBS 2011 Premium (“Licenças Qualificadas”) poderão atualizar e </w:t>
      </w:r>
      <w:r w:rsidRPr="00653421">
        <w:rPr>
          <w:rFonts w:eastAsia="Calibri" w:cs="Tahoma"/>
          <w:szCs w:val="18"/>
        </w:rPr>
        <w:t>usar os softwares Windows Server Standard e SQL Server 2012 Standard em vez do SBS 2011 Premium. Para facilitar tal uso, para cada licença Qualificada que</w:t>
      </w:r>
      <w:r w:rsidR="00D003C1" w:rsidRPr="00653421">
        <w:rPr>
          <w:rFonts w:eastAsia="Calibri" w:cs="Tahoma"/>
          <w:szCs w:val="18"/>
        </w:rPr>
        <w:t> </w:t>
      </w:r>
      <w:r w:rsidRPr="00653421">
        <w:rPr>
          <w:rFonts w:eastAsia="Calibri" w:cs="Tahoma"/>
          <w:szCs w:val="18"/>
        </w:rPr>
        <w:t xml:space="preserve">o cliente possui, ele receberá uma licença para cada licença do Windows Server e SQL Server 2012 (licenciada sob o modelo de Servidor/CAL), como pode ser visto na tabela a seguir. </w:t>
      </w:r>
    </w:p>
    <w:p w:rsidR="0004051B" w:rsidRPr="00653421" w:rsidRDefault="0004051B" w:rsidP="000F0F4D">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653421"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53421" w:rsidRDefault="00836655" w:rsidP="00D16723">
            <w:pPr>
              <w:keepNext/>
              <w:spacing w:after="200" w:line="276" w:lineRule="auto"/>
              <w:rPr>
                <w:rFonts w:eastAsia="Calibri" w:cs="Tahoma"/>
                <w:szCs w:val="18"/>
              </w:rPr>
            </w:pPr>
            <w:r w:rsidRPr="00653421">
              <w:rPr>
                <w:b/>
                <w:color w:val="000000"/>
              </w:rPr>
              <w:lastRenderedPageBreak/>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53421" w:rsidRDefault="00836655" w:rsidP="00D16723">
            <w:pPr>
              <w:keepNext/>
              <w:spacing w:after="200" w:line="276" w:lineRule="auto"/>
              <w:rPr>
                <w:rFonts w:eastAsia="Calibri" w:cs="Tahoma"/>
                <w:szCs w:val="18"/>
              </w:rPr>
            </w:pPr>
            <w:r w:rsidRPr="00653421">
              <w:rPr>
                <w:b/>
                <w:color w:val="000000"/>
              </w:rPr>
              <w:t>Outorga de Licença</w:t>
            </w:r>
          </w:p>
        </w:tc>
      </w:tr>
      <w:tr w:rsidR="00836655" w:rsidRPr="00653421"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D003C1">
            <w:pPr>
              <w:keepNext/>
              <w:spacing w:line="276" w:lineRule="auto"/>
              <w:rPr>
                <w:rFonts w:eastAsia="Calibri" w:cs="Tahoma"/>
                <w:szCs w:val="18"/>
              </w:rPr>
            </w:pPr>
            <w:r w:rsidRPr="00653421">
              <w:rPr>
                <w:rFonts w:eastAsia="Calibri" w:cs="Tahoma"/>
                <w:szCs w:val="18"/>
              </w:rPr>
              <w:t>Complemento do SBS 2011 Premium com cobertura do</w:t>
            </w:r>
            <w:r w:rsidR="00D003C1" w:rsidRPr="00653421">
              <w:rPr>
                <w:rFonts w:eastAsia="Calibri" w:cs="Tahoma"/>
                <w:szCs w:val="18"/>
              </w:rPr>
              <w:t> </w:t>
            </w:r>
            <w:r w:rsidRPr="00653421">
              <w:rPr>
                <w:rFonts w:eastAsia="Calibri" w:cs="Tahoma"/>
                <w:szCs w:val="18"/>
              </w:rPr>
              <w:t>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D16723">
            <w:pPr>
              <w:keepNext/>
              <w:spacing w:line="276" w:lineRule="auto"/>
            </w:pPr>
            <w:r w:rsidRPr="00653421">
              <w:rPr>
                <w:rFonts w:eastAsia="Calibri" w:cs="Tahoma"/>
                <w:szCs w:val="18"/>
              </w:rPr>
              <w:t xml:space="preserve">CAL do Windows Server 2008 R2 </w:t>
            </w:r>
          </w:p>
          <w:p w:rsidR="00836655" w:rsidRPr="00653421" w:rsidRDefault="00836655" w:rsidP="00D16723">
            <w:pPr>
              <w:keepNext/>
              <w:spacing w:line="276" w:lineRule="auto"/>
              <w:rPr>
                <w:rFonts w:eastAsia="Calibri" w:cs="Tahoma"/>
                <w:szCs w:val="18"/>
              </w:rPr>
            </w:pPr>
            <w:r w:rsidRPr="00653421">
              <w:rPr>
                <w:rFonts w:eastAsia="Calibri" w:cs="Tahoma"/>
                <w:szCs w:val="18"/>
              </w:rPr>
              <w:t xml:space="preserve">SQL Server 2012 </w:t>
            </w:r>
          </w:p>
        </w:tc>
      </w:tr>
      <w:tr w:rsidR="00836655" w:rsidRPr="00653421"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D003C1">
            <w:pPr>
              <w:keepNext/>
              <w:spacing w:line="276" w:lineRule="auto"/>
              <w:rPr>
                <w:rFonts w:eastAsia="Calibri" w:cs="Tahoma"/>
                <w:szCs w:val="18"/>
              </w:rPr>
            </w:pPr>
            <w:r w:rsidRPr="00653421">
              <w:rPr>
                <w:rFonts w:eastAsia="Calibri" w:cs="Tahoma"/>
                <w:szCs w:val="18"/>
              </w:rPr>
              <w:t>Complemento do SBS 2011 Premium com cobertura</w:t>
            </w:r>
            <w:r w:rsidR="00D003C1" w:rsidRPr="00653421">
              <w:rPr>
                <w:rFonts w:eastAsia="Calibri" w:cs="Tahoma"/>
                <w:szCs w:val="18"/>
              </w:rPr>
              <w:t> </w:t>
            </w:r>
            <w:r w:rsidRPr="00653421">
              <w:rPr>
                <w:rFonts w:eastAsia="Calibri" w:cs="Tahoma"/>
                <w:szCs w:val="18"/>
              </w:rPr>
              <w:t>do</w:t>
            </w:r>
            <w:r w:rsidR="00D003C1" w:rsidRPr="00653421">
              <w:rPr>
                <w:rFonts w:eastAsia="Calibri" w:cs="Tahoma"/>
                <w:szCs w:val="18"/>
              </w:rPr>
              <w:t> </w:t>
            </w:r>
            <w:r w:rsidRPr="00653421">
              <w:rPr>
                <w:rFonts w:eastAsia="Calibri" w:cs="Tahoma"/>
                <w:szCs w:val="18"/>
              </w:rPr>
              <w:t>Software Assurance em ou depois de</w:t>
            </w:r>
            <w:r w:rsidR="00D003C1" w:rsidRPr="00653421">
              <w:rPr>
                <w:rFonts w:eastAsia="Calibri" w:cs="Tahoma"/>
                <w:szCs w:val="18"/>
              </w:rPr>
              <w:t> </w:t>
            </w:r>
            <w:r w:rsidRPr="00653421">
              <w:rPr>
                <w:rFonts w:eastAsia="Calibri" w:cs="Tahoma"/>
                <w:szCs w:val="18"/>
              </w:rPr>
              <w:t>1</w:t>
            </w:r>
            <w:r w:rsidRPr="00653421">
              <w:rPr>
                <w:rFonts w:eastAsia="Calibri" w:cs="Tahoma"/>
                <w:szCs w:val="18"/>
                <w:vertAlign w:val="superscript"/>
              </w:rPr>
              <w:t>o</w:t>
            </w:r>
            <w:r w:rsidR="00D003C1" w:rsidRPr="00653421">
              <w:rPr>
                <w:rFonts w:eastAsia="Calibri" w:cs="Tahoma"/>
                <w:szCs w:val="18"/>
              </w:rPr>
              <w:t> </w:t>
            </w:r>
            <w:r w:rsidRPr="00653421">
              <w:rPr>
                <w:rFonts w:eastAsia="Calibri" w:cs="Tahoma"/>
                <w:szCs w:val="18"/>
              </w:rPr>
              <w:t>de</w:t>
            </w:r>
            <w:r w:rsidR="00D003C1" w:rsidRPr="00653421">
              <w:rPr>
                <w:rFonts w:eastAsia="Calibri" w:cs="Tahoma"/>
                <w:szCs w:val="18"/>
              </w:rPr>
              <w:t> </w:t>
            </w:r>
            <w:r w:rsidRPr="00653421">
              <w:rPr>
                <w:rFonts w:eastAsia="Calibri" w:cs="Tahoma"/>
                <w:szCs w:val="18"/>
              </w:rPr>
              <w:t>agosto</w:t>
            </w:r>
            <w:r w:rsidR="00D003C1" w:rsidRPr="00653421">
              <w:rPr>
                <w:rFonts w:eastAsia="Calibri" w:cs="Tahoma"/>
                <w:szCs w:val="18"/>
              </w:rPr>
              <w:t> </w:t>
            </w:r>
            <w:r w:rsidRPr="00653421">
              <w:rPr>
                <w:rFonts w:eastAsia="Calibri" w:cs="Tahoma"/>
                <w:szCs w:val="18"/>
              </w:rPr>
              <w:t>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D16723">
            <w:pPr>
              <w:keepNext/>
              <w:spacing w:line="276" w:lineRule="auto"/>
            </w:pPr>
            <w:r w:rsidRPr="00653421">
              <w:rPr>
                <w:rFonts w:eastAsia="Calibri" w:cs="Tahoma"/>
                <w:szCs w:val="18"/>
              </w:rPr>
              <w:t>Windows Server 2012 com Software Assurance</w:t>
            </w:r>
          </w:p>
          <w:p w:rsidR="00836655" w:rsidRPr="00653421" w:rsidRDefault="00836655" w:rsidP="00D16723">
            <w:pPr>
              <w:keepNext/>
              <w:spacing w:line="276" w:lineRule="auto"/>
              <w:rPr>
                <w:rFonts w:eastAsia="Calibri" w:cs="Tahoma"/>
                <w:szCs w:val="18"/>
              </w:rPr>
            </w:pPr>
            <w:r w:rsidRPr="00653421">
              <w:rPr>
                <w:rFonts w:eastAsia="Calibri" w:cs="Tahoma"/>
                <w:szCs w:val="18"/>
              </w:rPr>
              <w:t>SQL Server 2012 com Software Assurance</w:t>
            </w:r>
          </w:p>
        </w:tc>
      </w:tr>
    </w:tbl>
    <w:p w:rsidR="000F0F4D" w:rsidRPr="00653421" w:rsidRDefault="000F0F4D" w:rsidP="000F0F4D">
      <w:pPr>
        <w:pStyle w:val="ListParagraph"/>
        <w:spacing w:after="100" w:afterAutospacing="1"/>
        <w:rPr>
          <w:rFonts w:ascii="Tahoma" w:hAnsi="Tahoma" w:cs="Tahoma"/>
          <w:sz w:val="18"/>
          <w:szCs w:val="18"/>
        </w:rPr>
      </w:pPr>
    </w:p>
    <w:p w:rsidR="00836655" w:rsidRPr="00653421" w:rsidRDefault="00836655" w:rsidP="000F0F4D">
      <w:pPr>
        <w:pStyle w:val="ListParagraph"/>
        <w:contextualSpacing w:val="0"/>
      </w:pPr>
      <w:r w:rsidRPr="00653421">
        <w:rPr>
          <w:rFonts w:ascii="Tahoma" w:eastAsia="Calibri" w:hAnsi="Tahoma" w:cs="Tahoma"/>
          <w:sz w:val="18"/>
          <w:szCs w:val="18"/>
        </w:rPr>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653421">
        <w:rPr>
          <w:rStyle w:val="CommentReference"/>
          <w:rFonts w:ascii="Tahoma" w:hAnsi="Tahoma"/>
          <w:sz w:val="18"/>
          <w:szCs w:val="18"/>
        </w:rPr>
        <w:t>agosto de 2</w:t>
      </w:r>
      <w:r w:rsidRPr="00653421">
        <w:rPr>
          <w:rFonts w:ascii="Tahoma" w:eastAsia="Calibri" w:hAnsi="Tahoma" w:cs="Tahoma"/>
          <w:sz w:val="18"/>
          <w:szCs w:val="18"/>
        </w:rPr>
        <w:t>012 poderão, até 31 de dezembro de 2012, renovar o Software Assurance nas licenças concedidas sob esta oferta.</w:t>
      </w:r>
    </w:p>
    <w:p w:rsidR="000F0F4D" w:rsidRPr="00653421" w:rsidRDefault="000F0F4D" w:rsidP="000F0F4D">
      <w:pPr>
        <w:pStyle w:val="ListParagraph"/>
        <w:contextualSpacing w:val="0"/>
        <w:rPr>
          <w:rFonts w:ascii="Tahoma" w:hAnsi="Tahoma" w:cs="Tahoma"/>
          <w:sz w:val="18"/>
          <w:szCs w:val="18"/>
        </w:rPr>
      </w:pPr>
    </w:p>
    <w:p w:rsidR="00836655" w:rsidRPr="00653421" w:rsidRDefault="00836655" w:rsidP="000F0F4D">
      <w:pPr>
        <w:spacing w:line="276" w:lineRule="auto"/>
        <w:ind w:left="720"/>
      </w:pPr>
      <w:r w:rsidRPr="00653421">
        <w:rPr>
          <w:color w:val="000000"/>
        </w:rPr>
        <w:t>Os clientes cuja cobertura do Software Assurance em Licenças Qualificadas que expiram em julho</w:t>
      </w:r>
      <w:r w:rsidR="00007E63" w:rsidRPr="00653421">
        <w:rPr>
          <w:color w:val="000000"/>
        </w:rPr>
        <w:t> </w:t>
      </w:r>
      <w:r w:rsidRPr="00653421">
        <w:rPr>
          <w:color w:val="000000"/>
        </w:rPr>
        <w:t>de</w:t>
      </w:r>
      <w:r w:rsidR="00007E63" w:rsidRPr="00653421">
        <w:rPr>
          <w:color w:val="000000"/>
        </w:rPr>
        <w:t> </w:t>
      </w:r>
      <w:r w:rsidRPr="00653421">
        <w:rPr>
          <w:color w:val="000000"/>
        </w:rPr>
        <w:t>2012</w:t>
      </w:r>
      <w:r w:rsidR="00007E63" w:rsidRPr="00653421">
        <w:rPr>
          <w:color w:val="000000"/>
        </w:rPr>
        <w:t> </w:t>
      </w:r>
      <w:r w:rsidRPr="00653421">
        <w:rPr>
          <w:color w:val="000000"/>
        </w:rPr>
        <w:t>poderão</w:t>
      </w:r>
      <w:r w:rsidRPr="00653421">
        <w:rPr>
          <w:rFonts w:eastAsia="Calibri" w:cs="Tahoma"/>
          <w:szCs w:val="18"/>
        </w:rPr>
        <w:t>, até 31 de dezembro de 2012, adquirir o Software Assurance nas licenças concedidas</w:t>
      </w:r>
      <w:r w:rsidR="00007E63" w:rsidRPr="00653421">
        <w:rPr>
          <w:rFonts w:eastAsia="Calibri" w:cs="Tahoma"/>
          <w:szCs w:val="18"/>
        </w:rPr>
        <w:t> </w:t>
      </w:r>
      <w:r w:rsidRPr="00653421">
        <w:rPr>
          <w:rFonts w:eastAsia="Calibri" w:cs="Tahoma"/>
          <w:szCs w:val="18"/>
        </w:rPr>
        <w:t>sob esta oferta.</w:t>
      </w:r>
    </w:p>
    <w:p w:rsidR="000F0F4D" w:rsidRPr="00653421" w:rsidRDefault="000F0F4D" w:rsidP="000F0F4D">
      <w:pPr>
        <w:spacing w:line="276" w:lineRule="auto"/>
        <w:ind w:left="720"/>
      </w:pPr>
    </w:p>
    <w:p w:rsidR="00836655" w:rsidRPr="00653421" w:rsidRDefault="00836655" w:rsidP="000F0F4D">
      <w:pPr>
        <w:pStyle w:val="ListParagraph"/>
        <w:contextualSpacing w:val="0"/>
      </w:pPr>
      <w:r w:rsidRPr="00653421">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0F0F4D" w:rsidRPr="00653421" w:rsidRDefault="000F0F4D" w:rsidP="000F0F4D">
      <w:pPr>
        <w:pStyle w:val="ListParagraph"/>
        <w:contextualSpacing w:val="0"/>
        <w:rPr>
          <w:rFonts w:ascii="Tahoma" w:hAnsi="Tahoma" w:cs="Tahoma"/>
          <w:sz w:val="18"/>
          <w:szCs w:val="18"/>
        </w:rPr>
      </w:pPr>
    </w:p>
    <w:p w:rsidR="00836655" w:rsidRPr="00653421" w:rsidRDefault="00836655" w:rsidP="000F0F4D">
      <w:pPr>
        <w:pStyle w:val="ListParagraph"/>
        <w:contextualSpacing w:val="0"/>
      </w:pPr>
      <w:r w:rsidRPr="00653421">
        <w:rPr>
          <w:rFonts w:ascii="Tahoma" w:eastAsia="Calibri" w:hAnsi="Tahoma" w:cs="Tahoma"/>
          <w:sz w:val="18"/>
          <w:szCs w:val="18"/>
        </w:rPr>
        <w:t>Para cada Licença Qualificada adquirida sob Open Value Subscription, um cliente pode comprar uma licença do Complemento do SBS 2011 Premium, conforme cotado ou:</w:t>
      </w:r>
    </w:p>
    <w:p w:rsidR="000F0F4D" w:rsidRPr="00653421" w:rsidRDefault="000F0F4D" w:rsidP="000F0F4D">
      <w:pPr>
        <w:pStyle w:val="ListParagraph"/>
        <w:contextualSpacing w:val="0"/>
        <w:rPr>
          <w:rFonts w:ascii="Tahoma" w:hAnsi="Tahoma" w:cs="Tahoma"/>
          <w:sz w:val="18"/>
          <w:szCs w:val="18"/>
        </w:rPr>
      </w:pPr>
    </w:p>
    <w:p w:rsidR="00836655" w:rsidRPr="00653421" w:rsidRDefault="00836655" w:rsidP="000F0F4D">
      <w:pPr>
        <w:pStyle w:val="ListParagraph"/>
        <w:numPr>
          <w:ilvl w:val="1"/>
          <w:numId w:val="123"/>
        </w:numPr>
        <w:tabs>
          <w:tab w:val="clear" w:pos="1440"/>
        </w:tabs>
        <w:spacing w:after="60"/>
        <w:contextualSpacing w:val="0"/>
      </w:pPr>
      <w:r w:rsidRPr="00653421">
        <w:rPr>
          <w:rFonts w:ascii="Tahoma" w:eastAsia="Calibri" w:hAnsi="Tahoma" w:cs="Tahoma"/>
          <w:sz w:val="18"/>
          <w:szCs w:val="18"/>
        </w:rPr>
        <w:t>Uma licença para cada Windows Server 2012 Standard e SQL Server 2012 Standard (licenciada sob</w:t>
      </w:r>
      <w:r w:rsidR="00BC7B7D" w:rsidRPr="00653421">
        <w:rPr>
          <w:rFonts w:ascii="Tahoma" w:eastAsia="Calibri" w:hAnsi="Tahoma" w:cs="Tahoma"/>
          <w:sz w:val="18"/>
          <w:szCs w:val="18"/>
        </w:rPr>
        <w:t> </w:t>
      </w:r>
      <w:r w:rsidRPr="00653421">
        <w:rPr>
          <w:rFonts w:ascii="Tahoma" w:eastAsia="Calibri" w:hAnsi="Tahoma" w:cs="Tahoma"/>
          <w:sz w:val="18"/>
          <w:szCs w:val="18"/>
        </w:rPr>
        <w:t>o modelo de licenciamento Servidor-CAL) para contratos que expiram em ou depois de 1</w:t>
      </w:r>
      <w:r w:rsidRPr="00653421">
        <w:rPr>
          <w:rFonts w:ascii="Tahoma" w:eastAsia="Calibri" w:hAnsi="Tahoma" w:cs="Tahoma"/>
          <w:sz w:val="18"/>
          <w:szCs w:val="18"/>
          <w:vertAlign w:val="superscript"/>
        </w:rPr>
        <w:t>º</w:t>
      </w:r>
      <w:r w:rsidR="00BC7B7D" w:rsidRPr="00653421">
        <w:rPr>
          <w:rFonts w:ascii="Tahoma" w:eastAsia="Calibri" w:hAnsi="Tahoma" w:cs="Tahoma"/>
          <w:sz w:val="18"/>
          <w:szCs w:val="18"/>
        </w:rPr>
        <w:t> </w:t>
      </w:r>
      <w:r w:rsidRPr="00653421">
        <w:rPr>
          <w:rFonts w:ascii="Tahoma" w:eastAsia="Calibri" w:hAnsi="Tahoma" w:cs="Tahoma"/>
          <w:sz w:val="18"/>
          <w:szCs w:val="18"/>
        </w:rPr>
        <w:t>de</w:t>
      </w:r>
      <w:r w:rsidR="00BC7B7D" w:rsidRPr="00653421">
        <w:rPr>
          <w:rFonts w:ascii="Tahoma" w:eastAsia="Calibri" w:hAnsi="Tahoma" w:cs="Tahoma"/>
          <w:sz w:val="18"/>
          <w:szCs w:val="18"/>
        </w:rPr>
        <w:t> </w:t>
      </w:r>
      <w:r w:rsidRPr="00653421">
        <w:rPr>
          <w:rFonts w:ascii="Tahoma" w:eastAsia="Calibri" w:hAnsi="Tahoma" w:cs="Tahoma"/>
          <w:sz w:val="18"/>
          <w:szCs w:val="18"/>
        </w:rPr>
        <w:t>agosto de 2012 ou</w:t>
      </w:r>
    </w:p>
    <w:p w:rsidR="00836655" w:rsidRPr="00653421" w:rsidRDefault="00836655" w:rsidP="000F0F4D">
      <w:pPr>
        <w:pStyle w:val="ListParagraph"/>
        <w:numPr>
          <w:ilvl w:val="1"/>
          <w:numId w:val="123"/>
        </w:numPr>
        <w:tabs>
          <w:tab w:val="clear" w:pos="1440"/>
        </w:tabs>
        <w:spacing w:after="60"/>
        <w:contextualSpacing w:val="0"/>
      </w:pPr>
      <w:r w:rsidRPr="00653421">
        <w:rPr>
          <w:rFonts w:ascii="Tahoma" w:eastAsia="Calibri" w:hAnsi="Tahoma" w:cs="Tahoma"/>
          <w:sz w:val="18"/>
          <w:szCs w:val="18"/>
        </w:rPr>
        <w:t>Uma licença para cada Windows Server 2008 R2 Standard e SQL Server 2012 Standard (licenciada sob o modelo de licenciamento Servidor-CAL) para contratos que expiram em julho de 2012.</w:t>
      </w:r>
    </w:p>
    <w:p w:rsidR="000F0F4D" w:rsidRPr="00653421" w:rsidRDefault="000F0F4D" w:rsidP="000F0F4D">
      <w:pPr>
        <w:spacing w:line="276" w:lineRule="auto"/>
        <w:ind w:left="720"/>
      </w:pPr>
    </w:p>
    <w:p w:rsidR="00836655" w:rsidRPr="00653421" w:rsidRDefault="00836655" w:rsidP="000F0F4D">
      <w:pPr>
        <w:spacing w:line="276" w:lineRule="auto"/>
        <w:ind w:left="720"/>
      </w:pPr>
      <w:r w:rsidRPr="00653421">
        <w:rPr>
          <w:rFonts w:eastAsia="Calibri" w:cs="Tahoma"/>
          <w:szCs w:val="18"/>
        </w:rPr>
        <w:t>Na atualização para o Windows Server Standard e SQL Server 2012 Standard sob essa concessão, as Licenças Qualificadas do Complemento do SBS Premium existentes do cliente não serão mais válidas.</w:t>
      </w:r>
    </w:p>
    <w:p w:rsidR="000F0F4D" w:rsidRPr="00653421" w:rsidRDefault="000F0F4D" w:rsidP="000F0F4D">
      <w:pPr>
        <w:spacing w:line="276" w:lineRule="auto"/>
        <w:ind w:left="720"/>
      </w:pPr>
    </w:p>
    <w:p w:rsidR="00836655" w:rsidRPr="00653421" w:rsidRDefault="00836655" w:rsidP="000F0F4D">
      <w:pPr>
        <w:spacing w:line="276" w:lineRule="auto"/>
        <w:ind w:left="720"/>
      </w:pPr>
      <w:r w:rsidRPr="00653421">
        <w:rPr>
          <w:rFonts w:eastAsia="Calibri" w:cs="Tahoma"/>
          <w:szCs w:val="18"/>
        </w:rPr>
        <w:t>As licenças do Complemento do SBS 2011 Premium adquiridas posteriormente no mesmo prazo de registro, como parte de um processo de adequação (“true-up”) programado do cliente Open Value Subscription ou EES também são Licenças Qualificadas para os propósitos da concessão supracitada.</w:t>
      </w:r>
    </w:p>
    <w:p w:rsidR="009B1D83" w:rsidRPr="00653421" w:rsidRDefault="009B1D83" w:rsidP="00EF2279"/>
    <w:p w:rsidR="009B1D83" w:rsidRPr="00653421" w:rsidRDefault="009B1D83" w:rsidP="00EF2279"/>
    <w:p w:rsidR="00E06578" w:rsidRPr="00653421" w:rsidRDefault="00F66FB0" w:rsidP="00BC7B7D">
      <w:pPr>
        <w:pStyle w:val="Heading2"/>
        <w:ind w:left="333" w:hanging="333"/>
      </w:pPr>
      <w:bookmarkStart w:id="1654" w:name="_124_Windows_Small"/>
      <w:bookmarkStart w:id="1655" w:name="_112_Windows_Small"/>
      <w:bookmarkStart w:id="1656" w:name="_114_Pacote_de"/>
      <w:bookmarkStart w:id="1657" w:name="_Toc336338380"/>
      <w:bookmarkStart w:id="1658" w:name="_Toc353471020"/>
      <w:bookmarkEnd w:id="1654"/>
      <w:bookmarkEnd w:id="1655"/>
      <w:bookmarkEnd w:id="1656"/>
      <w:r w:rsidRPr="00653421">
        <w:rPr>
          <w:rFonts w:ascii="Tahoma" w:hAnsi="Tahoma" w:cs="Tahoma"/>
          <w:caps/>
          <w:color w:val="EE6000"/>
          <w:sz w:val="22"/>
          <w:szCs w:val="18"/>
          <w:vertAlign w:val="superscript"/>
        </w:rPr>
        <w:t>114</w:t>
      </w:r>
      <w:r w:rsidRPr="00653421">
        <w:rPr>
          <w:rFonts w:ascii="Tahoma" w:hAnsi="Tahoma" w:cs="Tahoma"/>
          <w:color w:val="EE6000"/>
          <w:sz w:val="22"/>
          <w:szCs w:val="18"/>
        </w:rPr>
        <w:t xml:space="preserve"> </w:t>
      </w:r>
      <w:r w:rsidRPr="00653421">
        <w:rPr>
          <w:rFonts w:ascii="Tahoma" w:hAnsi="Tahoma" w:cs="Tahoma"/>
          <w:color w:val="F8701C"/>
          <w:sz w:val="22"/>
          <w:szCs w:val="22"/>
        </w:rPr>
        <w:t>Pacote de CALs Complementares do Windows Small Business Server (SBS) 2011</w:t>
      </w:r>
      <w:r w:rsidR="00BC7B7D" w:rsidRPr="00653421">
        <w:rPr>
          <w:rFonts w:ascii="Tahoma" w:hAnsi="Tahoma" w:cs="Tahoma"/>
          <w:color w:val="F8701C"/>
          <w:sz w:val="22"/>
          <w:szCs w:val="22"/>
        </w:rPr>
        <w:t> </w:t>
      </w:r>
      <w:r w:rsidRPr="00653421">
        <w:rPr>
          <w:rFonts w:ascii="Tahoma" w:hAnsi="Tahoma" w:cs="Tahoma"/>
          <w:color w:val="F8701C"/>
          <w:sz w:val="22"/>
          <w:szCs w:val="22"/>
        </w:rPr>
        <w:t>Premium</w:t>
      </w:r>
      <w:bookmarkEnd w:id="1657"/>
      <w:bookmarkEnd w:id="1658"/>
    </w:p>
    <w:p w:rsidR="00E06578" w:rsidRPr="00653421" w:rsidRDefault="00E06578" w:rsidP="00910113">
      <w:pPr>
        <w:ind w:left="720"/>
      </w:pPr>
    </w:p>
    <w:p w:rsidR="00910113" w:rsidRPr="00653421" w:rsidRDefault="00836655" w:rsidP="00910113">
      <w:pPr>
        <w:spacing w:after="60"/>
        <w:ind w:left="720"/>
      </w:pPr>
      <w:r w:rsidRPr="00653421">
        <w:rPr>
          <w:b/>
          <w:color w:val="000000"/>
        </w:rPr>
        <w:t>Outorgas de licença associadas ao término da validade do Pacote de CALs do Complemento do</w:t>
      </w:r>
      <w:r w:rsidR="00BC7B7D" w:rsidRPr="00653421">
        <w:rPr>
          <w:b/>
          <w:color w:val="000000"/>
        </w:rPr>
        <w:t> </w:t>
      </w:r>
      <w:r w:rsidRPr="00653421">
        <w:rPr>
          <w:b/>
          <w:color w:val="000000"/>
        </w:rPr>
        <w:t>SBS 2011 Premium</w:t>
      </w:r>
    </w:p>
    <w:p w:rsidR="002512D3" w:rsidRPr="00653421" w:rsidRDefault="00836655" w:rsidP="00003601">
      <w:pPr>
        <w:ind w:left="720"/>
      </w:pPr>
      <w:r w:rsidRPr="00653421">
        <w:t>Os clientes com cobertura do Software Assurance ativa para o Pacote de CALs do Complemento do SBS 2011 Premium (“CALs Qualificadas”) estão qualificados para acessar os softwares Windows Server Standard e SQL Server 2012 Standard.</w:t>
      </w:r>
      <w:r w:rsidR="005A52A2" w:rsidRPr="00653421">
        <w:t xml:space="preserve"> </w:t>
      </w:r>
      <w:r w:rsidRPr="00653421">
        <w:t>A partir de 1</w:t>
      </w:r>
      <w:r w:rsidRPr="00653421">
        <w:rPr>
          <w:vertAlign w:val="superscript"/>
        </w:rPr>
        <w:t>º</w:t>
      </w:r>
      <w:r w:rsidRPr="00653421">
        <w:t xml:space="preserve"> de agosto de 2012, para cada Pacote de CALs qualificadas do Complemento do SBS 2011 Premium que o cliente possuir, o cliente será considerado possuidor de uma CAL</w:t>
      </w:r>
      <w:r w:rsidR="003C3F5D" w:rsidRPr="00653421">
        <w:t> </w:t>
      </w:r>
      <w:r w:rsidRPr="00653421">
        <w:t xml:space="preserve">do Windows Server 2012 e uma CAL do SQL Server 2012 com cobertura de Software Assurance. </w:t>
      </w:r>
      <w:r w:rsidRPr="00653421">
        <w:rPr>
          <w:rFonts w:eastAsia="Calibri" w:cs="Tahoma"/>
          <w:szCs w:val="18"/>
        </w:rPr>
        <w:t>Para</w:t>
      </w:r>
      <w:r w:rsidR="00071601">
        <w:rPr>
          <w:rFonts w:eastAsia="Calibri" w:cs="Tahoma"/>
          <w:szCs w:val="18"/>
        </w:rPr>
        <w:t> </w:t>
      </w:r>
      <w:r w:rsidRPr="00653421">
        <w:rPr>
          <w:rFonts w:eastAsia="Calibri" w:cs="Tahoma"/>
          <w:szCs w:val="18"/>
        </w:rPr>
        <w:t xml:space="preserve">facilitar tal uso, para cada Licença Qualificada que o cliente possui, ele receberá uma CAL para cada Windows Server e SQL Server 2012 (licenciada sob o modelo de Servidor/CAL), como pode ser visto na tabela a seguir. </w:t>
      </w:r>
    </w:p>
    <w:p w:rsidR="00836655" w:rsidRPr="00653421" w:rsidRDefault="00836655" w:rsidP="00910113">
      <w:pPr>
        <w:ind w:left="720"/>
      </w:pPr>
    </w:p>
    <w:p w:rsidR="00983463" w:rsidRPr="00653421" w:rsidRDefault="00983463" w:rsidP="00910113">
      <w:pPr>
        <w:ind w:left="720"/>
      </w:pPr>
    </w:p>
    <w:p w:rsidR="00910113" w:rsidRPr="00653421" w:rsidRDefault="00910113"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41"/>
        <w:gridCol w:w="4481"/>
      </w:tblGrid>
      <w:tr w:rsidR="00836655" w:rsidRPr="00653421" w:rsidTr="00492DA1">
        <w:tc>
          <w:tcPr>
            <w:tcW w:w="414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53421" w:rsidRDefault="00836655" w:rsidP="000A5032">
            <w:pPr>
              <w:spacing w:after="200" w:line="276" w:lineRule="auto"/>
              <w:rPr>
                <w:rFonts w:eastAsia="Calibri" w:cs="Tahoma"/>
                <w:szCs w:val="18"/>
              </w:rPr>
            </w:pPr>
            <w:r w:rsidRPr="00653421">
              <w:rPr>
                <w:b/>
                <w:color w:val="000000"/>
              </w:rPr>
              <w:lastRenderedPageBreak/>
              <w:t>Licenças Qualificadas</w:t>
            </w:r>
          </w:p>
        </w:tc>
        <w:tc>
          <w:tcPr>
            <w:tcW w:w="460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53421" w:rsidRDefault="00836655" w:rsidP="000A5032">
            <w:pPr>
              <w:spacing w:after="200" w:line="276" w:lineRule="auto"/>
              <w:rPr>
                <w:rFonts w:eastAsia="Calibri" w:cs="Tahoma"/>
                <w:szCs w:val="18"/>
              </w:rPr>
            </w:pPr>
            <w:r w:rsidRPr="00653421">
              <w:rPr>
                <w:b/>
                <w:color w:val="000000"/>
              </w:rPr>
              <w:t>Outorga de Licença</w:t>
            </w:r>
          </w:p>
        </w:tc>
      </w:tr>
      <w:tr w:rsidR="00836655" w:rsidRPr="00653421" w:rsidTr="00492DA1">
        <w:tc>
          <w:tcPr>
            <w:tcW w:w="414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CA14C9">
            <w:pPr>
              <w:spacing w:line="276" w:lineRule="auto"/>
              <w:rPr>
                <w:rFonts w:eastAsia="Calibri" w:cs="Tahoma"/>
                <w:szCs w:val="18"/>
              </w:rPr>
            </w:pPr>
            <w:r w:rsidRPr="00653421">
              <w:rPr>
                <w:rFonts w:eastAsia="Calibri" w:cs="Tahoma"/>
                <w:szCs w:val="18"/>
              </w:rPr>
              <w:t>Pacote de CALs do Complemento do SBS 2011 Premium com cobertura do Software Assurance até 31 de julho de 2012</w:t>
            </w:r>
          </w:p>
        </w:tc>
        <w:tc>
          <w:tcPr>
            <w:tcW w:w="460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CA14C9">
            <w:pPr>
              <w:spacing w:line="276" w:lineRule="auto"/>
            </w:pPr>
            <w:r w:rsidRPr="00653421">
              <w:rPr>
                <w:rFonts w:eastAsia="Calibri" w:cs="Tahoma"/>
                <w:szCs w:val="18"/>
              </w:rPr>
              <w:t>CAL do Windows Server 2008 R2</w:t>
            </w:r>
          </w:p>
          <w:p w:rsidR="00836655" w:rsidRPr="00653421" w:rsidRDefault="00836655" w:rsidP="00CA14C9">
            <w:pPr>
              <w:spacing w:line="276" w:lineRule="auto"/>
              <w:rPr>
                <w:rFonts w:eastAsia="Calibri" w:cs="Tahoma"/>
                <w:szCs w:val="18"/>
              </w:rPr>
            </w:pPr>
            <w:r w:rsidRPr="00653421">
              <w:rPr>
                <w:rFonts w:eastAsia="Calibri" w:cs="Tahoma"/>
                <w:szCs w:val="18"/>
              </w:rPr>
              <w:t>CAL do SQL Server 2012</w:t>
            </w:r>
          </w:p>
        </w:tc>
      </w:tr>
      <w:tr w:rsidR="00836655" w:rsidRPr="00653421" w:rsidTr="00492DA1">
        <w:tc>
          <w:tcPr>
            <w:tcW w:w="414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CA14C9">
            <w:pPr>
              <w:spacing w:line="276" w:lineRule="auto"/>
              <w:rPr>
                <w:rFonts w:eastAsia="Calibri" w:cs="Tahoma"/>
                <w:szCs w:val="18"/>
              </w:rPr>
            </w:pPr>
            <w:r w:rsidRPr="00653421">
              <w:rPr>
                <w:rFonts w:eastAsia="Calibri" w:cs="Tahoma"/>
                <w:szCs w:val="18"/>
              </w:rPr>
              <w:t>Pacote de CALs do Complemento do SBS 2011 Premium com cobertura do Software Assurance em ou depois de 1</w:t>
            </w:r>
            <w:r w:rsidRPr="00653421">
              <w:rPr>
                <w:rFonts w:eastAsia="Calibri" w:cs="Tahoma"/>
                <w:szCs w:val="18"/>
                <w:vertAlign w:val="superscript"/>
              </w:rPr>
              <w:t>o</w:t>
            </w:r>
            <w:r w:rsidRPr="00653421">
              <w:rPr>
                <w:rFonts w:eastAsia="Calibri" w:cs="Tahoma"/>
                <w:szCs w:val="18"/>
              </w:rPr>
              <w:t xml:space="preserve"> de agosto de 2012</w:t>
            </w:r>
          </w:p>
        </w:tc>
        <w:tc>
          <w:tcPr>
            <w:tcW w:w="460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53421" w:rsidRDefault="00836655" w:rsidP="00CA14C9">
            <w:pPr>
              <w:spacing w:line="276" w:lineRule="auto"/>
            </w:pPr>
            <w:r w:rsidRPr="00653421">
              <w:rPr>
                <w:rFonts w:eastAsia="Calibri" w:cs="Tahoma"/>
                <w:szCs w:val="18"/>
              </w:rPr>
              <w:t>CAL do Windows Server 2012 com Software Assurance</w:t>
            </w:r>
          </w:p>
          <w:p w:rsidR="00836655" w:rsidRPr="00653421" w:rsidRDefault="00836655" w:rsidP="00CA14C9">
            <w:pPr>
              <w:spacing w:line="276" w:lineRule="auto"/>
              <w:rPr>
                <w:rFonts w:eastAsia="Calibri" w:cs="Tahoma"/>
                <w:szCs w:val="18"/>
              </w:rPr>
            </w:pPr>
            <w:r w:rsidRPr="00653421">
              <w:rPr>
                <w:rFonts w:eastAsia="Calibri" w:cs="Tahoma"/>
                <w:szCs w:val="18"/>
              </w:rPr>
              <w:t>CAL do SQL Server 2012 com Software Assurance</w:t>
            </w:r>
          </w:p>
        </w:tc>
      </w:tr>
    </w:tbl>
    <w:p w:rsidR="00836655" w:rsidRPr="00653421" w:rsidRDefault="00836655" w:rsidP="00492DA1">
      <w:pPr>
        <w:spacing w:line="180" w:lineRule="exact"/>
      </w:pPr>
      <w:r w:rsidRPr="00653421">
        <w:rPr>
          <w:rFonts w:eastAsia="Calibri" w:cs="Tahoma"/>
          <w:szCs w:val="18"/>
        </w:rPr>
        <w:t xml:space="preserve"> </w:t>
      </w:r>
    </w:p>
    <w:p w:rsidR="00836655" w:rsidRPr="00653421" w:rsidRDefault="00836655" w:rsidP="00910113">
      <w:pPr>
        <w:pStyle w:val="ListParagraph"/>
        <w:contextualSpacing w:val="0"/>
      </w:pPr>
      <w:r w:rsidRPr="00653421">
        <w:rPr>
          <w:rFonts w:ascii="Tahoma" w:eastAsia="Calibri" w:hAnsi="Tahoma" w:cs="Tahoma"/>
          <w:sz w:val="18"/>
          <w:szCs w:val="18"/>
        </w:rPr>
        <w:t>A cobertura do Software Assurance incluída com a concessão supracitada expira quando a cobertura correspondente nas CALs Qualificadas expirar. Como uma exceção, os clientes com Software Assurance em</w:t>
      </w:r>
      <w:r w:rsidR="0095103B" w:rsidRPr="00653421">
        <w:rPr>
          <w:rFonts w:ascii="Tahoma" w:eastAsia="Calibri" w:hAnsi="Tahoma" w:cs="Tahoma"/>
          <w:sz w:val="18"/>
          <w:szCs w:val="18"/>
        </w:rPr>
        <w:t> </w:t>
      </w:r>
      <w:r w:rsidRPr="00653421">
        <w:rPr>
          <w:rFonts w:ascii="Tahoma" w:eastAsia="Calibri" w:hAnsi="Tahoma" w:cs="Tahoma"/>
          <w:sz w:val="18"/>
          <w:szCs w:val="18"/>
        </w:rPr>
        <w:t>CALs Qualificadas que expiram em agosto de 2012 poderão, até 31 de dezembro de 2012, renovar o</w:t>
      </w:r>
      <w:r w:rsidR="000F204B" w:rsidRPr="00653421">
        <w:rPr>
          <w:rFonts w:ascii="Tahoma" w:eastAsia="Calibri" w:hAnsi="Tahoma" w:cs="Tahoma"/>
          <w:sz w:val="18"/>
          <w:szCs w:val="18"/>
        </w:rPr>
        <w:t> </w:t>
      </w:r>
      <w:r w:rsidRPr="00653421">
        <w:rPr>
          <w:rFonts w:ascii="Tahoma" w:eastAsia="Calibri" w:hAnsi="Tahoma" w:cs="Tahoma"/>
          <w:sz w:val="18"/>
          <w:szCs w:val="18"/>
        </w:rPr>
        <w:t>Software Assurance nas CALs concedidas sob esta oferta.</w:t>
      </w:r>
      <w:r w:rsidR="005A52A2" w:rsidRPr="00653421">
        <w:rPr>
          <w:rFonts w:ascii="Tahoma" w:eastAsia="Calibri" w:hAnsi="Tahoma" w:cs="Tahoma"/>
          <w:sz w:val="18"/>
          <w:szCs w:val="18"/>
        </w:rPr>
        <w:t xml:space="preserve"> </w:t>
      </w:r>
      <w:r w:rsidRPr="00653421">
        <w:rPr>
          <w:rFonts w:ascii="Tahoma" w:eastAsia="Calibri" w:hAnsi="Tahoma" w:cs="Tahoma"/>
          <w:sz w:val="18"/>
          <w:szCs w:val="18"/>
        </w:rPr>
        <w:t>Os clientes com Software Assurance em CALs</w:t>
      </w:r>
      <w:r w:rsidR="000F204B" w:rsidRPr="00653421">
        <w:rPr>
          <w:rFonts w:ascii="Tahoma" w:eastAsia="Calibri" w:hAnsi="Tahoma" w:cs="Tahoma"/>
          <w:sz w:val="18"/>
          <w:szCs w:val="18"/>
        </w:rPr>
        <w:t> </w:t>
      </w:r>
      <w:r w:rsidRPr="00653421">
        <w:rPr>
          <w:rFonts w:ascii="Tahoma" w:eastAsia="Calibri" w:hAnsi="Tahoma" w:cs="Tahoma"/>
          <w:sz w:val="18"/>
          <w:szCs w:val="18"/>
        </w:rPr>
        <w:t>Qualificadas que expiram em julho de 2012 poderão, até 31 de dezembro de 2012, adquirir o</w:t>
      </w:r>
      <w:r w:rsidR="000F204B" w:rsidRPr="00653421">
        <w:rPr>
          <w:rFonts w:ascii="Tahoma" w:eastAsia="Calibri" w:hAnsi="Tahoma" w:cs="Tahoma"/>
          <w:sz w:val="18"/>
          <w:szCs w:val="18"/>
        </w:rPr>
        <w:t> </w:t>
      </w:r>
      <w:r w:rsidRPr="00653421">
        <w:rPr>
          <w:rFonts w:ascii="Tahoma" w:eastAsia="Calibri" w:hAnsi="Tahoma" w:cs="Tahoma"/>
          <w:sz w:val="18"/>
          <w:szCs w:val="18"/>
        </w:rPr>
        <w:t>Software</w:t>
      </w:r>
      <w:r w:rsidR="000F204B" w:rsidRPr="00653421">
        <w:rPr>
          <w:rFonts w:ascii="Tahoma" w:eastAsia="Calibri" w:hAnsi="Tahoma" w:cs="Tahoma"/>
          <w:sz w:val="18"/>
          <w:szCs w:val="18"/>
        </w:rPr>
        <w:t> </w:t>
      </w:r>
      <w:r w:rsidRPr="00653421">
        <w:rPr>
          <w:rFonts w:ascii="Tahoma" w:eastAsia="Calibri" w:hAnsi="Tahoma" w:cs="Tahoma"/>
          <w:sz w:val="18"/>
          <w:szCs w:val="18"/>
        </w:rPr>
        <w:t>Assurance nas CALs concedidas sob esta oferta.</w:t>
      </w:r>
    </w:p>
    <w:p w:rsidR="00910113" w:rsidRPr="00653421" w:rsidRDefault="00910113" w:rsidP="00492DA1">
      <w:pPr>
        <w:pStyle w:val="ListParagraph"/>
        <w:spacing w:line="180" w:lineRule="exact"/>
        <w:ind w:left="0"/>
        <w:contextualSpacing w:val="0"/>
        <w:rPr>
          <w:rFonts w:ascii="Tahoma" w:hAnsi="Tahoma" w:cs="Tahoma"/>
          <w:sz w:val="18"/>
          <w:szCs w:val="18"/>
        </w:rPr>
      </w:pPr>
    </w:p>
    <w:p w:rsidR="00836655" w:rsidRPr="00653421" w:rsidRDefault="00836655" w:rsidP="00910113">
      <w:pPr>
        <w:pStyle w:val="ListParagraph"/>
        <w:contextualSpacing w:val="0"/>
      </w:pPr>
      <w:r w:rsidRPr="00653421">
        <w:rPr>
          <w:rFonts w:ascii="Tahoma" w:eastAsia="Calibri" w:hAnsi="Tahoma" w:cs="Tahoma"/>
          <w:sz w:val="18"/>
          <w:szCs w:val="18"/>
        </w:rPr>
        <w:t>Se os clientes adquiriram direitos perpétuos de acordo com CALs Qualificadas, as CALs adquiridas sob essa concessão serão também perpétuas; caso contrário, as CALs adquiridas sob essa concessão expirarão quando as CALs Qualificadas subjacentes expirarem.</w:t>
      </w:r>
    </w:p>
    <w:p w:rsidR="00836655" w:rsidRPr="00CE7565" w:rsidRDefault="00836655" w:rsidP="00910113">
      <w:pPr>
        <w:pStyle w:val="ListParagraph"/>
        <w:contextualSpacing w:val="0"/>
        <w:rPr>
          <w:lang w:val="pt-BR"/>
        </w:rPr>
      </w:pPr>
      <w:r w:rsidRPr="00CE7565">
        <w:rPr>
          <w:rFonts w:ascii="Tahoma" w:eastAsia="Calibri" w:hAnsi="Tahoma" w:cs="Tahoma"/>
          <w:sz w:val="18"/>
          <w:szCs w:val="18"/>
          <w:lang w:val="pt-BR"/>
        </w:rPr>
        <w:t>Para cada CAL Qualificada adquirida sob Open Value Subscription, um cliente pode comprar um Pacote de</w:t>
      </w:r>
      <w:r w:rsidR="0095103B" w:rsidRPr="00CE7565">
        <w:rPr>
          <w:rFonts w:ascii="Tahoma" w:eastAsia="Calibri" w:hAnsi="Tahoma" w:cs="Tahoma"/>
          <w:sz w:val="18"/>
          <w:szCs w:val="18"/>
          <w:lang w:val="pt-BR"/>
        </w:rPr>
        <w:t> </w:t>
      </w:r>
      <w:r w:rsidRPr="00CE7565">
        <w:rPr>
          <w:rFonts w:ascii="Tahoma" w:eastAsia="Calibri" w:hAnsi="Tahoma" w:cs="Tahoma"/>
          <w:sz w:val="18"/>
          <w:szCs w:val="18"/>
          <w:lang w:val="pt-BR"/>
        </w:rPr>
        <w:t>CALs do Complemento do SBS 2011 Premium, conforme cotado ou:</w:t>
      </w:r>
    </w:p>
    <w:p w:rsidR="00910113" w:rsidRPr="00CE7565" w:rsidRDefault="00910113" w:rsidP="00492DA1">
      <w:pPr>
        <w:pStyle w:val="ListParagraph"/>
        <w:spacing w:line="180" w:lineRule="exact"/>
        <w:ind w:left="0"/>
        <w:contextualSpacing w:val="0"/>
        <w:rPr>
          <w:rFonts w:ascii="Tahoma" w:hAnsi="Tahoma" w:cs="Tahoma"/>
          <w:sz w:val="18"/>
          <w:szCs w:val="18"/>
          <w:lang w:val="pt-BR"/>
        </w:rPr>
      </w:pPr>
    </w:p>
    <w:p w:rsidR="00836655" w:rsidRPr="00CE7565" w:rsidRDefault="00836655" w:rsidP="00910113">
      <w:pPr>
        <w:pStyle w:val="ListParagraph"/>
        <w:numPr>
          <w:ilvl w:val="1"/>
          <w:numId w:val="123"/>
        </w:numPr>
        <w:tabs>
          <w:tab w:val="clear" w:pos="1440"/>
        </w:tabs>
        <w:spacing w:after="60"/>
        <w:ind w:hanging="274"/>
        <w:contextualSpacing w:val="0"/>
        <w:rPr>
          <w:lang w:val="pt-BR"/>
        </w:rPr>
      </w:pPr>
      <w:r w:rsidRPr="00CE7565">
        <w:rPr>
          <w:rFonts w:ascii="Tahoma" w:eastAsia="Calibri" w:hAnsi="Tahoma" w:cs="Tahoma"/>
          <w:sz w:val="18"/>
          <w:szCs w:val="18"/>
          <w:lang w:val="pt-BR"/>
        </w:rPr>
        <w:t>Uma CAL para cada Windows Server 2012 e SQL Server 2012 para contratos que expiram em ou</w:t>
      </w:r>
      <w:r w:rsidR="0095103B" w:rsidRPr="00CE7565">
        <w:rPr>
          <w:rFonts w:ascii="Tahoma" w:eastAsia="Calibri" w:hAnsi="Tahoma" w:cs="Tahoma"/>
          <w:sz w:val="18"/>
          <w:szCs w:val="18"/>
          <w:lang w:val="pt-BR"/>
        </w:rPr>
        <w:t> </w:t>
      </w:r>
      <w:r w:rsidRPr="00CE7565">
        <w:rPr>
          <w:rFonts w:ascii="Tahoma" w:eastAsia="Calibri" w:hAnsi="Tahoma" w:cs="Tahoma"/>
          <w:sz w:val="18"/>
          <w:szCs w:val="18"/>
          <w:lang w:val="pt-BR"/>
        </w:rPr>
        <w:t>depois de 1</w:t>
      </w:r>
      <w:r w:rsidRPr="00CE7565">
        <w:rPr>
          <w:rFonts w:ascii="Tahoma" w:eastAsia="Calibri" w:hAnsi="Tahoma" w:cs="Tahoma"/>
          <w:sz w:val="18"/>
          <w:szCs w:val="18"/>
          <w:vertAlign w:val="superscript"/>
          <w:lang w:val="pt-BR"/>
        </w:rPr>
        <w:t>º</w:t>
      </w:r>
      <w:r w:rsidRPr="00CE7565">
        <w:rPr>
          <w:rFonts w:ascii="Tahoma" w:eastAsia="Calibri" w:hAnsi="Tahoma" w:cs="Tahoma"/>
          <w:sz w:val="18"/>
          <w:szCs w:val="18"/>
          <w:lang w:val="pt-BR"/>
        </w:rPr>
        <w:t xml:space="preserve"> de agosto de 2012 ou</w:t>
      </w:r>
    </w:p>
    <w:p w:rsidR="00836655" w:rsidRPr="00CE7565" w:rsidRDefault="00836655" w:rsidP="00910113">
      <w:pPr>
        <w:pStyle w:val="ListParagraph"/>
        <w:numPr>
          <w:ilvl w:val="1"/>
          <w:numId w:val="123"/>
        </w:numPr>
        <w:tabs>
          <w:tab w:val="clear" w:pos="1440"/>
        </w:tabs>
        <w:spacing w:after="60"/>
        <w:ind w:hanging="274"/>
        <w:contextualSpacing w:val="0"/>
        <w:rPr>
          <w:lang w:val="pt-BR"/>
        </w:rPr>
      </w:pPr>
      <w:r w:rsidRPr="00CE7565">
        <w:rPr>
          <w:rFonts w:ascii="Tahoma" w:eastAsia="Calibri" w:hAnsi="Tahoma" w:cs="Tahoma"/>
          <w:sz w:val="18"/>
          <w:szCs w:val="18"/>
          <w:lang w:val="pt-BR"/>
        </w:rPr>
        <w:t>Uma CAL para cada Windows Server 2008 e SQL Server 2012 para contratos que expiram em julho</w:t>
      </w:r>
      <w:r w:rsidR="0095103B" w:rsidRPr="00CE7565">
        <w:rPr>
          <w:rFonts w:ascii="Tahoma" w:eastAsia="Calibri" w:hAnsi="Tahoma" w:cs="Tahoma"/>
          <w:sz w:val="18"/>
          <w:szCs w:val="18"/>
          <w:lang w:val="pt-BR"/>
        </w:rPr>
        <w:t> </w:t>
      </w:r>
      <w:r w:rsidRPr="00CE7565">
        <w:rPr>
          <w:rFonts w:ascii="Tahoma" w:eastAsia="Calibri" w:hAnsi="Tahoma" w:cs="Tahoma"/>
          <w:sz w:val="18"/>
          <w:szCs w:val="18"/>
          <w:lang w:val="pt-BR"/>
        </w:rPr>
        <w:t>de 2012.</w:t>
      </w:r>
    </w:p>
    <w:p w:rsidR="00910113" w:rsidRPr="00CE7565" w:rsidRDefault="00910113" w:rsidP="00492DA1">
      <w:pPr>
        <w:pStyle w:val="ListParagraph"/>
        <w:spacing w:line="180" w:lineRule="exact"/>
        <w:ind w:left="0"/>
        <w:contextualSpacing w:val="0"/>
        <w:rPr>
          <w:rFonts w:ascii="Tahoma" w:hAnsi="Tahoma" w:cs="Tahoma"/>
          <w:sz w:val="18"/>
          <w:szCs w:val="18"/>
          <w:lang w:val="pt-BR"/>
        </w:rPr>
      </w:pPr>
    </w:p>
    <w:p w:rsidR="00836655" w:rsidRPr="00CE7565" w:rsidRDefault="00836655" w:rsidP="00910113">
      <w:pPr>
        <w:ind w:left="720"/>
        <w:rPr>
          <w:lang w:val="pt-BR"/>
        </w:rPr>
      </w:pPr>
      <w:r w:rsidRPr="00CE7565">
        <w:rPr>
          <w:rFonts w:eastAsia="Calibri" w:cs="Tahoma"/>
          <w:szCs w:val="18"/>
          <w:lang w:val="pt-BR"/>
        </w:rPr>
        <w:t>No uso das CALs do Windows Server 2012 e CALs do SQL Server 2012 sob essa concessão, os Pacotes de</w:t>
      </w:r>
      <w:r w:rsidR="0095103B" w:rsidRPr="00CE7565">
        <w:rPr>
          <w:rFonts w:eastAsia="Calibri" w:cs="Tahoma"/>
          <w:szCs w:val="18"/>
          <w:lang w:val="pt-BR"/>
        </w:rPr>
        <w:t> </w:t>
      </w:r>
      <w:r w:rsidRPr="00CE7565">
        <w:rPr>
          <w:rFonts w:eastAsia="Calibri" w:cs="Tahoma"/>
          <w:szCs w:val="18"/>
          <w:lang w:val="pt-BR"/>
        </w:rPr>
        <w:t>CALs Qualificadas do Complemento do SBS Premium existentes do cliente não serão mais válidas.</w:t>
      </w:r>
    </w:p>
    <w:p w:rsidR="00910113" w:rsidRPr="00CE7565" w:rsidRDefault="00910113" w:rsidP="00492DA1">
      <w:pPr>
        <w:spacing w:line="180" w:lineRule="exact"/>
        <w:rPr>
          <w:lang w:val="pt-BR"/>
        </w:rPr>
      </w:pPr>
    </w:p>
    <w:p w:rsidR="00836655" w:rsidRPr="00CE7565" w:rsidRDefault="00836655" w:rsidP="00910113">
      <w:pPr>
        <w:ind w:left="720"/>
        <w:rPr>
          <w:lang w:val="pt-BR"/>
        </w:rPr>
      </w:pPr>
      <w:r w:rsidRPr="00CE7565">
        <w:rPr>
          <w:color w:val="000000"/>
          <w:lang w:val="pt-BR"/>
        </w:rPr>
        <w:t>Os Pacotes de CALs do Complemento do SBS 2011 Premium</w:t>
      </w:r>
      <w:r w:rsidRPr="00CE7565">
        <w:rPr>
          <w:rFonts w:cs="Tahoma"/>
          <w:bCs/>
          <w:color w:val="000000"/>
          <w:szCs w:val="18"/>
          <w:lang w:val="pt-BR"/>
        </w:rPr>
        <w:t xml:space="preserve"> adquiridas posteriormente no mesmo prazo de</w:t>
      </w:r>
      <w:r w:rsidR="0095103B" w:rsidRPr="00CE7565">
        <w:rPr>
          <w:rFonts w:cs="Tahoma"/>
          <w:bCs/>
          <w:color w:val="000000"/>
          <w:szCs w:val="18"/>
          <w:lang w:val="pt-BR"/>
        </w:rPr>
        <w:t> </w:t>
      </w:r>
      <w:r w:rsidRPr="00CE7565">
        <w:rPr>
          <w:rFonts w:cs="Tahoma"/>
          <w:bCs/>
          <w:color w:val="000000"/>
          <w:szCs w:val="18"/>
          <w:lang w:val="pt-BR"/>
        </w:rPr>
        <w:t>registro, como parte de um processo de adequação (“true-up”) programado do cliente Open Value Subscription ou EES também são CALs Qualificadas para os propósitos da concessão supracitada.</w:t>
      </w:r>
      <w:r w:rsidRPr="00CE7565">
        <w:rPr>
          <w:rFonts w:eastAsia="Calibri" w:cs="Tahoma"/>
          <w:szCs w:val="18"/>
          <w:lang w:val="pt-BR"/>
        </w:rPr>
        <w:t xml:space="preserve"> </w:t>
      </w:r>
    </w:p>
    <w:p w:rsidR="00836655" w:rsidRPr="00CE7565" w:rsidRDefault="00836655" w:rsidP="00492DA1">
      <w:pPr>
        <w:spacing w:line="180" w:lineRule="exact"/>
        <w:rPr>
          <w:lang w:val="pt-BR"/>
        </w:rPr>
      </w:pPr>
    </w:p>
    <w:p w:rsidR="00836655" w:rsidRPr="00CE7565" w:rsidRDefault="00836655" w:rsidP="00492DA1">
      <w:pPr>
        <w:spacing w:line="180" w:lineRule="exact"/>
        <w:rPr>
          <w:lang w:val="pt-BR"/>
        </w:rPr>
      </w:pPr>
      <w:bookmarkStart w:id="1659" w:name="_123_Windows_Azure"/>
      <w:bookmarkEnd w:id="1659"/>
    </w:p>
    <w:p w:rsidR="00836655" w:rsidRPr="00653421" w:rsidRDefault="00F66FB0" w:rsidP="00836655">
      <w:pPr>
        <w:pStyle w:val="Heading2"/>
        <w:ind w:left="0"/>
      </w:pPr>
      <w:bookmarkStart w:id="1660" w:name="_124_Windows_Small_1"/>
      <w:bookmarkStart w:id="1661" w:name="_114_Windows_Small"/>
      <w:bookmarkStart w:id="1662" w:name="_115_Windows_Small"/>
      <w:bookmarkStart w:id="1663" w:name="_Toc336338381"/>
      <w:bookmarkStart w:id="1664" w:name="_Toc353471021"/>
      <w:bookmarkEnd w:id="1660"/>
      <w:bookmarkEnd w:id="1661"/>
      <w:bookmarkEnd w:id="1662"/>
      <w:r w:rsidRPr="00653421">
        <w:rPr>
          <w:rFonts w:ascii="Tahoma" w:hAnsi="Tahoma" w:cs="Tahoma"/>
          <w:color w:val="F8701C"/>
          <w:sz w:val="22"/>
          <w:szCs w:val="22"/>
          <w:vertAlign w:val="superscript"/>
        </w:rPr>
        <w:t>115</w:t>
      </w:r>
      <w:r w:rsidRPr="00653421">
        <w:rPr>
          <w:rFonts w:ascii="Tahoma" w:hAnsi="Tahoma" w:cs="Tahoma"/>
          <w:color w:val="F8701C"/>
          <w:sz w:val="22"/>
          <w:szCs w:val="22"/>
        </w:rPr>
        <w:t xml:space="preserve"> Windows Small Business Server 2011 Essential</w:t>
      </w:r>
      <w:bookmarkEnd w:id="1663"/>
      <w:bookmarkEnd w:id="1664"/>
      <w:r w:rsidR="007347BA">
        <w:rPr>
          <w:rFonts w:ascii="Tahoma" w:hAnsi="Tahoma" w:cs="Tahoma"/>
          <w:color w:val="F8701C"/>
          <w:sz w:val="22"/>
          <w:szCs w:val="22"/>
        </w:rPr>
        <w:t>s</w:t>
      </w:r>
    </w:p>
    <w:p w:rsidR="003C1BA8" w:rsidRPr="00653421" w:rsidRDefault="003C1BA8" w:rsidP="00492DA1">
      <w:pPr>
        <w:spacing w:line="180" w:lineRule="exact"/>
      </w:pPr>
    </w:p>
    <w:p w:rsidR="00910113" w:rsidRPr="00CE7565" w:rsidRDefault="00836655" w:rsidP="00910113">
      <w:pPr>
        <w:spacing w:after="60"/>
        <w:ind w:left="720"/>
        <w:rPr>
          <w:lang w:val="pt-BR"/>
        </w:rPr>
      </w:pPr>
      <w:r w:rsidRPr="00CE7565">
        <w:rPr>
          <w:b/>
          <w:bCs/>
          <w:color w:val="000000"/>
          <w:lang w:val="pt-BR"/>
        </w:rPr>
        <w:t>Outorgas de licença associadas ao término da validade do Windows Small Business Server (SBS) 2011 Essentials</w:t>
      </w:r>
      <w:r w:rsidRPr="00CE7565">
        <w:rPr>
          <w:color w:val="000000"/>
          <w:lang w:val="pt-BR"/>
        </w:rPr>
        <w:t xml:space="preserve"> </w:t>
      </w:r>
    </w:p>
    <w:p w:rsidR="00836655" w:rsidRPr="00CE7565" w:rsidRDefault="00836655" w:rsidP="00910113">
      <w:pPr>
        <w:ind w:left="720"/>
        <w:rPr>
          <w:spacing w:val="-4"/>
          <w:lang w:val="pt-BR"/>
        </w:rPr>
      </w:pPr>
      <w:r w:rsidRPr="00CE7565">
        <w:rPr>
          <w:spacing w:val="-4"/>
          <w:lang w:val="pt-BR"/>
        </w:rPr>
        <w:t>O Windows SBS 2011 Essentials será a última versão do Windows SBS Essentials. Os clientes de licenciamento por volume com Software Assurance ativo para licenças do Windows SBS 2011 Essentials em 1</w:t>
      </w:r>
      <w:r w:rsidRPr="00CE7565">
        <w:rPr>
          <w:spacing w:val="-4"/>
          <w:vertAlign w:val="superscript"/>
          <w:lang w:val="pt-BR"/>
        </w:rPr>
        <w:t>º</w:t>
      </w:r>
      <w:r w:rsidRPr="00CE7565">
        <w:rPr>
          <w:spacing w:val="-4"/>
          <w:lang w:val="pt-BR"/>
        </w:rPr>
        <w:t xml:space="preserve"> de novembro de</w:t>
      </w:r>
      <w:r w:rsidR="00492DA1" w:rsidRPr="00CE7565">
        <w:rPr>
          <w:spacing w:val="-4"/>
          <w:lang w:val="pt-BR"/>
        </w:rPr>
        <w:t> </w:t>
      </w:r>
      <w:r w:rsidRPr="00CE7565">
        <w:rPr>
          <w:spacing w:val="-4"/>
          <w:lang w:val="pt-BR"/>
        </w:rPr>
        <w:t xml:space="preserve">2012 ou a partir da data da primeira disponibilização do Windows Server 2012 Essentials para download no Volume Licensing Service Center (Centro de Atendimento de Licenciamento por Volume), o que ocorrer primeiro, (“Licenças Qualificadas”) poderão </w:t>
      </w:r>
      <w:r w:rsidRPr="00CE7565">
        <w:rPr>
          <w:spacing w:val="-4"/>
          <w:u w:val="single"/>
          <w:lang w:val="pt-BR"/>
        </w:rPr>
        <w:t>atualizar para e</w:t>
      </w:r>
      <w:r w:rsidRPr="00CE7565">
        <w:rPr>
          <w:spacing w:val="-4"/>
          <w:lang w:val="pt-BR"/>
        </w:rPr>
        <w:t xml:space="preserve"> usar o software Windows Server 2012 Essentials </w:t>
      </w:r>
      <w:r w:rsidRPr="00CE7565">
        <w:rPr>
          <w:spacing w:val="-4"/>
          <w:u w:val="single"/>
          <w:lang w:val="pt-BR"/>
        </w:rPr>
        <w:t>em vez do SBS Essentials</w:t>
      </w:r>
      <w:r w:rsidRPr="00CE7565">
        <w:rPr>
          <w:spacing w:val="-4"/>
          <w:lang w:val="pt-BR"/>
        </w:rPr>
        <w:t>. Para facilitar tal uso, para cada Licença Qualificada que o cliente possui, ele terá uma licença do processador Windows Server 2012 Essentials mediante a disponibilização do Windows Server Essentials.</w:t>
      </w:r>
      <w:r w:rsidR="005A52A2" w:rsidRPr="00CE7565">
        <w:rPr>
          <w:spacing w:val="-4"/>
          <w:lang w:val="pt-BR"/>
        </w:rPr>
        <w:t xml:space="preserve"> </w:t>
      </w:r>
      <w:r w:rsidRPr="00CE7565">
        <w:rPr>
          <w:spacing w:val="-4"/>
          <w:lang w:val="pt-BR"/>
        </w:rPr>
        <w:t>O uso do</w:t>
      </w:r>
      <w:r w:rsidR="00492DA1" w:rsidRPr="00CE7565">
        <w:rPr>
          <w:spacing w:val="-4"/>
          <w:lang w:val="pt-BR"/>
        </w:rPr>
        <w:t> </w:t>
      </w:r>
      <w:r w:rsidRPr="00CE7565">
        <w:rPr>
          <w:spacing w:val="-4"/>
          <w:lang w:val="pt-BR"/>
        </w:rPr>
        <w:t>Windows Server 2012 Essentials será regido sob os termos de licença deste produto nos Direitos de uso do Produto e nos termos e nas condições dos contratos de Licenciamento por Volume dos clientes.</w:t>
      </w:r>
    </w:p>
    <w:p w:rsidR="00836655" w:rsidRPr="00CE7565" w:rsidRDefault="00836655" w:rsidP="00492DA1">
      <w:pPr>
        <w:spacing w:line="180" w:lineRule="exact"/>
        <w:rPr>
          <w:lang w:val="pt-BR"/>
        </w:rPr>
      </w:pPr>
    </w:p>
    <w:p w:rsidR="00836655" w:rsidRPr="00CE7565" w:rsidRDefault="00836655" w:rsidP="00910113">
      <w:pPr>
        <w:ind w:left="720"/>
        <w:rPr>
          <w:lang w:val="pt-BR"/>
        </w:rPr>
      </w:pPr>
      <w:r w:rsidRPr="00CE7565">
        <w:rPr>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836655" w:rsidRPr="00CE7565" w:rsidRDefault="00836655" w:rsidP="00492DA1">
      <w:pPr>
        <w:spacing w:line="180" w:lineRule="exact"/>
        <w:rPr>
          <w:lang w:val="pt-BR"/>
        </w:rPr>
      </w:pPr>
    </w:p>
    <w:p w:rsidR="00836655" w:rsidRPr="00CE7565" w:rsidRDefault="00836655" w:rsidP="00910113">
      <w:pPr>
        <w:ind w:left="720"/>
        <w:rPr>
          <w:lang w:val="pt-BR"/>
        </w:rPr>
      </w:pPr>
      <w:r w:rsidRPr="00CE7565">
        <w:rPr>
          <w:lang w:val="pt-BR"/>
        </w:rPr>
        <w:t>Na atualização para o Windows Server 2012 Essentials sob essa concessão, as Licenças Qualificadas do SBS</w:t>
      </w:r>
      <w:r w:rsidR="00071601" w:rsidRPr="00CE7565">
        <w:rPr>
          <w:lang w:val="pt-BR"/>
        </w:rPr>
        <w:t> </w:t>
      </w:r>
      <w:r w:rsidRPr="00CE7565">
        <w:rPr>
          <w:lang w:val="pt-BR"/>
        </w:rPr>
        <w:t>Essentials existentes do cliente não serão mais válidas.</w:t>
      </w:r>
    </w:p>
    <w:p w:rsidR="00836655" w:rsidRPr="00CE7565" w:rsidRDefault="00836655" w:rsidP="00492DA1">
      <w:pPr>
        <w:spacing w:line="180" w:lineRule="exact"/>
        <w:rPr>
          <w:lang w:val="pt-BR"/>
        </w:rPr>
      </w:pPr>
    </w:p>
    <w:p w:rsidR="005B6712" w:rsidRPr="00CE7565" w:rsidRDefault="00836655" w:rsidP="00D16723">
      <w:pPr>
        <w:ind w:left="720"/>
        <w:rPr>
          <w:lang w:val="pt-BR"/>
        </w:rPr>
      </w:pPr>
      <w:r w:rsidRPr="00CE7565">
        <w:rPr>
          <w:lang w:val="pt-BR"/>
        </w:rPr>
        <w:t>As licenças do SBS Essentials adquiridas posteriormente no mesmo prazo de registro, como parte de um processo de adequação (“true-up”) programado do cliente Open Value Subscription ou EES também são Licenças Qualificadas para os propósitos da concessão supracitada.</w:t>
      </w:r>
    </w:p>
    <w:sectPr w:rsidR="005B6712" w:rsidRPr="00CE7565"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195D" w:rsidRDefault="0033195D">
      <w:r>
        <w:separator/>
      </w:r>
    </w:p>
  </w:endnote>
  <w:endnote w:type="continuationSeparator" w:id="0">
    <w:p w:rsidR="0033195D" w:rsidRDefault="0033195D">
      <w:r>
        <w:continuationSeparator/>
      </w:r>
    </w:p>
  </w:endnote>
  <w:endnote w:type="continuationNotice" w:id="1">
    <w:p w:rsidR="0033195D" w:rsidRDefault="003319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678" w:rsidRDefault="006E0678">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 Todos os direitos reservados.</w:t>
    </w:r>
    <w:r>
      <w:rPr>
        <w:rFonts w:ascii="Trebuchet MS" w:hAnsi="Trebuchet MS"/>
        <w:color w:val="808080"/>
        <w:sz w:val="14"/>
      </w:rPr>
      <w:tab/>
      <w:t xml:space="preserve">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r w:rsidR="0033195D">
      <w:fldChar w:fldCharType="begin"/>
    </w:r>
    <w:r w:rsidR="0033195D">
      <w:instrText xml:space="preserve"> NUMPAGES </w:instrText>
    </w:r>
    <w:r w:rsidR="0033195D">
      <w:fldChar w:fldCharType="separate"/>
    </w:r>
    <w:r>
      <w:rPr>
        <w:noProof/>
      </w:rPr>
      <w:t>203</w:t>
    </w:r>
    <w:r w:rsidR="0033195D">
      <w:rPr>
        <w:noProof/>
      </w:rPr>
      <w:fldChar w:fldCharType="end"/>
    </w:r>
    <w:r>
      <w:t xml:space="preserve"> Publicado em abril de 2009</w:t>
    </w:r>
  </w:p>
  <w:p w:rsidR="006E0678" w:rsidRDefault="006E0678">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678" w:rsidRDefault="006E0678" w:rsidP="000670E6"/>
  <w:p w:rsidR="006E0678" w:rsidRPr="008753E9" w:rsidRDefault="006E0678" w:rsidP="000670E6">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8753E9">
      <w:rPr>
        <w:rFonts w:ascii="Trebuchet MS" w:hAnsi="Trebuchet MS"/>
        <w:color w:val="808080"/>
        <w:sz w:val="14"/>
        <w:lang w:val="pt-BR"/>
      </w:rPr>
      <w:t>© 2013 Microsoft Corporation</w:t>
    </w:r>
    <w:r>
      <w:rPr>
        <w:rFonts w:ascii="Trebuchet MS" w:hAnsi="Trebuchet MS"/>
        <w:color w:val="808080"/>
        <w:sz w:val="14"/>
        <w:lang w:val="pt-BR"/>
      </w:rPr>
      <w:t>. Todos os direitos reservados.</w:t>
    </w:r>
    <w:r>
      <w:rPr>
        <w:rFonts w:ascii="Trebuchet MS" w:hAnsi="Trebuchet MS"/>
        <w:color w:val="808080"/>
        <w:sz w:val="14"/>
        <w:lang w:val="pt-BR"/>
      </w:rPr>
      <w:tab/>
    </w:r>
    <w:r w:rsidRPr="008753E9">
      <w:rPr>
        <w:rFonts w:ascii="Trebuchet MS" w:hAnsi="Trebuchet MS"/>
        <w:color w:val="808080"/>
        <w:sz w:val="14"/>
        <w:lang w:val="pt-BR"/>
      </w:rPr>
      <w:t xml:space="preserve">Página </w:t>
    </w:r>
    <w:r w:rsidRPr="000670E6">
      <w:rPr>
        <w:rFonts w:cs="Arial Narrow"/>
        <w:noProof/>
        <w:szCs w:val="18"/>
        <w:lang w:val="pt-BR"/>
      </w:rPr>
      <w:fldChar w:fldCharType="begin"/>
    </w:r>
    <w:r w:rsidRPr="000670E6">
      <w:rPr>
        <w:rFonts w:cs="Arial Narrow"/>
        <w:noProof/>
        <w:szCs w:val="18"/>
        <w:lang w:val="pt-BR"/>
      </w:rPr>
      <w:instrText xml:space="preserve"> PAGE </w:instrText>
    </w:r>
    <w:r w:rsidRPr="000670E6">
      <w:rPr>
        <w:rFonts w:cs="Arial Narrow"/>
        <w:noProof/>
        <w:szCs w:val="18"/>
        <w:lang w:val="pt-BR"/>
      </w:rPr>
      <w:fldChar w:fldCharType="separate"/>
    </w:r>
    <w:r w:rsidR="00F61359">
      <w:rPr>
        <w:rFonts w:cs="Arial Narrow"/>
        <w:noProof/>
        <w:szCs w:val="18"/>
        <w:lang w:val="pt-BR"/>
      </w:rPr>
      <w:t>1</w:t>
    </w:r>
    <w:r w:rsidRPr="000670E6">
      <w:rPr>
        <w:rFonts w:cs="Arial Narrow"/>
        <w:noProof/>
        <w:szCs w:val="18"/>
        <w:lang w:val="pt-BR"/>
      </w:rPr>
      <w:fldChar w:fldCharType="end"/>
    </w:r>
    <w:r w:rsidRPr="008753E9">
      <w:rPr>
        <w:rFonts w:ascii="Trebuchet MS" w:hAnsi="Trebuchet MS"/>
        <w:color w:val="808080"/>
        <w:sz w:val="14"/>
        <w:lang w:val="pt-BR"/>
      </w:rPr>
      <w:t xml:space="preserve"> de </w:t>
    </w:r>
    <w:r w:rsidRPr="000670E6">
      <w:rPr>
        <w:rFonts w:cs="Arial Narrow"/>
        <w:noProof/>
        <w:szCs w:val="18"/>
        <w:lang w:val="pt-BR"/>
      </w:rPr>
      <w:fldChar w:fldCharType="begin"/>
    </w:r>
    <w:r w:rsidRPr="000670E6">
      <w:rPr>
        <w:rFonts w:cs="Arial Narrow"/>
        <w:noProof/>
        <w:szCs w:val="18"/>
        <w:lang w:val="pt-BR"/>
      </w:rPr>
      <w:instrText xml:space="preserve"> NUMPAGES </w:instrText>
    </w:r>
    <w:r w:rsidRPr="000670E6">
      <w:rPr>
        <w:rFonts w:cs="Arial Narrow"/>
        <w:noProof/>
        <w:szCs w:val="18"/>
        <w:lang w:val="pt-BR"/>
      </w:rPr>
      <w:fldChar w:fldCharType="separate"/>
    </w:r>
    <w:r w:rsidR="00F61359">
      <w:rPr>
        <w:rFonts w:cs="Arial Narrow"/>
        <w:noProof/>
        <w:szCs w:val="18"/>
        <w:lang w:val="pt-BR"/>
      </w:rPr>
      <w:t>203</w:t>
    </w:r>
    <w:r w:rsidRPr="000670E6">
      <w:rPr>
        <w:rFonts w:cs="Arial Narrow"/>
        <w:noProof/>
        <w:szCs w:val="18"/>
        <w:lang w:val="pt-BR"/>
      </w:rPr>
      <w:fldChar w:fldCharType="end"/>
    </w:r>
    <w:r w:rsidRPr="008753E9">
      <w:rPr>
        <w:rFonts w:ascii="Trebuchet MS" w:hAnsi="Trebuchet MS"/>
        <w:color w:val="808080"/>
        <w:sz w:val="14"/>
        <w:lang w:val="pt-BR"/>
      </w:rPr>
      <w:t xml:space="preserve"> Publicado em </w:t>
    </w:r>
    <w:r w:rsidRPr="000670E6">
      <w:rPr>
        <w:rFonts w:ascii="Trebuchet MS" w:hAnsi="Trebuchet MS"/>
        <w:color w:val="808080"/>
        <w:sz w:val="14"/>
        <w:lang w:val="pt-BR"/>
      </w:rPr>
      <w:t>Maio</w:t>
    </w:r>
    <w:r w:rsidRPr="008753E9">
      <w:rPr>
        <w:rFonts w:ascii="Trebuchet MS" w:hAnsi="Trebuchet MS"/>
        <w:color w:val="808080"/>
        <w:sz w:val="14"/>
        <w:lang w:val="pt-BR"/>
      </w:rPr>
      <w:t xml:space="preserve"> de 2013</w:t>
    </w:r>
  </w:p>
  <w:p w:rsidR="006E0678" w:rsidRDefault="006E0678" w:rsidP="000670E6">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8753E9">
      <w:rPr>
        <w:rFonts w:ascii="Trebuchet MS" w:hAnsi="Trebuchet MS"/>
        <w:color w:val="808080"/>
        <w:sz w:val="14"/>
        <w:lang w:val="pt-BR"/>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678" w:rsidRDefault="006E0678" w:rsidP="00180528"/>
  <w:p w:rsidR="006E0678" w:rsidRPr="008753E9" w:rsidRDefault="006E0678" w:rsidP="00180528">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8753E9">
      <w:rPr>
        <w:rFonts w:ascii="Trebuchet MS" w:hAnsi="Trebuchet MS"/>
        <w:color w:val="808080"/>
        <w:sz w:val="14"/>
        <w:lang w:val="pt-BR"/>
      </w:rPr>
      <w:t>© 2013 Microsoft Corporation</w:t>
    </w:r>
    <w:r>
      <w:rPr>
        <w:rFonts w:ascii="Trebuchet MS" w:hAnsi="Trebuchet MS"/>
        <w:color w:val="808080"/>
        <w:sz w:val="14"/>
        <w:lang w:val="pt-BR"/>
      </w:rPr>
      <w:t>. Todos os direitos reservados.</w:t>
    </w:r>
    <w:r>
      <w:rPr>
        <w:rFonts w:ascii="Trebuchet MS" w:hAnsi="Trebuchet MS"/>
        <w:color w:val="808080"/>
        <w:sz w:val="14"/>
        <w:lang w:val="pt-BR"/>
      </w:rPr>
      <w:tab/>
    </w:r>
    <w:r w:rsidRPr="008753E9">
      <w:rPr>
        <w:rFonts w:ascii="Trebuchet MS" w:hAnsi="Trebuchet MS"/>
        <w:color w:val="808080"/>
        <w:sz w:val="14"/>
        <w:lang w:val="pt-BR"/>
      </w:rPr>
      <w:t xml:space="preserve">Página </w:t>
    </w:r>
    <w:r w:rsidRPr="000670E6">
      <w:rPr>
        <w:rFonts w:cs="Arial Narrow"/>
        <w:noProof/>
        <w:szCs w:val="18"/>
        <w:lang w:val="pt-BR"/>
      </w:rPr>
      <w:fldChar w:fldCharType="begin"/>
    </w:r>
    <w:r w:rsidRPr="000670E6">
      <w:rPr>
        <w:rFonts w:cs="Arial Narrow"/>
        <w:noProof/>
        <w:szCs w:val="18"/>
        <w:lang w:val="pt-BR"/>
      </w:rPr>
      <w:instrText xml:space="preserve"> PAGE </w:instrText>
    </w:r>
    <w:r w:rsidRPr="000670E6">
      <w:rPr>
        <w:rFonts w:cs="Arial Narrow"/>
        <w:noProof/>
        <w:szCs w:val="18"/>
        <w:lang w:val="pt-BR"/>
      </w:rPr>
      <w:fldChar w:fldCharType="separate"/>
    </w:r>
    <w:r w:rsidR="00F61359">
      <w:rPr>
        <w:rFonts w:cs="Arial Narrow"/>
        <w:noProof/>
        <w:szCs w:val="18"/>
        <w:lang w:val="pt-BR"/>
      </w:rPr>
      <w:t>21</w:t>
    </w:r>
    <w:r w:rsidRPr="000670E6">
      <w:rPr>
        <w:rFonts w:cs="Arial Narrow"/>
        <w:noProof/>
        <w:szCs w:val="18"/>
        <w:lang w:val="pt-BR"/>
      </w:rPr>
      <w:fldChar w:fldCharType="end"/>
    </w:r>
    <w:r w:rsidRPr="008753E9">
      <w:rPr>
        <w:rFonts w:ascii="Trebuchet MS" w:hAnsi="Trebuchet MS"/>
        <w:color w:val="808080"/>
        <w:sz w:val="14"/>
        <w:lang w:val="pt-BR"/>
      </w:rPr>
      <w:t xml:space="preserve"> de </w:t>
    </w:r>
    <w:r w:rsidRPr="000670E6">
      <w:rPr>
        <w:rFonts w:cs="Arial Narrow"/>
        <w:noProof/>
        <w:szCs w:val="18"/>
        <w:lang w:val="pt-BR"/>
      </w:rPr>
      <w:fldChar w:fldCharType="begin"/>
    </w:r>
    <w:r w:rsidRPr="000670E6">
      <w:rPr>
        <w:rFonts w:cs="Arial Narrow"/>
        <w:noProof/>
        <w:szCs w:val="18"/>
        <w:lang w:val="pt-BR"/>
      </w:rPr>
      <w:instrText xml:space="preserve"> NUMPAGES </w:instrText>
    </w:r>
    <w:r w:rsidRPr="000670E6">
      <w:rPr>
        <w:rFonts w:cs="Arial Narrow"/>
        <w:noProof/>
        <w:szCs w:val="18"/>
        <w:lang w:val="pt-BR"/>
      </w:rPr>
      <w:fldChar w:fldCharType="separate"/>
    </w:r>
    <w:r w:rsidR="00F61359">
      <w:rPr>
        <w:rFonts w:cs="Arial Narrow"/>
        <w:noProof/>
        <w:szCs w:val="18"/>
        <w:lang w:val="pt-BR"/>
      </w:rPr>
      <w:t>203</w:t>
    </w:r>
    <w:r w:rsidRPr="000670E6">
      <w:rPr>
        <w:rFonts w:cs="Arial Narrow"/>
        <w:noProof/>
        <w:szCs w:val="18"/>
        <w:lang w:val="pt-BR"/>
      </w:rPr>
      <w:fldChar w:fldCharType="end"/>
    </w:r>
    <w:r w:rsidRPr="008753E9">
      <w:rPr>
        <w:rFonts w:ascii="Trebuchet MS" w:hAnsi="Trebuchet MS"/>
        <w:color w:val="808080"/>
        <w:sz w:val="14"/>
        <w:lang w:val="pt-BR"/>
      </w:rPr>
      <w:t xml:space="preserve"> Publicado em </w:t>
    </w:r>
    <w:r w:rsidRPr="000670E6">
      <w:rPr>
        <w:rFonts w:ascii="Trebuchet MS" w:hAnsi="Trebuchet MS"/>
        <w:color w:val="808080"/>
        <w:sz w:val="14"/>
        <w:lang w:val="pt-BR"/>
      </w:rPr>
      <w:t>Maio</w:t>
    </w:r>
    <w:r w:rsidRPr="008753E9">
      <w:rPr>
        <w:rFonts w:ascii="Trebuchet MS" w:hAnsi="Trebuchet MS"/>
        <w:color w:val="808080"/>
        <w:sz w:val="14"/>
        <w:lang w:val="pt-BR"/>
      </w:rPr>
      <w:t xml:space="preserve"> de 2013</w:t>
    </w:r>
  </w:p>
  <w:p w:rsidR="006E0678" w:rsidRDefault="006E0678" w:rsidP="00180528">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8753E9">
      <w:rPr>
        <w:rFonts w:ascii="Trebuchet MS" w:hAnsi="Trebuchet MS"/>
        <w:color w:val="808080"/>
        <w:sz w:val="14"/>
        <w:lang w:val="pt-BR"/>
      </w:rPr>
      <w:t>Microsoft é marca comercial registrada da Microsoft Corporation nos Estados Unidos e/ou em outros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678" w:rsidRDefault="006E0678"/>
  <w:p w:rsidR="006E0678" w:rsidRDefault="006E067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Todos os direitos reservados.                                          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r w:rsidR="0033195D">
      <w:fldChar w:fldCharType="begin"/>
    </w:r>
    <w:r w:rsidR="0033195D">
      <w:instrText xml:space="preserve"> NUMPAGES </w:instrText>
    </w:r>
    <w:r w:rsidR="0033195D">
      <w:fldChar w:fldCharType="separate"/>
    </w:r>
    <w:r>
      <w:rPr>
        <w:noProof/>
      </w:rPr>
      <w:t>203</w:t>
    </w:r>
    <w:r w:rsidR="0033195D">
      <w:rPr>
        <w:noProof/>
      </w:rPr>
      <w:fldChar w:fldCharType="end"/>
    </w:r>
    <w:r>
      <w:t xml:space="preserve"> Publicado em maio de 2009</w:t>
    </w:r>
  </w:p>
  <w:p w:rsidR="006E0678" w:rsidRDefault="006E0678">
    <w:pPr>
      <w:pStyle w:val="Footer"/>
      <w:rPr>
        <w:rFonts w:ascii="Verdana" w:hAnsi="Verdana"/>
        <w:color w:val="808080"/>
        <w:sz w:val="16"/>
      </w:rPr>
    </w:pPr>
    <w:r>
      <w:rPr>
        <w:rFonts w:ascii="Trebuchet MS" w:hAnsi="Trebuchet MS"/>
        <w:color w:val="808080"/>
        <w:sz w:val="14"/>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195D" w:rsidRDefault="0033195D">
      <w:r>
        <w:separator/>
      </w:r>
    </w:p>
  </w:footnote>
  <w:footnote w:type="continuationSeparator" w:id="0">
    <w:p w:rsidR="0033195D" w:rsidRDefault="0033195D">
      <w:r>
        <w:continuationSeparator/>
      </w:r>
    </w:p>
  </w:footnote>
  <w:footnote w:type="continuationNotice" w:id="1">
    <w:p w:rsidR="0033195D" w:rsidRDefault="0033195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678" w:rsidRDefault="006E0678">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4FC05514" wp14:editId="208CCE6A">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0678" w:rsidRDefault="006E0678">
                          <w:r>
                            <w:rPr>
                              <w:rFonts w:cs="Tahoma"/>
                              <w:noProof/>
                              <w:szCs w:val="18"/>
                            </w:rPr>
                            <w:drawing>
                              <wp:inline distT="0" distB="0" distL="0" distR="0" wp14:anchorId="2AD8CD3A" wp14:editId="5A45E5B6">
                                <wp:extent cx="1898015" cy="509270"/>
                                <wp:effectExtent l="0" t="0" r="6985" b="5080"/>
                                <wp:docPr id="16"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r>
                            <w:rPr>
                              <w:noProof/>
                            </w:rPr>
                            <w:drawing>
                              <wp:inline distT="0" distB="0" distL="0" distR="0" wp14:anchorId="468A676F" wp14:editId="46AEF1E1">
                                <wp:extent cx="1911985" cy="510540"/>
                                <wp:effectExtent l="0" t="0" r="0" b="3810"/>
                                <wp:docPr id="17"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C05514"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rsidR="006E0678" w:rsidRDefault="006E0678">
                    <w:r>
                      <w:rPr>
                        <w:rFonts w:cs="Tahoma"/>
                        <w:noProof/>
                        <w:szCs w:val="18"/>
                      </w:rPr>
                      <w:drawing>
                        <wp:inline distT="0" distB="0" distL="0" distR="0" wp14:anchorId="2AD8CD3A" wp14:editId="5A45E5B6">
                          <wp:extent cx="1898015" cy="509270"/>
                          <wp:effectExtent l="0" t="0" r="6985" b="5080"/>
                          <wp:docPr id="16"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r>
                      <w:rPr>
                        <w:noProof/>
                      </w:rPr>
                      <w:drawing>
                        <wp:inline distT="0" distB="0" distL="0" distR="0" wp14:anchorId="468A676F" wp14:editId="46AEF1E1">
                          <wp:extent cx="1911985" cy="510540"/>
                          <wp:effectExtent l="0" t="0" r="0" b="3810"/>
                          <wp:docPr id="17"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6E0678" w:rsidRDefault="006E0678">
    <w:r>
      <w:rPr>
        <w:noProof/>
      </w:rPr>
      <mc:AlternateContent>
        <mc:Choice Requires="wps">
          <w:drawing>
            <wp:anchor distT="4294967295" distB="4294967295" distL="114300" distR="114300" simplePos="0" relativeHeight="251658752" behindDoc="0" locked="0" layoutInCell="0" allowOverlap="1" wp14:anchorId="54D76C6F" wp14:editId="6767B371">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168576"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678" w:rsidRDefault="006E0678" w:rsidP="00290FC1">
    <w:pPr>
      <w:ind w:rightChars="185" w:right="333"/>
    </w:pPr>
  </w:p>
  <w:p w:rsidR="006E0678" w:rsidRDefault="006E0678" w:rsidP="00290FC1">
    <w:pPr>
      <w:ind w:rightChars="185" w:right="333"/>
    </w:pPr>
  </w:p>
  <w:p w:rsidR="006E0678" w:rsidRDefault="006E0678" w:rsidP="00290FC1">
    <w:pPr>
      <w:ind w:rightChars="185" w:right="333"/>
    </w:pPr>
    <w:r>
      <w:rPr>
        <w:noProof/>
      </w:rPr>
      <w:drawing>
        <wp:anchor distT="0" distB="0" distL="114300" distR="114300" simplePos="0" relativeHeight="251661824" behindDoc="0" locked="0" layoutInCell="1" allowOverlap="1" wp14:anchorId="105BDD15" wp14:editId="2F3D18BD">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6E0678" w:rsidRDefault="006E0678">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678" w:rsidRDefault="006E0678" w:rsidP="00F8080D">
    <w:pPr>
      <w:ind w:rightChars="185" w:right="333"/>
    </w:pPr>
  </w:p>
  <w:p w:rsidR="006E0678" w:rsidRDefault="006E067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7214E898"/>
    <w:lvl w:ilvl="0" w:tplc="D00AB7E4">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2">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5">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9">
    <w:nsid w:val="46EF72CA"/>
    <w:multiLevelType w:val="hybridMultilevel"/>
    <w:tmpl w:val="353E1AA8"/>
    <w:lvl w:ilvl="0" w:tplc="10888120">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BB27E92"/>
    <w:multiLevelType w:val="hybridMultilevel"/>
    <w:tmpl w:val="FA145814"/>
    <w:lvl w:ilvl="0" w:tplc="7FA0983E">
      <w:start w:val="1"/>
      <w:numFmt w:val="lowerLetter"/>
      <w:lvlText w:val="%1)"/>
      <w:lvlJc w:val="left"/>
      <w:pPr>
        <w:ind w:left="1440" w:hanging="360"/>
      </w:pPr>
      <w:rPr>
        <w:rFonts w:ascii="Tahoma" w:hAnsi="Tahoma" w:cs="Tahoma" w:hint="default"/>
        <w:sz w:val="18"/>
        <w:szCs w:val="18"/>
      </w:rPr>
    </w:lvl>
    <w:lvl w:ilvl="1" w:tplc="04090011">
      <w:start w:val="1"/>
      <w:numFmt w:val="decimal"/>
      <w:lvlText w:val="%2)"/>
      <w:lvlJc w:val="left"/>
      <w:pPr>
        <w:ind w:left="2160" w:hanging="360"/>
      </w:pPr>
      <w:rPr>
        <w:rFonts w:hint="default"/>
      </w:rPr>
    </w:lvl>
    <w:lvl w:ilvl="2" w:tplc="DD768AF2">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8">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B2C4D22"/>
    <w:multiLevelType w:val="hybridMultilevel"/>
    <w:tmpl w:val="6EBE0EC8"/>
    <w:lvl w:ilvl="0" w:tplc="D902DDBC">
      <w:start w:val="1"/>
      <w:numFmt w:val="bullet"/>
      <w:lvlText w:val=""/>
      <w:lvlJc w:val="left"/>
      <w:pPr>
        <w:ind w:left="720" w:hanging="360"/>
      </w:pPr>
      <w:rPr>
        <w:rFonts w:ascii="Webdings" w:hAnsi="Webdings" w:hint="default"/>
        <w:b w:val="0"/>
        <w:i w:val="0"/>
        <w:color w:val="FF6600"/>
        <w:sz w:val="24"/>
      </w:rPr>
    </w:lvl>
    <w:lvl w:ilvl="1" w:tplc="79E6D6F4">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8">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3">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4">
    <w:nsid w:val="76155754"/>
    <w:multiLevelType w:val="hybridMultilevel"/>
    <w:tmpl w:val="DC427820"/>
    <w:lvl w:ilvl="0" w:tplc="B99AE6E2">
      <w:start w:val="1"/>
      <w:numFmt w:val="lowerLetter"/>
      <w:lvlText w:val="%1."/>
      <w:lvlJc w:val="left"/>
      <w:pPr>
        <w:ind w:left="720" w:hanging="360"/>
      </w:pPr>
      <w:rPr>
        <w:rFonts w:hint="default"/>
        <w:b w:val="0"/>
      </w:rPr>
    </w:lvl>
    <w:lvl w:ilvl="1" w:tplc="CE82EE98">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0"/>
  </w:num>
  <w:num w:numId="2">
    <w:abstractNumId w:val="37"/>
  </w:num>
  <w:num w:numId="3">
    <w:abstractNumId w:val="130"/>
  </w:num>
  <w:num w:numId="4">
    <w:abstractNumId w:val="1"/>
  </w:num>
  <w:num w:numId="5">
    <w:abstractNumId w:val="14"/>
  </w:num>
  <w:num w:numId="6">
    <w:abstractNumId w:val="140"/>
  </w:num>
  <w:num w:numId="7">
    <w:abstractNumId w:val="0"/>
  </w:num>
  <w:num w:numId="8">
    <w:abstractNumId w:val="133"/>
  </w:num>
  <w:num w:numId="9">
    <w:abstractNumId w:val="71"/>
  </w:num>
  <w:num w:numId="10">
    <w:abstractNumId w:val="148"/>
  </w:num>
  <w:num w:numId="11">
    <w:abstractNumId w:val="138"/>
  </w:num>
  <w:num w:numId="12">
    <w:abstractNumId w:val="11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1"/>
  </w:num>
  <w:num w:numId="14">
    <w:abstractNumId w:val="80"/>
  </w:num>
  <w:num w:numId="15">
    <w:abstractNumId w:val="24"/>
  </w:num>
  <w:num w:numId="16">
    <w:abstractNumId w:val="29"/>
  </w:num>
  <w:num w:numId="17">
    <w:abstractNumId w:val="131"/>
  </w:num>
  <w:num w:numId="18">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9"/>
  </w:num>
  <w:num w:numId="20">
    <w:abstractNumId w:val="51"/>
  </w:num>
  <w:num w:numId="21">
    <w:abstractNumId w:val="81"/>
  </w:num>
  <w:num w:numId="22">
    <w:abstractNumId w:val="86"/>
  </w:num>
  <w:num w:numId="23">
    <w:abstractNumId w:val="48"/>
  </w:num>
  <w:num w:numId="24">
    <w:abstractNumId w:val="112"/>
  </w:num>
  <w:num w:numId="25">
    <w:abstractNumId w:val="45"/>
  </w:num>
  <w:num w:numId="26">
    <w:abstractNumId w:val="54"/>
  </w:num>
  <w:num w:numId="27">
    <w:abstractNumId w:val="63"/>
  </w:num>
  <w:num w:numId="28">
    <w:abstractNumId w:val="61"/>
  </w:num>
  <w:num w:numId="29">
    <w:abstractNumId w:val="41"/>
  </w:num>
  <w:num w:numId="30">
    <w:abstractNumId w:val="8"/>
  </w:num>
  <w:num w:numId="31">
    <w:abstractNumId w:val="117"/>
  </w:num>
  <w:num w:numId="32">
    <w:abstractNumId w:val="88"/>
  </w:num>
  <w:num w:numId="33">
    <w:abstractNumId w:val="115"/>
  </w:num>
  <w:num w:numId="34">
    <w:abstractNumId w:val="93"/>
  </w:num>
  <w:num w:numId="35">
    <w:abstractNumId w:val="83"/>
  </w:num>
  <w:num w:numId="36">
    <w:abstractNumId w:val="46"/>
  </w:num>
  <w:num w:numId="37">
    <w:abstractNumId w:val="5"/>
  </w:num>
  <w:num w:numId="38">
    <w:abstractNumId w:val="144"/>
  </w:num>
  <w:num w:numId="39">
    <w:abstractNumId w:val="84"/>
  </w:num>
  <w:num w:numId="40">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2"/>
  </w:num>
  <w:num w:numId="42">
    <w:abstractNumId w:val="136"/>
  </w:num>
  <w:num w:numId="43">
    <w:abstractNumId w:val="127"/>
  </w:num>
  <w:num w:numId="44">
    <w:abstractNumId w:val="69"/>
  </w:num>
  <w:num w:numId="45">
    <w:abstractNumId w:val="57"/>
  </w:num>
  <w:num w:numId="46">
    <w:abstractNumId w:val="62"/>
  </w:num>
  <w:num w:numId="47">
    <w:abstractNumId w:val="7"/>
  </w:num>
  <w:num w:numId="48">
    <w:abstractNumId w:val="109"/>
  </w:num>
  <w:num w:numId="49">
    <w:abstractNumId w:val="18"/>
  </w:num>
  <w:num w:numId="50">
    <w:abstractNumId w:val="38"/>
  </w:num>
  <w:num w:numId="51">
    <w:abstractNumId w:val="50"/>
  </w:num>
  <w:num w:numId="52">
    <w:abstractNumId w:val="26"/>
  </w:num>
  <w:num w:numId="53">
    <w:abstractNumId w:val="33"/>
  </w:num>
  <w:num w:numId="54">
    <w:abstractNumId w:val="92"/>
  </w:num>
  <w:num w:numId="55">
    <w:abstractNumId w:val="31"/>
  </w:num>
  <w:num w:numId="56">
    <w:abstractNumId w:val="90"/>
  </w:num>
  <w:num w:numId="57">
    <w:abstractNumId w:val="135"/>
  </w:num>
  <w:num w:numId="58">
    <w:abstractNumId w:val="126"/>
  </w:num>
  <w:num w:numId="59">
    <w:abstractNumId w:val="97"/>
  </w:num>
  <w:num w:numId="60">
    <w:abstractNumId w:val="142"/>
  </w:num>
  <w:num w:numId="61">
    <w:abstractNumId w:val="116"/>
  </w:num>
  <w:num w:numId="62">
    <w:abstractNumId w:val="44"/>
  </w:num>
  <w:num w:numId="63">
    <w:abstractNumId w:val="95"/>
  </w:num>
  <w:num w:numId="64">
    <w:abstractNumId w:val="34"/>
  </w:num>
  <w:num w:numId="65">
    <w:abstractNumId w:val="20"/>
  </w:num>
  <w:num w:numId="66">
    <w:abstractNumId w:val="68"/>
  </w:num>
  <w:num w:numId="67">
    <w:abstractNumId w:val="32"/>
  </w:num>
  <w:num w:numId="68">
    <w:abstractNumId w:val="103"/>
  </w:num>
  <w:num w:numId="69">
    <w:abstractNumId w:val="2"/>
  </w:num>
  <w:num w:numId="70">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2"/>
  </w:num>
  <w:num w:numId="72">
    <w:abstractNumId w:val="39"/>
  </w:num>
  <w:num w:numId="73">
    <w:abstractNumId w:val="43"/>
  </w:num>
  <w:num w:numId="74">
    <w:abstractNumId w:val="52"/>
  </w:num>
  <w:num w:numId="75">
    <w:abstractNumId w:val="127"/>
  </w:num>
  <w:num w:numId="76">
    <w:abstractNumId w:val="117"/>
  </w:num>
  <w:num w:numId="77">
    <w:abstractNumId w:val="62"/>
  </w:num>
  <w:num w:numId="78">
    <w:abstractNumId w:val="120"/>
  </w:num>
  <w:num w:numId="79">
    <w:abstractNumId w:val="27"/>
  </w:num>
  <w:num w:numId="80">
    <w:abstractNumId w:val="9"/>
  </w:num>
  <w:num w:numId="81">
    <w:abstractNumId w:val="23"/>
  </w:num>
  <w:num w:numId="82">
    <w:abstractNumId w:val="145"/>
  </w:num>
  <w:num w:numId="83">
    <w:abstractNumId w:val="79"/>
  </w:num>
  <w:num w:numId="84">
    <w:abstractNumId w:val="125"/>
  </w:num>
  <w:num w:numId="85">
    <w:abstractNumId w:val="73"/>
  </w:num>
  <w:num w:numId="86">
    <w:abstractNumId w:val="58"/>
  </w:num>
  <w:num w:numId="87">
    <w:abstractNumId w:val="107"/>
  </w:num>
  <w:num w:numId="88">
    <w:abstractNumId w:val="106"/>
  </w:num>
  <w:num w:numId="89">
    <w:abstractNumId w:val="11"/>
  </w:num>
  <w:num w:numId="90">
    <w:abstractNumId w:val="101"/>
  </w:num>
  <w:num w:numId="91">
    <w:abstractNumId w:val="119"/>
  </w:num>
  <w:num w:numId="92">
    <w:abstractNumId w:val="124"/>
  </w:num>
  <w:num w:numId="93">
    <w:abstractNumId w:val="91"/>
  </w:num>
  <w:num w:numId="94">
    <w:abstractNumId w:val="110"/>
  </w:num>
  <w:num w:numId="95">
    <w:abstractNumId w:val="85"/>
  </w:num>
  <w:num w:numId="96">
    <w:abstractNumId w:val="143"/>
  </w:num>
  <w:num w:numId="97">
    <w:abstractNumId w:val="75"/>
  </w:num>
  <w:num w:numId="98">
    <w:abstractNumId w:val="87"/>
  </w:num>
  <w:num w:numId="99">
    <w:abstractNumId w:val="19"/>
  </w:num>
  <w:num w:numId="100">
    <w:abstractNumId w:val="64"/>
  </w:num>
  <w:num w:numId="101">
    <w:abstractNumId w:val="17"/>
  </w:num>
  <w:num w:numId="102">
    <w:abstractNumId w:val="42"/>
  </w:num>
  <w:num w:numId="103">
    <w:abstractNumId w:val="137"/>
  </w:num>
  <w:num w:numId="104">
    <w:abstractNumId w:val="74"/>
  </w:num>
  <w:num w:numId="105">
    <w:abstractNumId w:val="35"/>
  </w:num>
  <w:num w:numId="106">
    <w:abstractNumId w:val="94"/>
  </w:num>
  <w:num w:numId="107">
    <w:abstractNumId w:val="53"/>
  </w:num>
  <w:num w:numId="108">
    <w:abstractNumId w:val="21"/>
  </w:num>
  <w:num w:numId="109">
    <w:abstractNumId w:val="49"/>
  </w:num>
  <w:num w:numId="110">
    <w:abstractNumId w:val="60"/>
  </w:num>
  <w:num w:numId="111">
    <w:abstractNumId w:val="147"/>
  </w:num>
  <w:num w:numId="112">
    <w:abstractNumId w:val="146"/>
  </w:num>
  <w:num w:numId="113">
    <w:abstractNumId w:val="67"/>
  </w:num>
  <w:num w:numId="114">
    <w:abstractNumId w:val="78"/>
  </w:num>
  <w:num w:numId="115">
    <w:abstractNumId w:val="3"/>
  </w:num>
  <w:num w:numId="116">
    <w:abstractNumId w:val="104"/>
  </w:num>
  <w:num w:numId="117">
    <w:abstractNumId w:val="30"/>
  </w:num>
  <w:num w:numId="118">
    <w:abstractNumId w:val="118"/>
  </w:num>
  <w:num w:numId="119">
    <w:abstractNumId w:val="10"/>
  </w:num>
  <w:num w:numId="120">
    <w:abstractNumId w:val="12"/>
  </w:num>
  <w:num w:numId="121">
    <w:abstractNumId w:val="134"/>
  </w:num>
  <w:num w:numId="122">
    <w:abstractNumId w:val="13"/>
  </w:num>
  <w:num w:numId="123">
    <w:abstractNumId w:val="114"/>
  </w:num>
  <w:num w:numId="124">
    <w:abstractNumId w:val="5"/>
  </w:num>
  <w:num w:numId="125">
    <w:abstractNumId w:val="144"/>
  </w:num>
  <w:num w:numId="126">
    <w:abstractNumId w:val="99"/>
  </w:num>
  <w:num w:numId="127">
    <w:abstractNumId w:val="123"/>
  </w:num>
  <w:num w:numId="128">
    <w:abstractNumId w:val="105"/>
  </w:num>
  <w:num w:numId="129">
    <w:abstractNumId w:val="77"/>
  </w:num>
  <w:num w:numId="130">
    <w:abstractNumId w:val="72"/>
  </w:num>
  <w:num w:numId="131">
    <w:abstractNumId w:val="4"/>
  </w:num>
  <w:num w:numId="132">
    <w:abstractNumId w:val="59"/>
  </w:num>
  <w:num w:numId="133">
    <w:abstractNumId w:val="76"/>
  </w:num>
  <w:num w:numId="134">
    <w:abstractNumId w:val="98"/>
  </w:num>
  <w:num w:numId="135">
    <w:abstractNumId w:val="121"/>
  </w:num>
  <w:num w:numId="136">
    <w:abstractNumId w:val="22"/>
  </w:num>
  <w:num w:numId="137">
    <w:abstractNumId w:val="113"/>
  </w:num>
  <w:num w:numId="138">
    <w:abstractNumId w:val="128"/>
  </w:num>
  <w:num w:numId="139">
    <w:abstractNumId w:val="16"/>
  </w:num>
  <w:num w:numId="140">
    <w:abstractNumId w:val="122"/>
  </w:num>
  <w:num w:numId="141">
    <w:abstractNumId w:val="40"/>
  </w:num>
  <w:num w:numId="142">
    <w:abstractNumId w:val="139"/>
  </w:num>
  <w:num w:numId="143">
    <w:abstractNumId w:val="100"/>
  </w:num>
  <w:num w:numId="144">
    <w:abstractNumId w:val="6"/>
  </w:num>
  <w:num w:numId="145">
    <w:abstractNumId w:val="15"/>
  </w:num>
  <w:num w:numId="146">
    <w:abstractNumId w:val="108"/>
  </w:num>
  <w:num w:numId="147">
    <w:abstractNumId w:val="25"/>
  </w:num>
  <w:num w:numId="148">
    <w:abstractNumId w:val="89"/>
  </w:num>
  <w:num w:numId="149">
    <w:abstractNumId w:val="36"/>
  </w:num>
  <w:num w:numId="150">
    <w:abstractNumId w:val="65"/>
  </w:num>
  <w:num w:numId="1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4"/>
    <w:lvlOverride w:ilvl="0"/>
    <w:lvlOverride w:ilvl="1">
      <w:startOverride w:val="1"/>
    </w:lvlOverride>
    <w:lvlOverride w:ilvl="2"/>
    <w:lvlOverride w:ilvl="3"/>
    <w:lvlOverride w:ilvl="4"/>
    <w:lvlOverride w:ilvl="5"/>
    <w:lvlOverride w:ilvl="6"/>
    <w:lvlOverride w:ilvl="7"/>
    <w:lvlOverride w:ilvl="8"/>
  </w:num>
  <w:num w:numId="156">
    <w:abstractNumId w:val="82"/>
  </w:num>
  <w:num w:numId="157">
    <w:abstractNumId w:val="55"/>
  </w:num>
  <w:num w:numId="158">
    <w:abstractNumId w:val="96"/>
  </w:num>
  <w:num w:numId="159">
    <w:abstractNumId w:val="132"/>
  </w:num>
  <w:num w:numId="160">
    <w:abstractNumId w:val="28"/>
  </w:num>
  <w:num w:numId="161">
    <w:abstractNumId w:val="56"/>
  </w:num>
  <w:num w:numId="162">
    <w:abstractNumId w:val="96"/>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1"/>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e7Kqm0kc+IymG0k2Qyhwn+88SMirm3AHBW6ZH2DeyTnyxtcFy1wHBl0TGTBNJQePnnUek0qJcD326D792UrFhw==" w:salt="AdhXaOPc+2S2d8G4bDk60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1CE"/>
    <w:rsid w:val="00007875"/>
    <w:rsid w:val="00007E63"/>
    <w:rsid w:val="000100BC"/>
    <w:rsid w:val="00010442"/>
    <w:rsid w:val="000114ED"/>
    <w:rsid w:val="00011E31"/>
    <w:rsid w:val="00012D48"/>
    <w:rsid w:val="00013E71"/>
    <w:rsid w:val="00013F1B"/>
    <w:rsid w:val="00014083"/>
    <w:rsid w:val="000148B4"/>
    <w:rsid w:val="00014EAD"/>
    <w:rsid w:val="000158EE"/>
    <w:rsid w:val="0002020C"/>
    <w:rsid w:val="00021544"/>
    <w:rsid w:val="000225E7"/>
    <w:rsid w:val="00022B1F"/>
    <w:rsid w:val="00022FBE"/>
    <w:rsid w:val="000232D9"/>
    <w:rsid w:val="00023FE7"/>
    <w:rsid w:val="000247C9"/>
    <w:rsid w:val="00024C3C"/>
    <w:rsid w:val="00024DF4"/>
    <w:rsid w:val="00024FB1"/>
    <w:rsid w:val="00025419"/>
    <w:rsid w:val="00026546"/>
    <w:rsid w:val="0003011A"/>
    <w:rsid w:val="0003031D"/>
    <w:rsid w:val="000306B4"/>
    <w:rsid w:val="00031547"/>
    <w:rsid w:val="00031ABF"/>
    <w:rsid w:val="0003219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2D1C"/>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C57"/>
    <w:rsid w:val="00052DA2"/>
    <w:rsid w:val="00053F31"/>
    <w:rsid w:val="00054811"/>
    <w:rsid w:val="000553EE"/>
    <w:rsid w:val="0005574D"/>
    <w:rsid w:val="00055EFD"/>
    <w:rsid w:val="00056DDF"/>
    <w:rsid w:val="00056E58"/>
    <w:rsid w:val="00060959"/>
    <w:rsid w:val="00061A45"/>
    <w:rsid w:val="00061A6E"/>
    <w:rsid w:val="000626C8"/>
    <w:rsid w:val="000658AA"/>
    <w:rsid w:val="0006630D"/>
    <w:rsid w:val="00066528"/>
    <w:rsid w:val="000670E6"/>
    <w:rsid w:val="00067AB1"/>
    <w:rsid w:val="000704B0"/>
    <w:rsid w:val="00070945"/>
    <w:rsid w:val="00071601"/>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5D8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8B7"/>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91D"/>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865"/>
    <w:rsid w:val="000C6A47"/>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3E79"/>
    <w:rsid w:val="000E3FC3"/>
    <w:rsid w:val="000E485A"/>
    <w:rsid w:val="000E5145"/>
    <w:rsid w:val="000E6103"/>
    <w:rsid w:val="000E658A"/>
    <w:rsid w:val="000E6728"/>
    <w:rsid w:val="000E6B57"/>
    <w:rsid w:val="000E6E21"/>
    <w:rsid w:val="000F0642"/>
    <w:rsid w:val="000F0F4D"/>
    <w:rsid w:val="000F11BD"/>
    <w:rsid w:val="000F1ECA"/>
    <w:rsid w:val="000F204B"/>
    <w:rsid w:val="000F4B8E"/>
    <w:rsid w:val="000F4E3B"/>
    <w:rsid w:val="000F59F6"/>
    <w:rsid w:val="000F5F9A"/>
    <w:rsid w:val="000F6C57"/>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6F4"/>
    <w:rsid w:val="00113EC1"/>
    <w:rsid w:val="001140EF"/>
    <w:rsid w:val="00114366"/>
    <w:rsid w:val="001154B5"/>
    <w:rsid w:val="00116222"/>
    <w:rsid w:val="00116978"/>
    <w:rsid w:val="00116EDC"/>
    <w:rsid w:val="001170C1"/>
    <w:rsid w:val="00117112"/>
    <w:rsid w:val="00117255"/>
    <w:rsid w:val="001178E8"/>
    <w:rsid w:val="001179C0"/>
    <w:rsid w:val="00117B4A"/>
    <w:rsid w:val="0012022C"/>
    <w:rsid w:val="001204FD"/>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883"/>
    <w:rsid w:val="00141DA5"/>
    <w:rsid w:val="001422CD"/>
    <w:rsid w:val="00142F25"/>
    <w:rsid w:val="00142FC4"/>
    <w:rsid w:val="00143512"/>
    <w:rsid w:val="00143CF6"/>
    <w:rsid w:val="00145507"/>
    <w:rsid w:val="00145E67"/>
    <w:rsid w:val="00145EAD"/>
    <w:rsid w:val="0014632E"/>
    <w:rsid w:val="00146FC7"/>
    <w:rsid w:val="001472CD"/>
    <w:rsid w:val="001475EA"/>
    <w:rsid w:val="001500CD"/>
    <w:rsid w:val="00151496"/>
    <w:rsid w:val="00152361"/>
    <w:rsid w:val="00152ECB"/>
    <w:rsid w:val="00152FCC"/>
    <w:rsid w:val="001538D0"/>
    <w:rsid w:val="00154676"/>
    <w:rsid w:val="00154A40"/>
    <w:rsid w:val="00155B9B"/>
    <w:rsid w:val="00155ECD"/>
    <w:rsid w:val="00156AE7"/>
    <w:rsid w:val="0016067A"/>
    <w:rsid w:val="00160C27"/>
    <w:rsid w:val="00162A93"/>
    <w:rsid w:val="00163658"/>
    <w:rsid w:val="00163848"/>
    <w:rsid w:val="00163E28"/>
    <w:rsid w:val="00164103"/>
    <w:rsid w:val="00164CEB"/>
    <w:rsid w:val="001652F4"/>
    <w:rsid w:val="00166F21"/>
    <w:rsid w:val="00167B61"/>
    <w:rsid w:val="00170085"/>
    <w:rsid w:val="001704C2"/>
    <w:rsid w:val="00170677"/>
    <w:rsid w:val="00170933"/>
    <w:rsid w:val="00170ABC"/>
    <w:rsid w:val="00170CFB"/>
    <w:rsid w:val="001712B4"/>
    <w:rsid w:val="00171817"/>
    <w:rsid w:val="00171927"/>
    <w:rsid w:val="00172B91"/>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528"/>
    <w:rsid w:val="00180D14"/>
    <w:rsid w:val="00180F86"/>
    <w:rsid w:val="00181545"/>
    <w:rsid w:val="00181EAB"/>
    <w:rsid w:val="001820B4"/>
    <w:rsid w:val="00183E7C"/>
    <w:rsid w:val="0018541C"/>
    <w:rsid w:val="001858AD"/>
    <w:rsid w:val="00185EA2"/>
    <w:rsid w:val="001866F1"/>
    <w:rsid w:val="00186EDB"/>
    <w:rsid w:val="00186F02"/>
    <w:rsid w:val="001870C2"/>
    <w:rsid w:val="00187499"/>
    <w:rsid w:val="00187AF7"/>
    <w:rsid w:val="00190EF1"/>
    <w:rsid w:val="00190F66"/>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0F51"/>
    <w:rsid w:val="001A2663"/>
    <w:rsid w:val="001A3069"/>
    <w:rsid w:val="001A3367"/>
    <w:rsid w:val="001A4C1E"/>
    <w:rsid w:val="001A5DFA"/>
    <w:rsid w:val="001A63C6"/>
    <w:rsid w:val="001A7718"/>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0BE9"/>
    <w:rsid w:val="001C123D"/>
    <w:rsid w:val="001C1727"/>
    <w:rsid w:val="001C17FF"/>
    <w:rsid w:val="001C20C9"/>
    <w:rsid w:val="001C310B"/>
    <w:rsid w:val="001C369B"/>
    <w:rsid w:val="001C38D4"/>
    <w:rsid w:val="001C4AC1"/>
    <w:rsid w:val="001C5084"/>
    <w:rsid w:val="001C5F2F"/>
    <w:rsid w:val="001C600A"/>
    <w:rsid w:val="001C67C8"/>
    <w:rsid w:val="001C6BD7"/>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07A"/>
    <w:rsid w:val="00222404"/>
    <w:rsid w:val="00222641"/>
    <w:rsid w:val="00222B90"/>
    <w:rsid w:val="0022394B"/>
    <w:rsid w:val="00223A77"/>
    <w:rsid w:val="002246E1"/>
    <w:rsid w:val="0022500A"/>
    <w:rsid w:val="002253A3"/>
    <w:rsid w:val="00226DE5"/>
    <w:rsid w:val="00226E5F"/>
    <w:rsid w:val="002278A3"/>
    <w:rsid w:val="00230134"/>
    <w:rsid w:val="00230E01"/>
    <w:rsid w:val="00231EAF"/>
    <w:rsid w:val="00232756"/>
    <w:rsid w:val="00232775"/>
    <w:rsid w:val="0023291B"/>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172"/>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29"/>
    <w:rsid w:val="0026606F"/>
    <w:rsid w:val="00266902"/>
    <w:rsid w:val="00266AF5"/>
    <w:rsid w:val="00266F0E"/>
    <w:rsid w:val="0026723A"/>
    <w:rsid w:val="002677F5"/>
    <w:rsid w:val="0027028A"/>
    <w:rsid w:val="00270612"/>
    <w:rsid w:val="00270850"/>
    <w:rsid w:val="00270EBE"/>
    <w:rsid w:val="00270F92"/>
    <w:rsid w:val="00271B8B"/>
    <w:rsid w:val="00272869"/>
    <w:rsid w:val="00272E63"/>
    <w:rsid w:val="00273176"/>
    <w:rsid w:val="00273672"/>
    <w:rsid w:val="00273685"/>
    <w:rsid w:val="00273C3F"/>
    <w:rsid w:val="00274F1F"/>
    <w:rsid w:val="002751F6"/>
    <w:rsid w:val="00276586"/>
    <w:rsid w:val="002765CF"/>
    <w:rsid w:val="00277145"/>
    <w:rsid w:val="0028033C"/>
    <w:rsid w:val="00280A25"/>
    <w:rsid w:val="00281B6E"/>
    <w:rsid w:val="0028230A"/>
    <w:rsid w:val="00283A4E"/>
    <w:rsid w:val="002849A2"/>
    <w:rsid w:val="0028525A"/>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74"/>
    <w:rsid w:val="002A6E97"/>
    <w:rsid w:val="002A732F"/>
    <w:rsid w:val="002A760F"/>
    <w:rsid w:val="002A77B9"/>
    <w:rsid w:val="002B131B"/>
    <w:rsid w:val="002B1778"/>
    <w:rsid w:val="002B1F45"/>
    <w:rsid w:val="002B202E"/>
    <w:rsid w:val="002B2A1D"/>
    <w:rsid w:val="002B2F57"/>
    <w:rsid w:val="002B327C"/>
    <w:rsid w:val="002B38E7"/>
    <w:rsid w:val="002B4A9E"/>
    <w:rsid w:val="002B4E5D"/>
    <w:rsid w:val="002B547C"/>
    <w:rsid w:val="002B6B82"/>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EF6"/>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85F"/>
    <w:rsid w:val="003009F1"/>
    <w:rsid w:val="00301E95"/>
    <w:rsid w:val="00302B84"/>
    <w:rsid w:val="00303BEB"/>
    <w:rsid w:val="00306549"/>
    <w:rsid w:val="00306664"/>
    <w:rsid w:val="0030687E"/>
    <w:rsid w:val="00306CDF"/>
    <w:rsid w:val="00306DA8"/>
    <w:rsid w:val="0030700C"/>
    <w:rsid w:val="0030704B"/>
    <w:rsid w:val="00307298"/>
    <w:rsid w:val="00307969"/>
    <w:rsid w:val="00307A54"/>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175FC"/>
    <w:rsid w:val="00320142"/>
    <w:rsid w:val="003205B6"/>
    <w:rsid w:val="00320613"/>
    <w:rsid w:val="0032113C"/>
    <w:rsid w:val="003219D2"/>
    <w:rsid w:val="00322128"/>
    <w:rsid w:val="00322275"/>
    <w:rsid w:val="003225E4"/>
    <w:rsid w:val="00323AAF"/>
    <w:rsid w:val="00324479"/>
    <w:rsid w:val="0032469E"/>
    <w:rsid w:val="00325658"/>
    <w:rsid w:val="00325BA0"/>
    <w:rsid w:val="00325E60"/>
    <w:rsid w:val="00326833"/>
    <w:rsid w:val="00326BBD"/>
    <w:rsid w:val="00326EF7"/>
    <w:rsid w:val="00326F85"/>
    <w:rsid w:val="00330CD4"/>
    <w:rsid w:val="00331198"/>
    <w:rsid w:val="0033167A"/>
    <w:rsid w:val="0033195D"/>
    <w:rsid w:val="00333A0E"/>
    <w:rsid w:val="00333F5B"/>
    <w:rsid w:val="00334E27"/>
    <w:rsid w:val="00335046"/>
    <w:rsid w:val="0033513B"/>
    <w:rsid w:val="00335DFB"/>
    <w:rsid w:val="00336BCA"/>
    <w:rsid w:val="0033725C"/>
    <w:rsid w:val="00340532"/>
    <w:rsid w:val="00341566"/>
    <w:rsid w:val="003418C5"/>
    <w:rsid w:val="0034219A"/>
    <w:rsid w:val="00342DA2"/>
    <w:rsid w:val="0034327C"/>
    <w:rsid w:val="00343704"/>
    <w:rsid w:val="00343942"/>
    <w:rsid w:val="00343FB1"/>
    <w:rsid w:val="003440F5"/>
    <w:rsid w:val="003444EE"/>
    <w:rsid w:val="003459B2"/>
    <w:rsid w:val="003465C2"/>
    <w:rsid w:val="0034661A"/>
    <w:rsid w:val="00346E96"/>
    <w:rsid w:val="003479E5"/>
    <w:rsid w:val="00350DD3"/>
    <w:rsid w:val="00351735"/>
    <w:rsid w:val="00352135"/>
    <w:rsid w:val="00352188"/>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D26"/>
    <w:rsid w:val="00360EB5"/>
    <w:rsid w:val="00361638"/>
    <w:rsid w:val="00361D7F"/>
    <w:rsid w:val="003623C3"/>
    <w:rsid w:val="00362520"/>
    <w:rsid w:val="0036280B"/>
    <w:rsid w:val="00362A5E"/>
    <w:rsid w:val="00363AFF"/>
    <w:rsid w:val="003647E8"/>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77C93"/>
    <w:rsid w:val="00380363"/>
    <w:rsid w:val="00380B94"/>
    <w:rsid w:val="0038120B"/>
    <w:rsid w:val="00381B33"/>
    <w:rsid w:val="00381E96"/>
    <w:rsid w:val="00381F2E"/>
    <w:rsid w:val="0038336A"/>
    <w:rsid w:val="00384940"/>
    <w:rsid w:val="00384B84"/>
    <w:rsid w:val="003856C2"/>
    <w:rsid w:val="00385965"/>
    <w:rsid w:val="00385C82"/>
    <w:rsid w:val="00386BEC"/>
    <w:rsid w:val="00387529"/>
    <w:rsid w:val="003878D1"/>
    <w:rsid w:val="00390C51"/>
    <w:rsid w:val="00391057"/>
    <w:rsid w:val="00391231"/>
    <w:rsid w:val="00391582"/>
    <w:rsid w:val="00391808"/>
    <w:rsid w:val="00391D38"/>
    <w:rsid w:val="00392523"/>
    <w:rsid w:val="003929D1"/>
    <w:rsid w:val="00392C7E"/>
    <w:rsid w:val="00393979"/>
    <w:rsid w:val="00393D1D"/>
    <w:rsid w:val="00394278"/>
    <w:rsid w:val="003949A0"/>
    <w:rsid w:val="00394D2B"/>
    <w:rsid w:val="00394D71"/>
    <w:rsid w:val="00395AC3"/>
    <w:rsid w:val="003967CE"/>
    <w:rsid w:val="003971A9"/>
    <w:rsid w:val="0039729F"/>
    <w:rsid w:val="003979B4"/>
    <w:rsid w:val="003A018B"/>
    <w:rsid w:val="003A0416"/>
    <w:rsid w:val="003A0CB8"/>
    <w:rsid w:val="003A1126"/>
    <w:rsid w:val="003A1942"/>
    <w:rsid w:val="003A1B3A"/>
    <w:rsid w:val="003A1CA4"/>
    <w:rsid w:val="003A31B1"/>
    <w:rsid w:val="003A3231"/>
    <w:rsid w:val="003A3A77"/>
    <w:rsid w:val="003A458C"/>
    <w:rsid w:val="003A49DB"/>
    <w:rsid w:val="003A49FF"/>
    <w:rsid w:val="003A4C23"/>
    <w:rsid w:val="003A5169"/>
    <w:rsid w:val="003A51E7"/>
    <w:rsid w:val="003A5ABA"/>
    <w:rsid w:val="003A5C76"/>
    <w:rsid w:val="003A6F89"/>
    <w:rsid w:val="003B0EE7"/>
    <w:rsid w:val="003B2A44"/>
    <w:rsid w:val="003B36BF"/>
    <w:rsid w:val="003B43EE"/>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F5D"/>
    <w:rsid w:val="003C494C"/>
    <w:rsid w:val="003C56F1"/>
    <w:rsid w:val="003C5CC5"/>
    <w:rsid w:val="003C5DC1"/>
    <w:rsid w:val="003C5E0F"/>
    <w:rsid w:val="003C5E74"/>
    <w:rsid w:val="003C62DA"/>
    <w:rsid w:val="003C64D1"/>
    <w:rsid w:val="003C65F4"/>
    <w:rsid w:val="003C6BA5"/>
    <w:rsid w:val="003C75C8"/>
    <w:rsid w:val="003D0252"/>
    <w:rsid w:val="003D1150"/>
    <w:rsid w:val="003D1247"/>
    <w:rsid w:val="003D1E74"/>
    <w:rsid w:val="003D272C"/>
    <w:rsid w:val="003D2CC8"/>
    <w:rsid w:val="003D2E23"/>
    <w:rsid w:val="003D30FE"/>
    <w:rsid w:val="003D6FBE"/>
    <w:rsid w:val="003E12EE"/>
    <w:rsid w:val="003E2151"/>
    <w:rsid w:val="003E2317"/>
    <w:rsid w:val="003E3FAF"/>
    <w:rsid w:val="003E450D"/>
    <w:rsid w:val="003E4B2F"/>
    <w:rsid w:val="003E5902"/>
    <w:rsid w:val="003E59A4"/>
    <w:rsid w:val="003E5DC9"/>
    <w:rsid w:val="003E606C"/>
    <w:rsid w:val="003F1CB9"/>
    <w:rsid w:val="003F1F7D"/>
    <w:rsid w:val="003F2A6D"/>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928"/>
    <w:rsid w:val="00404F05"/>
    <w:rsid w:val="004055B8"/>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775"/>
    <w:rsid w:val="00427B69"/>
    <w:rsid w:val="00430597"/>
    <w:rsid w:val="00430C3B"/>
    <w:rsid w:val="0043109C"/>
    <w:rsid w:val="0043190C"/>
    <w:rsid w:val="00431BC1"/>
    <w:rsid w:val="004320D3"/>
    <w:rsid w:val="004323B9"/>
    <w:rsid w:val="0043242A"/>
    <w:rsid w:val="0043356D"/>
    <w:rsid w:val="00433F5F"/>
    <w:rsid w:val="004342E4"/>
    <w:rsid w:val="00434BEF"/>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57A24"/>
    <w:rsid w:val="00460103"/>
    <w:rsid w:val="00460F50"/>
    <w:rsid w:val="00461127"/>
    <w:rsid w:val="00461CA9"/>
    <w:rsid w:val="00461DCE"/>
    <w:rsid w:val="00462493"/>
    <w:rsid w:val="004627EA"/>
    <w:rsid w:val="00462A0E"/>
    <w:rsid w:val="004640EC"/>
    <w:rsid w:val="004641BD"/>
    <w:rsid w:val="004641FD"/>
    <w:rsid w:val="004648B5"/>
    <w:rsid w:val="004654FB"/>
    <w:rsid w:val="00465757"/>
    <w:rsid w:val="00465D54"/>
    <w:rsid w:val="00465ECA"/>
    <w:rsid w:val="004668D9"/>
    <w:rsid w:val="00466D83"/>
    <w:rsid w:val="004705FE"/>
    <w:rsid w:val="004710F7"/>
    <w:rsid w:val="004718AA"/>
    <w:rsid w:val="00471E7E"/>
    <w:rsid w:val="00472642"/>
    <w:rsid w:val="00472D3F"/>
    <w:rsid w:val="00472DFD"/>
    <w:rsid w:val="00473147"/>
    <w:rsid w:val="004743D2"/>
    <w:rsid w:val="00475147"/>
    <w:rsid w:val="004759C6"/>
    <w:rsid w:val="00475BDD"/>
    <w:rsid w:val="00475D07"/>
    <w:rsid w:val="004768FA"/>
    <w:rsid w:val="00477B4D"/>
    <w:rsid w:val="00480342"/>
    <w:rsid w:val="00480790"/>
    <w:rsid w:val="00481427"/>
    <w:rsid w:val="004815F3"/>
    <w:rsid w:val="00482570"/>
    <w:rsid w:val="00482782"/>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DA1"/>
    <w:rsid w:val="00492E6C"/>
    <w:rsid w:val="004941B2"/>
    <w:rsid w:val="004945FA"/>
    <w:rsid w:val="004952CF"/>
    <w:rsid w:val="00495319"/>
    <w:rsid w:val="00495425"/>
    <w:rsid w:val="00495E53"/>
    <w:rsid w:val="00496B43"/>
    <w:rsid w:val="00496B5E"/>
    <w:rsid w:val="0049721F"/>
    <w:rsid w:val="00497ADA"/>
    <w:rsid w:val="00497FE7"/>
    <w:rsid w:val="004A2FC2"/>
    <w:rsid w:val="004A3509"/>
    <w:rsid w:val="004A46D2"/>
    <w:rsid w:val="004A4D28"/>
    <w:rsid w:val="004A7161"/>
    <w:rsid w:val="004A787C"/>
    <w:rsid w:val="004B1508"/>
    <w:rsid w:val="004B18A8"/>
    <w:rsid w:val="004B1F7C"/>
    <w:rsid w:val="004B24A1"/>
    <w:rsid w:val="004B26A3"/>
    <w:rsid w:val="004B2B65"/>
    <w:rsid w:val="004B2EFF"/>
    <w:rsid w:val="004B3506"/>
    <w:rsid w:val="004B3534"/>
    <w:rsid w:val="004B45C9"/>
    <w:rsid w:val="004B4A25"/>
    <w:rsid w:val="004B4C79"/>
    <w:rsid w:val="004B4FB2"/>
    <w:rsid w:val="004B52C0"/>
    <w:rsid w:val="004B54F7"/>
    <w:rsid w:val="004B6AE3"/>
    <w:rsid w:val="004B6BFE"/>
    <w:rsid w:val="004B6D8C"/>
    <w:rsid w:val="004B6FB5"/>
    <w:rsid w:val="004C02A6"/>
    <w:rsid w:val="004C044B"/>
    <w:rsid w:val="004C0807"/>
    <w:rsid w:val="004C0863"/>
    <w:rsid w:val="004C08A3"/>
    <w:rsid w:val="004C16CF"/>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139"/>
    <w:rsid w:val="004D35C8"/>
    <w:rsid w:val="004D3C57"/>
    <w:rsid w:val="004D4D43"/>
    <w:rsid w:val="004D6031"/>
    <w:rsid w:val="004D6777"/>
    <w:rsid w:val="004D6A4B"/>
    <w:rsid w:val="004D700D"/>
    <w:rsid w:val="004D7614"/>
    <w:rsid w:val="004D7623"/>
    <w:rsid w:val="004D776B"/>
    <w:rsid w:val="004D7976"/>
    <w:rsid w:val="004E0773"/>
    <w:rsid w:val="004E0852"/>
    <w:rsid w:val="004E12B8"/>
    <w:rsid w:val="004E292A"/>
    <w:rsid w:val="004E30F3"/>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59D"/>
    <w:rsid w:val="005108D1"/>
    <w:rsid w:val="00510F6B"/>
    <w:rsid w:val="00511357"/>
    <w:rsid w:val="00513534"/>
    <w:rsid w:val="00513CEA"/>
    <w:rsid w:val="005144F2"/>
    <w:rsid w:val="00514BD6"/>
    <w:rsid w:val="005151C7"/>
    <w:rsid w:val="00515631"/>
    <w:rsid w:val="00515A83"/>
    <w:rsid w:val="00515ABC"/>
    <w:rsid w:val="00515F76"/>
    <w:rsid w:val="0051604B"/>
    <w:rsid w:val="0051664E"/>
    <w:rsid w:val="00516E09"/>
    <w:rsid w:val="005170F6"/>
    <w:rsid w:val="00517228"/>
    <w:rsid w:val="00517602"/>
    <w:rsid w:val="0051768A"/>
    <w:rsid w:val="00517CA2"/>
    <w:rsid w:val="0052392B"/>
    <w:rsid w:val="0052396A"/>
    <w:rsid w:val="005242EC"/>
    <w:rsid w:val="00524896"/>
    <w:rsid w:val="00524E8F"/>
    <w:rsid w:val="00525E3D"/>
    <w:rsid w:val="00526303"/>
    <w:rsid w:val="005263D9"/>
    <w:rsid w:val="00526480"/>
    <w:rsid w:val="00526ADC"/>
    <w:rsid w:val="005272FA"/>
    <w:rsid w:val="00527D48"/>
    <w:rsid w:val="00527E76"/>
    <w:rsid w:val="0053106B"/>
    <w:rsid w:val="00532266"/>
    <w:rsid w:val="00532ABF"/>
    <w:rsid w:val="00532DA7"/>
    <w:rsid w:val="00532DEC"/>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3E90"/>
    <w:rsid w:val="005447B0"/>
    <w:rsid w:val="00544D50"/>
    <w:rsid w:val="0054507B"/>
    <w:rsid w:val="00545B10"/>
    <w:rsid w:val="00545EC6"/>
    <w:rsid w:val="0054609D"/>
    <w:rsid w:val="00546475"/>
    <w:rsid w:val="00546749"/>
    <w:rsid w:val="00547155"/>
    <w:rsid w:val="00547FE0"/>
    <w:rsid w:val="005500D9"/>
    <w:rsid w:val="00551367"/>
    <w:rsid w:val="00551705"/>
    <w:rsid w:val="00551EAB"/>
    <w:rsid w:val="0055283C"/>
    <w:rsid w:val="00553066"/>
    <w:rsid w:val="0055378E"/>
    <w:rsid w:val="00553E7E"/>
    <w:rsid w:val="0055442E"/>
    <w:rsid w:val="0055452D"/>
    <w:rsid w:val="00554623"/>
    <w:rsid w:val="00554A35"/>
    <w:rsid w:val="00554A7E"/>
    <w:rsid w:val="0055558B"/>
    <w:rsid w:val="00555986"/>
    <w:rsid w:val="0055611F"/>
    <w:rsid w:val="00556199"/>
    <w:rsid w:val="00556BD3"/>
    <w:rsid w:val="0055736D"/>
    <w:rsid w:val="005579B8"/>
    <w:rsid w:val="00560523"/>
    <w:rsid w:val="00560A10"/>
    <w:rsid w:val="005614CA"/>
    <w:rsid w:val="005615BC"/>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23AA"/>
    <w:rsid w:val="00573A2D"/>
    <w:rsid w:val="00573BA8"/>
    <w:rsid w:val="00573F9E"/>
    <w:rsid w:val="0057497D"/>
    <w:rsid w:val="0057503E"/>
    <w:rsid w:val="00575426"/>
    <w:rsid w:val="00575BBE"/>
    <w:rsid w:val="005763B4"/>
    <w:rsid w:val="00576B12"/>
    <w:rsid w:val="00577E83"/>
    <w:rsid w:val="0058158C"/>
    <w:rsid w:val="00581A82"/>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67"/>
    <w:rsid w:val="00591CC6"/>
    <w:rsid w:val="00591D02"/>
    <w:rsid w:val="00592129"/>
    <w:rsid w:val="005935A5"/>
    <w:rsid w:val="00593695"/>
    <w:rsid w:val="005937B6"/>
    <w:rsid w:val="00593CD7"/>
    <w:rsid w:val="00593FBD"/>
    <w:rsid w:val="00594055"/>
    <w:rsid w:val="00594271"/>
    <w:rsid w:val="00595A75"/>
    <w:rsid w:val="00595EB3"/>
    <w:rsid w:val="00595FDC"/>
    <w:rsid w:val="0059600B"/>
    <w:rsid w:val="0059638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2A2"/>
    <w:rsid w:val="005A5C92"/>
    <w:rsid w:val="005B0791"/>
    <w:rsid w:val="005B07BD"/>
    <w:rsid w:val="005B0861"/>
    <w:rsid w:val="005B0A14"/>
    <w:rsid w:val="005B0F04"/>
    <w:rsid w:val="005B107E"/>
    <w:rsid w:val="005B15D2"/>
    <w:rsid w:val="005B297B"/>
    <w:rsid w:val="005B31F0"/>
    <w:rsid w:val="005B372B"/>
    <w:rsid w:val="005B387C"/>
    <w:rsid w:val="005B48E5"/>
    <w:rsid w:val="005B4C27"/>
    <w:rsid w:val="005B5E8D"/>
    <w:rsid w:val="005B6712"/>
    <w:rsid w:val="005B6FFF"/>
    <w:rsid w:val="005B7493"/>
    <w:rsid w:val="005B7886"/>
    <w:rsid w:val="005B7E3A"/>
    <w:rsid w:val="005C0183"/>
    <w:rsid w:val="005C06BC"/>
    <w:rsid w:val="005C0A6B"/>
    <w:rsid w:val="005C11D1"/>
    <w:rsid w:val="005C164D"/>
    <w:rsid w:val="005C173F"/>
    <w:rsid w:val="005C18C5"/>
    <w:rsid w:val="005C1B2A"/>
    <w:rsid w:val="005C1C24"/>
    <w:rsid w:val="005C1FDE"/>
    <w:rsid w:val="005C2896"/>
    <w:rsid w:val="005C3572"/>
    <w:rsid w:val="005C382A"/>
    <w:rsid w:val="005C3CCD"/>
    <w:rsid w:val="005C3F52"/>
    <w:rsid w:val="005C485C"/>
    <w:rsid w:val="005C4CF6"/>
    <w:rsid w:val="005C55EB"/>
    <w:rsid w:val="005C5A27"/>
    <w:rsid w:val="005C6388"/>
    <w:rsid w:val="005C63C4"/>
    <w:rsid w:val="005C647E"/>
    <w:rsid w:val="005C6C70"/>
    <w:rsid w:val="005C7030"/>
    <w:rsid w:val="005D0F5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A5A"/>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EF"/>
    <w:rsid w:val="005F0406"/>
    <w:rsid w:val="005F089F"/>
    <w:rsid w:val="005F2463"/>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1A2E"/>
    <w:rsid w:val="006127A9"/>
    <w:rsid w:val="00612FCC"/>
    <w:rsid w:val="00613063"/>
    <w:rsid w:val="0061393F"/>
    <w:rsid w:val="00613966"/>
    <w:rsid w:val="0061397B"/>
    <w:rsid w:val="00613BBB"/>
    <w:rsid w:val="00614DFC"/>
    <w:rsid w:val="0061605E"/>
    <w:rsid w:val="0061645A"/>
    <w:rsid w:val="0061722C"/>
    <w:rsid w:val="0061752B"/>
    <w:rsid w:val="0062012A"/>
    <w:rsid w:val="00620185"/>
    <w:rsid w:val="00620472"/>
    <w:rsid w:val="00620E07"/>
    <w:rsid w:val="00620E40"/>
    <w:rsid w:val="00620E8B"/>
    <w:rsid w:val="00622DE2"/>
    <w:rsid w:val="00624548"/>
    <w:rsid w:val="00624A9A"/>
    <w:rsid w:val="00625242"/>
    <w:rsid w:val="00625245"/>
    <w:rsid w:val="00625250"/>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6FB6"/>
    <w:rsid w:val="006408AF"/>
    <w:rsid w:val="00640CE4"/>
    <w:rsid w:val="0064257F"/>
    <w:rsid w:val="00643249"/>
    <w:rsid w:val="00643573"/>
    <w:rsid w:val="00643D74"/>
    <w:rsid w:val="00643E3E"/>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421"/>
    <w:rsid w:val="0065382D"/>
    <w:rsid w:val="00653A20"/>
    <w:rsid w:val="00653A42"/>
    <w:rsid w:val="00655039"/>
    <w:rsid w:val="0065592D"/>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9B5"/>
    <w:rsid w:val="00665A44"/>
    <w:rsid w:val="00665CC8"/>
    <w:rsid w:val="00666A13"/>
    <w:rsid w:val="00667807"/>
    <w:rsid w:val="00667FDA"/>
    <w:rsid w:val="00670296"/>
    <w:rsid w:val="006705D4"/>
    <w:rsid w:val="006707A3"/>
    <w:rsid w:val="00671996"/>
    <w:rsid w:val="006721D5"/>
    <w:rsid w:val="00672DE1"/>
    <w:rsid w:val="00672E44"/>
    <w:rsid w:val="00673183"/>
    <w:rsid w:val="006734A8"/>
    <w:rsid w:val="006735B2"/>
    <w:rsid w:val="006738F6"/>
    <w:rsid w:val="0067458B"/>
    <w:rsid w:val="0067470F"/>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3224"/>
    <w:rsid w:val="006839EF"/>
    <w:rsid w:val="00684265"/>
    <w:rsid w:val="00684AF9"/>
    <w:rsid w:val="00684C4D"/>
    <w:rsid w:val="00684C60"/>
    <w:rsid w:val="00684C98"/>
    <w:rsid w:val="00685009"/>
    <w:rsid w:val="00685107"/>
    <w:rsid w:val="00685775"/>
    <w:rsid w:val="00685A49"/>
    <w:rsid w:val="006860D2"/>
    <w:rsid w:val="006864A1"/>
    <w:rsid w:val="00686685"/>
    <w:rsid w:val="00686D5F"/>
    <w:rsid w:val="00687327"/>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3FBD"/>
    <w:rsid w:val="006A4009"/>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525"/>
    <w:rsid w:val="006B4EC3"/>
    <w:rsid w:val="006B5A36"/>
    <w:rsid w:val="006B5C19"/>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A97"/>
    <w:rsid w:val="006D0B36"/>
    <w:rsid w:val="006D12CB"/>
    <w:rsid w:val="006D1AA6"/>
    <w:rsid w:val="006D207A"/>
    <w:rsid w:val="006D33A5"/>
    <w:rsid w:val="006D3457"/>
    <w:rsid w:val="006D356F"/>
    <w:rsid w:val="006D3AEC"/>
    <w:rsid w:val="006D440C"/>
    <w:rsid w:val="006D4425"/>
    <w:rsid w:val="006D494D"/>
    <w:rsid w:val="006D4958"/>
    <w:rsid w:val="006D4ECD"/>
    <w:rsid w:val="006D58DB"/>
    <w:rsid w:val="006D5B20"/>
    <w:rsid w:val="006D6A83"/>
    <w:rsid w:val="006D6BED"/>
    <w:rsid w:val="006E0678"/>
    <w:rsid w:val="006E1273"/>
    <w:rsid w:val="006E1BCB"/>
    <w:rsid w:val="006E1CD2"/>
    <w:rsid w:val="006E28CC"/>
    <w:rsid w:val="006E4875"/>
    <w:rsid w:val="006E5645"/>
    <w:rsid w:val="006E5A58"/>
    <w:rsid w:val="006E62DA"/>
    <w:rsid w:val="006E7054"/>
    <w:rsid w:val="006E7166"/>
    <w:rsid w:val="006E76E8"/>
    <w:rsid w:val="006E7D7A"/>
    <w:rsid w:val="006F0E0F"/>
    <w:rsid w:val="006F0EF5"/>
    <w:rsid w:val="006F1287"/>
    <w:rsid w:val="006F19B0"/>
    <w:rsid w:val="006F201C"/>
    <w:rsid w:val="006F2217"/>
    <w:rsid w:val="006F2B51"/>
    <w:rsid w:val="006F34D0"/>
    <w:rsid w:val="006F3BE7"/>
    <w:rsid w:val="006F3CE8"/>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48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2EBB"/>
    <w:rsid w:val="00723101"/>
    <w:rsid w:val="00723599"/>
    <w:rsid w:val="00723859"/>
    <w:rsid w:val="007240FE"/>
    <w:rsid w:val="00724CEB"/>
    <w:rsid w:val="007250E6"/>
    <w:rsid w:val="00725DE7"/>
    <w:rsid w:val="007268B8"/>
    <w:rsid w:val="007269E6"/>
    <w:rsid w:val="007304D7"/>
    <w:rsid w:val="00730C7C"/>
    <w:rsid w:val="007311E1"/>
    <w:rsid w:val="007316A1"/>
    <w:rsid w:val="00731885"/>
    <w:rsid w:val="0073207B"/>
    <w:rsid w:val="00732AEF"/>
    <w:rsid w:val="00732D70"/>
    <w:rsid w:val="007336B9"/>
    <w:rsid w:val="007337A0"/>
    <w:rsid w:val="007339D8"/>
    <w:rsid w:val="00733F61"/>
    <w:rsid w:val="0073424F"/>
    <w:rsid w:val="007347BA"/>
    <w:rsid w:val="007348E7"/>
    <w:rsid w:val="00734B50"/>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C4F"/>
    <w:rsid w:val="00746F8A"/>
    <w:rsid w:val="00746FF7"/>
    <w:rsid w:val="00747474"/>
    <w:rsid w:val="0075068E"/>
    <w:rsid w:val="00751573"/>
    <w:rsid w:val="007515DF"/>
    <w:rsid w:val="007516AC"/>
    <w:rsid w:val="00751F50"/>
    <w:rsid w:val="00752DFD"/>
    <w:rsid w:val="00752E78"/>
    <w:rsid w:val="00752EB2"/>
    <w:rsid w:val="0075467E"/>
    <w:rsid w:val="00754E40"/>
    <w:rsid w:val="007555A9"/>
    <w:rsid w:val="00755633"/>
    <w:rsid w:val="00755CB9"/>
    <w:rsid w:val="007560E0"/>
    <w:rsid w:val="007564D3"/>
    <w:rsid w:val="00756F07"/>
    <w:rsid w:val="0075742A"/>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68D"/>
    <w:rsid w:val="00772B52"/>
    <w:rsid w:val="00772CAE"/>
    <w:rsid w:val="00772DA5"/>
    <w:rsid w:val="007731AC"/>
    <w:rsid w:val="007731FE"/>
    <w:rsid w:val="00773626"/>
    <w:rsid w:val="00773DF5"/>
    <w:rsid w:val="00774C18"/>
    <w:rsid w:val="00775255"/>
    <w:rsid w:val="00776244"/>
    <w:rsid w:val="00776744"/>
    <w:rsid w:val="00776E3B"/>
    <w:rsid w:val="007771A3"/>
    <w:rsid w:val="00781A60"/>
    <w:rsid w:val="007826D0"/>
    <w:rsid w:val="0078325A"/>
    <w:rsid w:val="0078331B"/>
    <w:rsid w:val="00783E17"/>
    <w:rsid w:val="0078519A"/>
    <w:rsid w:val="007854A8"/>
    <w:rsid w:val="007876AC"/>
    <w:rsid w:val="00790519"/>
    <w:rsid w:val="0079143A"/>
    <w:rsid w:val="00791C64"/>
    <w:rsid w:val="00791D18"/>
    <w:rsid w:val="00792371"/>
    <w:rsid w:val="00792825"/>
    <w:rsid w:val="00792983"/>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512"/>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D14"/>
    <w:rsid w:val="007C2512"/>
    <w:rsid w:val="007C264B"/>
    <w:rsid w:val="007C26F4"/>
    <w:rsid w:val="007C2AD9"/>
    <w:rsid w:val="007C2D60"/>
    <w:rsid w:val="007C3E5F"/>
    <w:rsid w:val="007C482A"/>
    <w:rsid w:val="007C49C5"/>
    <w:rsid w:val="007C4AA7"/>
    <w:rsid w:val="007C4ADB"/>
    <w:rsid w:val="007C4B1E"/>
    <w:rsid w:val="007C4DF6"/>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4B3A"/>
    <w:rsid w:val="007D516A"/>
    <w:rsid w:val="007D5647"/>
    <w:rsid w:val="007D5BA0"/>
    <w:rsid w:val="007D6208"/>
    <w:rsid w:val="007D77D8"/>
    <w:rsid w:val="007E0ACB"/>
    <w:rsid w:val="007E0CC6"/>
    <w:rsid w:val="007E1338"/>
    <w:rsid w:val="007E2DBF"/>
    <w:rsid w:val="007E2FDE"/>
    <w:rsid w:val="007E3162"/>
    <w:rsid w:val="007E36C8"/>
    <w:rsid w:val="007E389A"/>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53C"/>
    <w:rsid w:val="00813D10"/>
    <w:rsid w:val="00813E1F"/>
    <w:rsid w:val="008140D8"/>
    <w:rsid w:val="00814DAA"/>
    <w:rsid w:val="008156F0"/>
    <w:rsid w:val="00815976"/>
    <w:rsid w:val="00815CF7"/>
    <w:rsid w:val="00815D5C"/>
    <w:rsid w:val="0081627E"/>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69C"/>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4E9F"/>
    <w:rsid w:val="008357AC"/>
    <w:rsid w:val="008358AA"/>
    <w:rsid w:val="00836655"/>
    <w:rsid w:val="008368B4"/>
    <w:rsid w:val="00836988"/>
    <w:rsid w:val="00836D9F"/>
    <w:rsid w:val="0083748D"/>
    <w:rsid w:val="00837AE2"/>
    <w:rsid w:val="0084072C"/>
    <w:rsid w:val="00840B13"/>
    <w:rsid w:val="008415D8"/>
    <w:rsid w:val="00842F32"/>
    <w:rsid w:val="008432CC"/>
    <w:rsid w:val="008434B8"/>
    <w:rsid w:val="008438DA"/>
    <w:rsid w:val="00843C48"/>
    <w:rsid w:val="008446D1"/>
    <w:rsid w:val="00844BAF"/>
    <w:rsid w:val="00845771"/>
    <w:rsid w:val="00846611"/>
    <w:rsid w:val="008477AF"/>
    <w:rsid w:val="00850085"/>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52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480F"/>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15D"/>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218"/>
    <w:rsid w:val="008B0364"/>
    <w:rsid w:val="008B0B3C"/>
    <w:rsid w:val="008B15B4"/>
    <w:rsid w:val="008B1D08"/>
    <w:rsid w:val="008B2755"/>
    <w:rsid w:val="008B2AA7"/>
    <w:rsid w:val="008B2CEB"/>
    <w:rsid w:val="008B4397"/>
    <w:rsid w:val="008B4B94"/>
    <w:rsid w:val="008B560F"/>
    <w:rsid w:val="008B5F9A"/>
    <w:rsid w:val="008B67B6"/>
    <w:rsid w:val="008B6C9E"/>
    <w:rsid w:val="008B6EDD"/>
    <w:rsid w:val="008B720F"/>
    <w:rsid w:val="008C04B9"/>
    <w:rsid w:val="008C0608"/>
    <w:rsid w:val="008C0C2B"/>
    <w:rsid w:val="008C1992"/>
    <w:rsid w:val="008C2C92"/>
    <w:rsid w:val="008C2FF8"/>
    <w:rsid w:val="008C3088"/>
    <w:rsid w:val="008C35F6"/>
    <w:rsid w:val="008C3BDD"/>
    <w:rsid w:val="008C3DFD"/>
    <w:rsid w:val="008C4052"/>
    <w:rsid w:val="008C63DD"/>
    <w:rsid w:val="008C725D"/>
    <w:rsid w:val="008D15D0"/>
    <w:rsid w:val="008D1962"/>
    <w:rsid w:val="008D2C42"/>
    <w:rsid w:val="008D4398"/>
    <w:rsid w:val="008D5290"/>
    <w:rsid w:val="008D5507"/>
    <w:rsid w:val="008E0ECA"/>
    <w:rsid w:val="008E1345"/>
    <w:rsid w:val="008E1BE5"/>
    <w:rsid w:val="008E1FAF"/>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309"/>
    <w:rsid w:val="00913B84"/>
    <w:rsid w:val="00913F3F"/>
    <w:rsid w:val="009141A3"/>
    <w:rsid w:val="009144B6"/>
    <w:rsid w:val="009154DF"/>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BAF"/>
    <w:rsid w:val="00936C19"/>
    <w:rsid w:val="009407FE"/>
    <w:rsid w:val="0094112A"/>
    <w:rsid w:val="00942C57"/>
    <w:rsid w:val="009447FB"/>
    <w:rsid w:val="00944BDF"/>
    <w:rsid w:val="00944DAD"/>
    <w:rsid w:val="00944EE1"/>
    <w:rsid w:val="0094529C"/>
    <w:rsid w:val="0094574D"/>
    <w:rsid w:val="009464CE"/>
    <w:rsid w:val="00946D45"/>
    <w:rsid w:val="009504CA"/>
    <w:rsid w:val="0095103B"/>
    <w:rsid w:val="00951490"/>
    <w:rsid w:val="00951852"/>
    <w:rsid w:val="009518B1"/>
    <w:rsid w:val="0095190D"/>
    <w:rsid w:val="009526C0"/>
    <w:rsid w:val="00952A87"/>
    <w:rsid w:val="00952ABB"/>
    <w:rsid w:val="00953616"/>
    <w:rsid w:val="00953C63"/>
    <w:rsid w:val="00954586"/>
    <w:rsid w:val="00954BF1"/>
    <w:rsid w:val="00955003"/>
    <w:rsid w:val="00955424"/>
    <w:rsid w:val="00955428"/>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463"/>
    <w:rsid w:val="0098395B"/>
    <w:rsid w:val="0098415A"/>
    <w:rsid w:val="009843D2"/>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16"/>
    <w:rsid w:val="009C2B6B"/>
    <w:rsid w:val="009C2D27"/>
    <w:rsid w:val="009C3006"/>
    <w:rsid w:val="009C3A55"/>
    <w:rsid w:val="009C3D6C"/>
    <w:rsid w:val="009C4345"/>
    <w:rsid w:val="009C5477"/>
    <w:rsid w:val="009C5AA8"/>
    <w:rsid w:val="009C5D30"/>
    <w:rsid w:val="009C6A35"/>
    <w:rsid w:val="009C6D1C"/>
    <w:rsid w:val="009C7505"/>
    <w:rsid w:val="009C779A"/>
    <w:rsid w:val="009D184D"/>
    <w:rsid w:val="009D1C99"/>
    <w:rsid w:val="009D20A2"/>
    <w:rsid w:val="009D23E3"/>
    <w:rsid w:val="009D2697"/>
    <w:rsid w:val="009D26EE"/>
    <w:rsid w:val="009D2F88"/>
    <w:rsid w:val="009D3013"/>
    <w:rsid w:val="009D3046"/>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49A"/>
    <w:rsid w:val="00A01B66"/>
    <w:rsid w:val="00A0353B"/>
    <w:rsid w:val="00A043FC"/>
    <w:rsid w:val="00A04495"/>
    <w:rsid w:val="00A0581B"/>
    <w:rsid w:val="00A0765A"/>
    <w:rsid w:val="00A0794D"/>
    <w:rsid w:val="00A10280"/>
    <w:rsid w:val="00A10533"/>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3361"/>
    <w:rsid w:val="00A24DCE"/>
    <w:rsid w:val="00A25D59"/>
    <w:rsid w:val="00A260EC"/>
    <w:rsid w:val="00A26614"/>
    <w:rsid w:val="00A2724A"/>
    <w:rsid w:val="00A30254"/>
    <w:rsid w:val="00A30C15"/>
    <w:rsid w:val="00A30F0B"/>
    <w:rsid w:val="00A31023"/>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1C5B"/>
    <w:rsid w:val="00A62049"/>
    <w:rsid w:val="00A62487"/>
    <w:rsid w:val="00A63863"/>
    <w:rsid w:val="00A63948"/>
    <w:rsid w:val="00A6404D"/>
    <w:rsid w:val="00A6493D"/>
    <w:rsid w:val="00A64D19"/>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8709E"/>
    <w:rsid w:val="00A9013C"/>
    <w:rsid w:val="00A9099B"/>
    <w:rsid w:val="00A90B0F"/>
    <w:rsid w:val="00A936B5"/>
    <w:rsid w:val="00A954A1"/>
    <w:rsid w:val="00A96784"/>
    <w:rsid w:val="00A96D60"/>
    <w:rsid w:val="00A9705B"/>
    <w:rsid w:val="00A97702"/>
    <w:rsid w:val="00AA018E"/>
    <w:rsid w:val="00AA0329"/>
    <w:rsid w:val="00AA0674"/>
    <w:rsid w:val="00AA1732"/>
    <w:rsid w:val="00AA1833"/>
    <w:rsid w:val="00AA19FE"/>
    <w:rsid w:val="00AA1E8E"/>
    <w:rsid w:val="00AA1F6D"/>
    <w:rsid w:val="00AA31F2"/>
    <w:rsid w:val="00AA3E39"/>
    <w:rsid w:val="00AA502B"/>
    <w:rsid w:val="00AA69C5"/>
    <w:rsid w:val="00AA715A"/>
    <w:rsid w:val="00AA79A5"/>
    <w:rsid w:val="00AA7D30"/>
    <w:rsid w:val="00AB0CCA"/>
    <w:rsid w:val="00AB24BD"/>
    <w:rsid w:val="00AB2D54"/>
    <w:rsid w:val="00AB31D6"/>
    <w:rsid w:val="00AB3E3F"/>
    <w:rsid w:val="00AB409A"/>
    <w:rsid w:val="00AB4C80"/>
    <w:rsid w:val="00AB4D9D"/>
    <w:rsid w:val="00AB5138"/>
    <w:rsid w:val="00AB6D99"/>
    <w:rsid w:val="00AB7127"/>
    <w:rsid w:val="00AB73C1"/>
    <w:rsid w:val="00AB7AC2"/>
    <w:rsid w:val="00AC0ED2"/>
    <w:rsid w:val="00AC1997"/>
    <w:rsid w:val="00AC204F"/>
    <w:rsid w:val="00AC246A"/>
    <w:rsid w:val="00AC2872"/>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53C"/>
    <w:rsid w:val="00AD3A03"/>
    <w:rsid w:val="00AD4152"/>
    <w:rsid w:val="00AD4C5F"/>
    <w:rsid w:val="00AD51E7"/>
    <w:rsid w:val="00AD56BD"/>
    <w:rsid w:val="00AD5DCD"/>
    <w:rsid w:val="00AD69BD"/>
    <w:rsid w:val="00AD6AD6"/>
    <w:rsid w:val="00AD7823"/>
    <w:rsid w:val="00AE1762"/>
    <w:rsid w:val="00AE1EA1"/>
    <w:rsid w:val="00AE208C"/>
    <w:rsid w:val="00AE2107"/>
    <w:rsid w:val="00AE2303"/>
    <w:rsid w:val="00AE23CB"/>
    <w:rsid w:val="00AE255F"/>
    <w:rsid w:val="00AE277F"/>
    <w:rsid w:val="00AE2963"/>
    <w:rsid w:val="00AE3665"/>
    <w:rsid w:val="00AE406D"/>
    <w:rsid w:val="00AE41EE"/>
    <w:rsid w:val="00AE4C2F"/>
    <w:rsid w:val="00AE5A9F"/>
    <w:rsid w:val="00AE6177"/>
    <w:rsid w:val="00AE73AB"/>
    <w:rsid w:val="00AE758D"/>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714C"/>
    <w:rsid w:val="00AF7323"/>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9DF"/>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559B"/>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82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16B"/>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C34"/>
    <w:rsid w:val="00B75269"/>
    <w:rsid w:val="00B754AD"/>
    <w:rsid w:val="00B75885"/>
    <w:rsid w:val="00B75DEA"/>
    <w:rsid w:val="00B75E3C"/>
    <w:rsid w:val="00B76713"/>
    <w:rsid w:val="00B76943"/>
    <w:rsid w:val="00B81259"/>
    <w:rsid w:val="00B82A66"/>
    <w:rsid w:val="00B82B79"/>
    <w:rsid w:val="00B82E11"/>
    <w:rsid w:val="00B83AEE"/>
    <w:rsid w:val="00B842EC"/>
    <w:rsid w:val="00B844A4"/>
    <w:rsid w:val="00B85D3C"/>
    <w:rsid w:val="00B86C88"/>
    <w:rsid w:val="00B86DF9"/>
    <w:rsid w:val="00B871D7"/>
    <w:rsid w:val="00B8786B"/>
    <w:rsid w:val="00B87B49"/>
    <w:rsid w:val="00B87CA3"/>
    <w:rsid w:val="00B902F6"/>
    <w:rsid w:val="00B909F2"/>
    <w:rsid w:val="00B90E41"/>
    <w:rsid w:val="00B91AB4"/>
    <w:rsid w:val="00B92910"/>
    <w:rsid w:val="00B934F7"/>
    <w:rsid w:val="00B938A6"/>
    <w:rsid w:val="00B939A4"/>
    <w:rsid w:val="00B947E4"/>
    <w:rsid w:val="00B95007"/>
    <w:rsid w:val="00B954E3"/>
    <w:rsid w:val="00B95B9A"/>
    <w:rsid w:val="00B9607F"/>
    <w:rsid w:val="00B9674D"/>
    <w:rsid w:val="00B96A49"/>
    <w:rsid w:val="00B97270"/>
    <w:rsid w:val="00B97D66"/>
    <w:rsid w:val="00B97EB5"/>
    <w:rsid w:val="00BA0666"/>
    <w:rsid w:val="00BA0707"/>
    <w:rsid w:val="00BA137C"/>
    <w:rsid w:val="00BA1490"/>
    <w:rsid w:val="00BA1576"/>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C7B7D"/>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1BE4"/>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3AB"/>
    <w:rsid w:val="00C134F1"/>
    <w:rsid w:val="00C13F67"/>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277BC"/>
    <w:rsid w:val="00C3058D"/>
    <w:rsid w:val="00C313DE"/>
    <w:rsid w:val="00C31598"/>
    <w:rsid w:val="00C321B6"/>
    <w:rsid w:val="00C32EB9"/>
    <w:rsid w:val="00C32FD1"/>
    <w:rsid w:val="00C349AE"/>
    <w:rsid w:val="00C34B2E"/>
    <w:rsid w:val="00C3501B"/>
    <w:rsid w:val="00C353DE"/>
    <w:rsid w:val="00C3613B"/>
    <w:rsid w:val="00C3711E"/>
    <w:rsid w:val="00C37D62"/>
    <w:rsid w:val="00C37E9D"/>
    <w:rsid w:val="00C40168"/>
    <w:rsid w:val="00C40AEE"/>
    <w:rsid w:val="00C41785"/>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4791D"/>
    <w:rsid w:val="00C50FD1"/>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57DD8"/>
    <w:rsid w:val="00C60100"/>
    <w:rsid w:val="00C625E6"/>
    <w:rsid w:val="00C6298B"/>
    <w:rsid w:val="00C6316E"/>
    <w:rsid w:val="00C632F6"/>
    <w:rsid w:val="00C6358E"/>
    <w:rsid w:val="00C646B3"/>
    <w:rsid w:val="00C64D48"/>
    <w:rsid w:val="00C65612"/>
    <w:rsid w:val="00C65D66"/>
    <w:rsid w:val="00C66751"/>
    <w:rsid w:val="00C703E5"/>
    <w:rsid w:val="00C71A7F"/>
    <w:rsid w:val="00C71DAC"/>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376"/>
    <w:rsid w:val="00C85BA5"/>
    <w:rsid w:val="00C85BE8"/>
    <w:rsid w:val="00C85F7C"/>
    <w:rsid w:val="00C8658B"/>
    <w:rsid w:val="00C8706B"/>
    <w:rsid w:val="00C870E0"/>
    <w:rsid w:val="00C8780F"/>
    <w:rsid w:val="00C9008A"/>
    <w:rsid w:val="00C90149"/>
    <w:rsid w:val="00C90612"/>
    <w:rsid w:val="00C9153C"/>
    <w:rsid w:val="00C917F4"/>
    <w:rsid w:val="00C92960"/>
    <w:rsid w:val="00C92E03"/>
    <w:rsid w:val="00C9378D"/>
    <w:rsid w:val="00C938FF"/>
    <w:rsid w:val="00C95455"/>
    <w:rsid w:val="00C956D0"/>
    <w:rsid w:val="00C9587D"/>
    <w:rsid w:val="00C95EE3"/>
    <w:rsid w:val="00C963D9"/>
    <w:rsid w:val="00C964F5"/>
    <w:rsid w:val="00C96860"/>
    <w:rsid w:val="00C96B16"/>
    <w:rsid w:val="00C96BAE"/>
    <w:rsid w:val="00C972FF"/>
    <w:rsid w:val="00C97DAD"/>
    <w:rsid w:val="00CA0038"/>
    <w:rsid w:val="00CA0E2D"/>
    <w:rsid w:val="00CA12DC"/>
    <w:rsid w:val="00CA14C9"/>
    <w:rsid w:val="00CA2C96"/>
    <w:rsid w:val="00CA2F5A"/>
    <w:rsid w:val="00CA395A"/>
    <w:rsid w:val="00CA4488"/>
    <w:rsid w:val="00CA474E"/>
    <w:rsid w:val="00CA4EF7"/>
    <w:rsid w:val="00CA52FE"/>
    <w:rsid w:val="00CA5796"/>
    <w:rsid w:val="00CA606E"/>
    <w:rsid w:val="00CA6072"/>
    <w:rsid w:val="00CA6122"/>
    <w:rsid w:val="00CA6273"/>
    <w:rsid w:val="00CA6633"/>
    <w:rsid w:val="00CA7670"/>
    <w:rsid w:val="00CA7816"/>
    <w:rsid w:val="00CA7AB6"/>
    <w:rsid w:val="00CB0262"/>
    <w:rsid w:val="00CB02DF"/>
    <w:rsid w:val="00CB038A"/>
    <w:rsid w:val="00CB06DC"/>
    <w:rsid w:val="00CB08E1"/>
    <w:rsid w:val="00CB0AAD"/>
    <w:rsid w:val="00CB0C53"/>
    <w:rsid w:val="00CB0D5D"/>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362"/>
    <w:rsid w:val="00CC66A0"/>
    <w:rsid w:val="00CC6AEE"/>
    <w:rsid w:val="00CC6F4E"/>
    <w:rsid w:val="00CC7741"/>
    <w:rsid w:val="00CC7D81"/>
    <w:rsid w:val="00CD0D74"/>
    <w:rsid w:val="00CD0E70"/>
    <w:rsid w:val="00CD0EBF"/>
    <w:rsid w:val="00CD16CF"/>
    <w:rsid w:val="00CD2437"/>
    <w:rsid w:val="00CD27D4"/>
    <w:rsid w:val="00CD37F8"/>
    <w:rsid w:val="00CD4F9A"/>
    <w:rsid w:val="00CD5B38"/>
    <w:rsid w:val="00CD6B77"/>
    <w:rsid w:val="00CD6BE6"/>
    <w:rsid w:val="00CD6ECF"/>
    <w:rsid w:val="00CD7EA6"/>
    <w:rsid w:val="00CE0167"/>
    <w:rsid w:val="00CE0756"/>
    <w:rsid w:val="00CE0C60"/>
    <w:rsid w:val="00CE0D75"/>
    <w:rsid w:val="00CE1716"/>
    <w:rsid w:val="00CE2718"/>
    <w:rsid w:val="00CE2BD2"/>
    <w:rsid w:val="00CE2CE0"/>
    <w:rsid w:val="00CE334A"/>
    <w:rsid w:val="00CE3768"/>
    <w:rsid w:val="00CE377C"/>
    <w:rsid w:val="00CE3B7D"/>
    <w:rsid w:val="00CE44E3"/>
    <w:rsid w:val="00CE49CC"/>
    <w:rsid w:val="00CE4A39"/>
    <w:rsid w:val="00CE4F65"/>
    <w:rsid w:val="00CE5223"/>
    <w:rsid w:val="00CE5AB1"/>
    <w:rsid w:val="00CE63B4"/>
    <w:rsid w:val="00CE6613"/>
    <w:rsid w:val="00CE68D4"/>
    <w:rsid w:val="00CE72EE"/>
    <w:rsid w:val="00CE7565"/>
    <w:rsid w:val="00CE7FAD"/>
    <w:rsid w:val="00CF0BEE"/>
    <w:rsid w:val="00CF0D11"/>
    <w:rsid w:val="00CF0EF0"/>
    <w:rsid w:val="00CF15E7"/>
    <w:rsid w:val="00CF208E"/>
    <w:rsid w:val="00CF3FEE"/>
    <w:rsid w:val="00CF4241"/>
    <w:rsid w:val="00CF471C"/>
    <w:rsid w:val="00CF4D72"/>
    <w:rsid w:val="00CF7343"/>
    <w:rsid w:val="00D003C1"/>
    <w:rsid w:val="00D0068A"/>
    <w:rsid w:val="00D008DC"/>
    <w:rsid w:val="00D0148E"/>
    <w:rsid w:val="00D015CA"/>
    <w:rsid w:val="00D02999"/>
    <w:rsid w:val="00D02D7A"/>
    <w:rsid w:val="00D030F2"/>
    <w:rsid w:val="00D035AD"/>
    <w:rsid w:val="00D04131"/>
    <w:rsid w:val="00D06270"/>
    <w:rsid w:val="00D07248"/>
    <w:rsid w:val="00D07BCE"/>
    <w:rsid w:val="00D10A8A"/>
    <w:rsid w:val="00D11241"/>
    <w:rsid w:val="00D112A6"/>
    <w:rsid w:val="00D125D2"/>
    <w:rsid w:val="00D12DB0"/>
    <w:rsid w:val="00D134FF"/>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36C78"/>
    <w:rsid w:val="00D402FC"/>
    <w:rsid w:val="00D409E4"/>
    <w:rsid w:val="00D4177D"/>
    <w:rsid w:val="00D41BCF"/>
    <w:rsid w:val="00D41D75"/>
    <w:rsid w:val="00D41E38"/>
    <w:rsid w:val="00D41F45"/>
    <w:rsid w:val="00D433AC"/>
    <w:rsid w:val="00D43707"/>
    <w:rsid w:val="00D4456A"/>
    <w:rsid w:val="00D44FEE"/>
    <w:rsid w:val="00D45F18"/>
    <w:rsid w:val="00D47417"/>
    <w:rsid w:val="00D47CAA"/>
    <w:rsid w:val="00D511CC"/>
    <w:rsid w:val="00D52A7B"/>
    <w:rsid w:val="00D54384"/>
    <w:rsid w:val="00D543E9"/>
    <w:rsid w:val="00D55040"/>
    <w:rsid w:val="00D568ED"/>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0EA"/>
    <w:rsid w:val="00D821C0"/>
    <w:rsid w:val="00D822BE"/>
    <w:rsid w:val="00D82FA6"/>
    <w:rsid w:val="00D8428A"/>
    <w:rsid w:val="00D849C1"/>
    <w:rsid w:val="00D84F2C"/>
    <w:rsid w:val="00D905EA"/>
    <w:rsid w:val="00D90B00"/>
    <w:rsid w:val="00D912E8"/>
    <w:rsid w:val="00D91350"/>
    <w:rsid w:val="00D9212F"/>
    <w:rsid w:val="00D922C3"/>
    <w:rsid w:val="00D93080"/>
    <w:rsid w:val="00D93FD8"/>
    <w:rsid w:val="00D94745"/>
    <w:rsid w:val="00D948A7"/>
    <w:rsid w:val="00D95BF4"/>
    <w:rsid w:val="00DA0369"/>
    <w:rsid w:val="00DA20DB"/>
    <w:rsid w:val="00DA264A"/>
    <w:rsid w:val="00DA2788"/>
    <w:rsid w:val="00DA3196"/>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435"/>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C7E2C"/>
    <w:rsid w:val="00DD0F58"/>
    <w:rsid w:val="00DD1054"/>
    <w:rsid w:val="00DD14E6"/>
    <w:rsid w:val="00DD367D"/>
    <w:rsid w:val="00DD39C7"/>
    <w:rsid w:val="00DD4360"/>
    <w:rsid w:val="00DD4C58"/>
    <w:rsid w:val="00DD6311"/>
    <w:rsid w:val="00DD7735"/>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52B"/>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4628"/>
    <w:rsid w:val="00E05054"/>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396"/>
    <w:rsid w:val="00E30E2F"/>
    <w:rsid w:val="00E316C2"/>
    <w:rsid w:val="00E318B1"/>
    <w:rsid w:val="00E319F9"/>
    <w:rsid w:val="00E31C0B"/>
    <w:rsid w:val="00E31CC0"/>
    <w:rsid w:val="00E3259C"/>
    <w:rsid w:val="00E3263C"/>
    <w:rsid w:val="00E32DD5"/>
    <w:rsid w:val="00E33156"/>
    <w:rsid w:val="00E33A4B"/>
    <w:rsid w:val="00E33C07"/>
    <w:rsid w:val="00E345B7"/>
    <w:rsid w:val="00E34B9D"/>
    <w:rsid w:val="00E357D3"/>
    <w:rsid w:val="00E35CB6"/>
    <w:rsid w:val="00E35CF5"/>
    <w:rsid w:val="00E35E95"/>
    <w:rsid w:val="00E37171"/>
    <w:rsid w:val="00E4006A"/>
    <w:rsid w:val="00E41068"/>
    <w:rsid w:val="00E41167"/>
    <w:rsid w:val="00E41259"/>
    <w:rsid w:val="00E41AF2"/>
    <w:rsid w:val="00E42519"/>
    <w:rsid w:val="00E42F02"/>
    <w:rsid w:val="00E44BAA"/>
    <w:rsid w:val="00E46F60"/>
    <w:rsid w:val="00E472E9"/>
    <w:rsid w:val="00E47C06"/>
    <w:rsid w:val="00E5029B"/>
    <w:rsid w:val="00E50460"/>
    <w:rsid w:val="00E508C1"/>
    <w:rsid w:val="00E52A26"/>
    <w:rsid w:val="00E52E72"/>
    <w:rsid w:val="00E534E4"/>
    <w:rsid w:val="00E53811"/>
    <w:rsid w:val="00E53C35"/>
    <w:rsid w:val="00E53EFA"/>
    <w:rsid w:val="00E544B3"/>
    <w:rsid w:val="00E54987"/>
    <w:rsid w:val="00E55393"/>
    <w:rsid w:val="00E55475"/>
    <w:rsid w:val="00E564C0"/>
    <w:rsid w:val="00E56D21"/>
    <w:rsid w:val="00E579CD"/>
    <w:rsid w:val="00E61255"/>
    <w:rsid w:val="00E6187C"/>
    <w:rsid w:val="00E6206A"/>
    <w:rsid w:val="00E62BC4"/>
    <w:rsid w:val="00E63984"/>
    <w:rsid w:val="00E64551"/>
    <w:rsid w:val="00E646F9"/>
    <w:rsid w:val="00E64830"/>
    <w:rsid w:val="00E64CCC"/>
    <w:rsid w:val="00E64F53"/>
    <w:rsid w:val="00E65F5F"/>
    <w:rsid w:val="00E66087"/>
    <w:rsid w:val="00E66C1F"/>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E0D"/>
    <w:rsid w:val="00E7500D"/>
    <w:rsid w:val="00E7558B"/>
    <w:rsid w:val="00E75687"/>
    <w:rsid w:val="00E7620C"/>
    <w:rsid w:val="00E76271"/>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2B61"/>
    <w:rsid w:val="00E93598"/>
    <w:rsid w:val="00E93A30"/>
    <w:rsid w:val="00E9432A"/>
    <w:rsid w:val="00E947A1"/>
    <w:rsid w:val="00E952D9"/>
    <w:rsid w:val="00E95AFA"/>
    <w:rsid w:val="00E97819"/>
    <w:rsid w:val="00EA0C12"/>
    <w:rsid w:val="00EA0C6C"/>
    <w:rsid w:val="00EA0F2B"/>
    <w:rsid w:val="00EA168F"/>
    <w:rsid w:val="00EA19D3"/>
    <w:rsid w:val="00EA1A1E"/>
    <w:rsid w:val="00EA1A71"/>
    <w:rsid w:val="00EA1A82"/>
    <w:rsid w:val="00EA1BE9"/>
    <w:rsid w:val="00EA20DF"/>
    <w:rsid w:val="00EA2A32"/>
    <w:rsid w:val="00EA31A6"/>
    <w:rsid w:val="00EA31D5"/>
    <w:rsid w:val="00EA35EC"/>
    <w:rsid w:val="00EA38BA"/>
    <w:rsid w:val="00EA3E9A"/>
    <w:rsid w:val="00EA41CB"/>
    <w:rsid w:val="00EA4575"/>
    <w:rsid w:val="00EA466D"/>
    <w:rsid w:val="00EA4AE5"/>
    <w:rsid w:val="00EA61BC"/>
    <w:rsid w:val="00EA6918"/>
    <w:rsid w:val="00EA7B73"/>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C9D"/>
    <w:rsid w:val="00ED0F02"/>
    <w:rsid w:val="00ED12C0"/>
    <w:rsid w:val="00ED13E7"/>
    <w:rsid w:val="00ED1E1D"/>
    <w:rsid w:val="00ED2410"/>
    <w:rsid w:val="00ED3854"/>
    <w:rsid w:val="00ED3FD8"/>
    <w:rsid w:val="00ED40BF"/>
    <w:rsid w:val="00ED5504"/>
    <w:rsid w:val="00ED589D"/>
    <w:rsid w:val="00ED5B61"/>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0FC0"/>
    <w:rsid w:val="00EF1978"/>
    <w:rsid w:val="00EF2279"/>
    <w:rsid w:val="00EF228F"/>
    <w:rsid w:val="00EF27BD"/>
    <w:rsid w:val="00EF2E07"/>
    <w:rsid w:val="00EF36CE"/>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37D5"/>
    <w:rsid w:val="00F14B59"/>
    <w:rsid w:val="00F15585"/>
    <w:rsid w:val="00F16BD1"/>
    <w:rsid w:val="00F20EA0"/>
    <w:rsid w:val="00F21F1B"/>
    <w:rsid w:val="00F227E2"/>
    <w:rsid w:val="00F22872"/>
    <w:rsid w:val="00F22928"/>
    <w:rsid w:val="00F23A1B"/>
    <w:rsid w:val="00F23AC4"/>
    <w:rsid w:val="00F249BF"/>
    <w:rsid w:val="00F25A10"/>
    <w:rsid w:val="00F26A30"/>
    <w:rsid w:val="00F26AF3"/>
    <w:rsid w:val="00F27B29"/>
    <w:rsid w:val="00F30075"/>
    <w:rsid w:val="00F3086E"/>
    <w:rsid w:val="00F30A11"/>
    <w:rsid w:val="00F30F9F"/>
    <w:rsid w:val="00F321C8"/>
    <w:rsid w:val="00F3299C"/>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7"/>
    <w:rsid w:val="00F5260D"/>
    <w:rsid w:val="00F528E5"/>
    <w:rsid w:val="00F530ED"/>
    <w:rsid w:val="00F5340E"/>
    <w:rsid w:val="00F53459"/>
    <w:rsid w:val="00F53BF1"/>
    <w:rsid w:val="00F54CE5"/>
    <w:rsid w:val="00F55573"/>
    <w:rsid w:val="00F55792"/>
    <w:rsid w:val="00F5590D"/>
    <w:rsid w:val="00F567A4"/>
    <w:rsid w:val="00F56A44"/>
    <w:rsid w:val="00F56FC9"/>
    <w:rsid w:val="00F57514"/>
    <w:rsid w:val="00F57D44"/>
    <w:rsid w:val="00F611A6"/>
    <w:rsid w:val="00F61359"/>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5E5A"/>
    <w:rsid w:val="00F7610F"/>
    <w:rsid w:val="00F76E0E"/>
    <w:rsid w:val="00F76ED4"/>
    <w:rsid w:val="00F778D9"/>
    <w:rsid w:val="00F77BFA"/>
    <w:rsid w:val="00F77C13"/>
    <w:rsid w:val="00F77D20"/>
    <w:rsid w:val="00F8080D"/>
    <w:rsid w:val="00F8100D"/>
    <w:rsid w:val="00F81278"/>
    <w:rsid w:val="00F81543"/>
    <w:rsid w:val="00F815AC"/>
    <w:rsid w:val="00F818F4"/>
    <w:rsid w:val="00F81E37"/>
    <w:rsid w:val="00F822BB"/>
    <w:rsid w:val="00F8303F"/>
    <w:rsid w:val="00F84628"/>
    <w:rsid w:val="00F846D7"/>
    <w:rsid w:val="00F84FA6"/>
    <w:rsid w:val="00F858D8"/>
    <w:rsid w:val="00F85B9E"/>
    <w:rsid w:val="00F86A4B"/>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22D"/>
    <w:rsid w:val="00FA3E46"/>
    <w:rsid w:val="00FA4070"/>
    <w:rsid w:val="00FA460F"/>
    <w:rsid w:val="00FA4A63"/>
    <w:rsid w:val="00FA4ABC"/>
    <w:rsid w:val="00FA4D81"/>
    <w:rsid w:val="00FA508F"/>
    <w:rsid w:val="00FA5300"/>
    <w:rsid w:val="00FA5EBA"/>
    <w:rsid w:val="00FA6250"/>
    <w:rsid w:val="00FA6395"/>
    <w:rsid w:val="00FA643D"/>
    <w:rsid w:val="00FA6CB9"/>
    <w:rsid w:val="00FB03CE"/>
    <w:rsid w:val="00FB1704"/>
    <w:rsid w:val="00FB2068"/>
    <w:rsid w:val="00FB28DC"/>
    <w:rsid w:val="00FB3ABC"/>
    <w:rsid w:val="00FB3CBC"/>
    <w:rsid w:val="00FB3DC2"/>
    <w:rsid w:val="00FB45A4"/>
    <w:rsid w:val="00FB57A5"/>
    <w:rsid w:val="00FB5B40"/>
    <w:rsid w:val="00FB6AC4"/>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5B69"/>
    <w:rsid w:val="00FF5F3C"/>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D36AAD4A-E5F7-4086-9DD4-0737233B6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576"/>
    <w:rPr>
      <w:rFonts w:ascii="Tahoma" w:hAnsi="Tahoma"/>
      <w:sz w:val="18"/>
      <w:szCs w:val="22"/>
    </w:rPr>
  </w:style>
  <w:style w:type="paragraph" w:styleId="Heading1">
    <w:name w:val="heading 1"/>
    <w:basedOn w:val="Normal"/>
    <w:next w:val="Normal"/>
    <w:link w:val="Heading1Char"/>
    <w:uiPriority w:val="9"/>
    <w:qFormat/>
    <w:rsid w:val="0095190D"/>
    <w:pPr>
      <w:keepNext/>
      <w:spacing w:after="120"/>
      <w:outlineLvl w:val="0"/>
    </w:pPr>
    <w:rPr>
      <w:b/>
      <w:bCs/>
      <w:caps/>
      <w:color w:val="000000"/>
      <w:szCs w:val="18"/>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5190D"/>
    <w:rPr>
      <w:rFonts w:ascii="Tahoma" w:hAnsi="Tahoma"/>
      <w:b/>
      <w:bCs/>
      <w:caps/>
      <w:color w:val="000000"/>
      <w:sz w:val="18"/>
      <w:szCs w:val="18"/>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95190D"/>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647E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647E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n-us/windows/windowsintune/faq/default.aspx" TargetMode="External"/><Relationship Id="rId47" Type="http://schemas.openxmlformats.org/officeDocument/2006/relationships/hyperlink" Target="mailto:bmesupp@microsoft.com" TargetMode="External"/><Relationship Id="rId50" Type="http://schemas.openxmlformats.org/officeDocument/2006/relationships/hyperlink" Target="http://www.microsoft.com/en-us/dynamics/erp-explore-ax-capabilities.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s://support.microsoft.com/oas/default.aspx?prid=13766&amp;st=1"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6.png"/><Relationship Id="rId29" Type="http://schemas.openxmlformats.org/officeDocument/2006/relationships/hyperlink" Target="http://www.microsoft.com/technet/subscription" TargetMode="External"/><Relationship Id="rId41" Type="http://schemas.openxmlformats.org/officeDocument/2006/relationships/hyperlink" Target="http://www.microsoftvolumelicensing.com/userights/PUR.aspx"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vexcel.com/geospatial/bingmapsserver/index.asp" TargetMode="External"/><Relationship Id="rId45" Type="http://schemas.openxmlformats.org/officeDocument/2006/relationships/hyperlink" Target="mailto:bmesupp@microsoft.com" TargetMode="External"/><Relationship Id="rId53" Type="http://schemas.openxmlformats.org/officeDocument/2006/relationships/hyperlink" Target="http://www.vexcel.com/geospatial/bingmapsserver/index.asp"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s://www.microsoft.com/licensing/servicecenter"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en-us/support/plans/" TargetMode="External"/><Relationship Id="rId44" Type="http://schemas.openxmlformats.org/officeDocument/2006/relationships/hyperlink" Target="http://www.microsoft.com/licensing/contracts" TargetMode="External"/><Relationship Id="rId52" Type="http://schemas.openxmlformats.org/officeDocument/2006/relationships/hyperlink" Target="http://www.microsoft.com/en-us/dynamics/erp-buy-ax-software.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sqlserver/en/us/get-sql-server/how-to-buy.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F1CBEBE-0941-4C5E-AB00-4A54C03F001E}">
  <ds:schemaRefs>
    <ds:schemaRef ds:uri="http://schemas.openxmlformats.org/officeDocument/2006/bibliography"/>
  </ds:schemaRefs>
</ds:datastoreItem>
</file>

<file path=customXml/itemProps5.xml><?xml version="1.0" encoding="utf-8"?>
<ds:datastoreItem xmlns:ds="http://schemas.openxmlformats.org/officeDocument/2006/customXml" ds:itemID="{630810AA-5CB2-4A7A-85C2-417C0021041C}">
  <ds:schemaRefs>
    <ds:schemaRef ds:uri="http://schemas.openxmlformats.org/officeDocument/2006/bibliography"/>
  </ds:schemaRefs>
</ds:datastoreItem>
</file>

<file path=customXml/itemProps6.xml><?xml version="1.0" encoding="utf-8"?>
<ds:datastoreItem xmlns:ds="http://schemas.openxmlformats.org/officeDocument/2006/customXml" ds:itemID="{FF2F8D6A-F229-4E54-9A5A-603927A3CC62}">
  <ds:schemaRefs>
    <ds:schemaRef ds:uri="http://schemas.openxmlformats.org/officeDocument/2006/bibliography"/>
  </ds:schemaRefs>
</ds:datastoreItem>
</file>

<file path=customXml/itemProps7.xml><?xml version="1.0" encoding="utf-8"?>
<ds:datastoreItem xmlns:ds="http://schemas.openxmlformats.org/officeDocument/2006/customXml" ds:itemID="{F837B0D5-CABB-479E-AC8C-6E127FD62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203</Pages>
  <Words>96264</Words>
  <Characters>548709</Characters>
  <Application>Microsoft Office Word</Application>
  <DocSecurity>8</DocSecurity>
  <Lines>4572</Lines>
  <Paragraphs>1287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643686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3</cp:revision>
  <cp:lastPrinted>2013-04-18T08:18:00Z</cp:lastPrinted>
  <dcterms:created xsi:type="dcterms:W3CDTF">2013-04-29T15:43:00Z</dcterms:created>
  <dcterms:modified xsi:type="dcterms:W3CDTF">2013-04-29T15:45:00Z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